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85CD0" w14:textId="77777777" w:rsidR="00630410" w:rsidRDefault="00630410" w:rsidP="00630410">
      <w:pPr>
        <w:spacing w:line="240" w:lineRule="auto"/>
        <w:jc w:val="center"/>
        <w:rPr>
          <w:rFonts w:ascii="Verdana" w:hAnsi="Verdana"/>
          <w:b/>
          <w:bCs/>
          <w:sz w:val="22"/>
          <w:szCs w:val="22"/>
        </w:rPr>
      </w:pPr>
    </w:p>
    <w:p w14:paraId="4D348A78" w14:textId="660BD0DB" w:rsidR="00C94079" w:rsidRPr="00630410" w:rsidRDefault="00C94079" w:rsidP="00630410">
      <w:pPr>
        <w:spacing w:line="240" w:lineRule="auto"/>
        <w:jc w:val="center"/>
        <w:rPr>
          <w:rFonts w:ascii="Verdana" w:hAnsi="Verdana"/>
          <w:b/>
          <w:bCs/>
          <w:sz w:val="22"/>
          <w:szCs w:val="22"/>
        </w:rPr>
      </w:pPr>
      <w:r w:rsidRPr="00630410">
        <w:rPr>
          <w:rFonts w:ascii="Verdana" w:hAnsi="Verdana"/>
          <w:b/>
          <w:bCs/>
          <w:sz w:val="22"/>
          <w:szCs w:val="22"/>
        </w:rPr>
        <w:t>AVISO INFORMATIVO</w:t>
      </w:r>
    </w:p>
    <w:p w14:paraId="356A44E8" w14:textId="77777777" w:rsidR="00C94079" w:rsidRPr="00F21B2A" w:rsidRDefault="00C94079" w:rsidP="00630410">
      <w:pPr>
        <w:spacing w:line="240" w:lineRule="auto"/>
        <w:rPr>
          <w:rFonts w:ascii="Verdana" w:hAnsi="Verdana"/>
          <w:b/>
          <w:bCs/>
          <w:sz w:val="22"/>
          <w:szCs w:val="22"/>
        </w:rPr>
      </w:pPr>
    </w:p>
    <w:p w14:paraId="1190682D" w14:textId="017845F1" w:rsidR="00C94079" w:rsidRPr="00F21B2A" w:rsidRDefault="00F21B2A" w:rsidP="00630410">
      <w:pPr>
        <w:spacing w:line="240" w:lineRule="auto"/>
        <w:jc w:val="center"/>
        <w:rPr>
          <w:rFonts w:ascii="Verdana" w:hAnsi="Verdana"/>
          <w:b/>
          <w:bCs/>
          <w:sz w:val="22"/>
          <w:szCs w:val="22"/>
        </w:rPr>
      </w:pPr>
      <w:r w:rsidRPr="00F21B2A">
        <w:rPr>
          <w:rFonts w:ascii="Verdana" w:hAnsi="Verdana"/>
          <w:b/>
          <w:bCs/>
          <w:sz w:val="22"/>
          <w:szCs w:val="22"/>
        </w:rPr>
        <w:t>EL GRUPO DE APOYO JUDICIAL DE LA SUPERINTENDENCIA DE SOCIEDADES</w:t>
      </w:r>
    </w:p>
    <w:p w14:paraId="37C068AD" w14:textId="77777777" w:rsidR="00C94079" w:rsidRPr="00630410" w:rsidRDefault="00C94079" w:rsidP="00630410">
      <w:pPr>
        <w:spacing w:line="240" w:lineRule="auto"/>
        <w:jc w:val="center"/>
        <w:rPr>
          <w:rFonts w:ascii="Verdana" w:hAnsi="Verdana"/>
          <w:b/>
          <w:bCs/>
          <w:sz w:val="22"/>
          <w:szCs w:val="22"/>
        </w:rPr>
      </w:pPr>
    </w:p>
    <w:p w14:paraId="241664C2" w14:textId="41B78043" w:rsidR="00C94079" w:rsidRPr="00630410" w:rsidRDefault="00C94079" w:rsidP="00630410">
      <w:pPr>
        <w:spacing w:line="240" w:lineRule="auto"/>
        <w:jc w:val="center"/>
        <w:rPr>
          <w:rFonts w:ascii="Verdana" w:hAnsi="Verdana"/>
          <w:sz w:val="22"/>
          <w:szCs w:val="22"/>
        </w:rPr>
      </w:pPr>
      <w:r w:rsidRPr="00630410">
        <w:rPr>
          <w:rFonts w:ascii="Verdana" w:hAnsi="Verdana"/>
          <w:b/>
          <w:bCs/>
          <w:sz w:val="22"/>
          <w:szCs w:val="22"/>
        </w:rPr>
        <w:t>INFORMA</w:t>
      </w:r>
      <w:r w:rsidRPr="00630410">
        <w:rPr>
          <w:rFonts w:ascii="Verdana" w:hAnsi="Verdana"/>
          <w:sz w:val="22"/>
          <w:szCs w:val="22"/>
        </w:rPr>
        <w:t>:</w:t>
      </w:r>
    </w:p>
    <w:p w14:paraId="31A9DFF3" w14:textId="77777777" w:rsidR="00C94079" w:rsidRPr="00630410" w:rsidRDefault="00C94079" w:rsidP="00630410">
      <w:pPr>
        <w:spacing w:after="0" w:line="240" w:lineRule="auto"/>
        <w:rPr>
          <w:rFonts w:ascii="Verdana" w:hAnsi="Verdana"/>
          <w:sz w:val="22"/>
          <w:szCs w:val="22"/>
        </w:rPr>
      </w:pPr>
    </w:p>
    <w:p w14:paraId="2453CEFC" w14:textId="410CCF37" w:rsidR="00C94079" w:rsidRPr="00630410" w:rsidRDefault="00C94079" w:rsidP="00630410">
      <w:pPr>
        <w:spacing w:after="0" w:line="240" w:lineRule="auto"/>
        <w:jc w:val="both"/>
        <w:rPr>
          <w:rFonts w:ascii="Verdana" w:hAnsi="Verdana"/>
          <w:sz w:val="22"/>
          <w:szCs w:val="22"/>
        </w:rPr>
      </w:pPr>
      <w:r w:rsidRPr="00630410">
        <w:rPr>
          <w:rFonts w:ascii="Verdana" w:hAnsi="Verdana"/>
          <w:sz w:val="22"/>
          <w:szCs w:val="22"/>
        </w:rPr>
        <w:t xml:space="preserve">A los usuarios internos y externos que, de conformidad con el artículo 109 del Código General del Proceso y las disposiciones aplicables a los procesos jurisdiccionales que conoce la </w:t>
      </w:r>
      <w:r w:rsidR="00F21B2A" w:rsidRPr="00F21B2A">
        <w:rPr>
          <w:rFonts w:ascii="Verdana" w:hAnsi="Verdana"/>
          <w:sz w:val="22"/>
          <w:szCs w:val="22"/>
        </w:rPr>
        <w:t>Delegatura de Procedimientos Mercantiles</w:t>
      </w:r>
      <w:r w:rsidRPr="00630410">
        <w:rPr>
          <w:rFonts w:ascii="Verdana" w:hAnsi="Verdana"/>
          <w:sz w:val="22"/>
          <w:szCs w:val="22"/>
        </w:rPr>
        <w:t xml:space="preserve">, </w:t>
      </w:r>
      <w:r w:rsidR="00F21B2A" w:rsidRPr="00F21B2A">
        <w:rPr>
          <w:rFonts w:ascii="Verdana" w:hAnsi="Verdana"/>
          <w:sz w:val="22"/>
          <w:szCs w:val="22"/>
        </w:rPr>
        <w:t>Delegatura de Procedimientos de Insolvencia</w:t>
      </w:r>
      <w:r w:rsidRPr="00630410">
        <w:rPr>
          <w:rFonts w:ascii="Verdana" w:hAnsi="Verdana"/>
          <w:sz w:val="22"/>
          <w:szCs w:val="22"/>
        </w:rPr>
        <w:t>, la Dirección de Intervención y sus Grupos Adscritos, que, los memoriales, solicitudes, recursos y demás documentos remitidos por medios electrónicos se entenderán presentados oportunamente únicamente cuando sean recibidos antes del cierre del despacho el día en que venza el respectivo término.</w:t>
      </w:r>
    </w:p>
    <w:p w14:paraId="57A96810" w14:textId="77777777" w:rsidR="00630410" w:rsidRDefault="00630410" w:rsidP="00630410">
      <w:pPr>
        <w:spacing w:after="0" w:line="240" w:lineRule="auto"/>
        <w:jc w:val="both"/>
        <w:rPr>
          <w:rFonts w:ascii="Verdana" w:hAnsi="Verdana"/>
          <w:sz w:val="22"/>
          <w:szCs w:val="22"/>
        </w:rPr>
      </w:pPr>
    </w:p>
    <w:p w14:paraId="4A39E64D" w14:textId="54C9AAC7" w:rsidR="00C94079" w:rsidRPr="00630410" w:rsidRDefault="00C94079" w:rsidP="00630410">
      <w:pPr>
        <w:spacing w:after="0" w:line="240" w:lineRule="auto"/>
        <w:jc w:val="both"/>
        <w:rPr>
          <w:rFonts w:ascii="Verdana" w:hAnsi="Verdana"/>
          <w:sz w:val="22"/>
          <w:szCs w:val="22"/>
        </w:rPr>
      </w:pPr>
      <w:r w:rsidRPr="00630410">
        <w:rPr>
          <w:rFonts w:ascii="Verdana" w:hAnsi="Verdana"/>
          <w:sz w:val="22"/>
          <w:szCs w:val="22"/>
        </w:rPr>
        <w:t>En consecuencia, para efectos del cómputo de términos procesales, los documentos enviados después de la hora oficial de cierre del despacho se tendrán por recibidos el día hábil siguiente, sin perjuicio de las consecuencias procesales que ello pueda generar.</w:t>
      </w:r>
    </w:p>
    <w:p w14:paraId="0D997FD4" w14:textId="77777777" w:rsidR="00630410" w:rsidRDefault="00630410" w:rsidP="00630410">
      <w:pPr>
        <w:spacing w:after="0" w:line="240" w:lineRule="auto"/>
        <w:jc w:val="both"/>
        <w:rPr>
          <w:rFonts w:ascii="Verdana" w:hAnsi="Verdana"/>
          <w:b/>
          <w:bCs/>
          <w:sz w:val="22"/>
          <w:szCs w:val="22"/>
        </w:rPr>
      </w:pPr>
    </w:p>
    <w:tbl>
      <w:tblPr>
        <w:tblStyle w:val="Tablaconcuadrcula"/>
        <w:tblW w:w="0" w:type="auto"/>
        <w:tblLook w:val="04A0" w:firstRow="1" w:lastRow="0" w:firstColumn="1" w:lastColumn="0" w:noHBand="0" w:noVBand="1"/>
      </w:tblPr>
      <w:tblGrid>
        <w:gridCol w:w="4414"/>
        <w:gridCol w:w="4414"/>
      </w:tblGrid>
      <w:tr w:rsidR="00630410" w14:paraId="78B96948" w14:textId="77777777" w:rsidTr="00630410">
        <w:tc>
          <w:tcPr>
            <w:tcW w:w="4414" w:type="dxa"/>
            <w:vAlign w:val="center"/>
          </w:tcPr>
          <w:p w14:paraId="6EC125DD" w14:textId="0AD0F5D3" w:rsidR="00630410" w:rsidRDefault="00630410" w:rsidP="00630410">
            <w:pPr>
              <w:jc w:val="both"/>
              <w:rPr>
                <w:rFonts w:ascii="Verdana" w:hAnsi="Verdana"/>
                <w:b/>
                <w:bCs/>
                <w:sz w:val="22"/>
                <w:szCs w:val="22"/>
              </w:rPr>
            </w:pPr>
            <w:r w:rsidRPr="00630410">
              <w:rPr>
                <w:rFonts w:ascii="Verdana" w:hAnsi="Verdana"/>
                <w:b/>
                <w:bCs/>
                <w:sz w:val="22"/>
                <w:szCs w:val="22"/>
              </w:rPr>
              <w:t>Horario de recepción de memoriales con vencimiento de términos:</w:t>
            </w:r>
          </w:p>
        </w:tc>
        <w:tc>
          <w:tcPr>
            <w:tcW w:w="4414" w:type="dxa"/>
            <w:vAlign w:val="center"/>
          </w:tcPr>
          <w:p w14:paraId="02D677AA" w14:textId="416ACD6F" w:rsidR="00630410" w:rsidRPr="00630410" w:rsidRDefault="00630410" w:rsidP="00630410">
            <w:pPr>
              <w:numPr>
                <w:ilvl w:val="0"/>
                <w:numId w:val="1"/>
              </w:numPr>
              <w:spacing w:after="160"/>
              <w:jc w:val="both"/>
              <w:rPr>
                <w:rFonts w:ascii="Verdana" w:hAnsi="Verdana"/>
                <w:sz w:val="22"/>
                <w:szCs w:val="22"/>
              </w:rPr>
            </w:pPr>
            <w:r w:rsidRPr="00630410">
              <w:rPr>
                <w:rFonts w:ascii="Verdana" w:hAnsi="Verdana"/>
                <w:sz w:val="22"/>
                <w:szCs w:val="22"/>
              </w:rPr>
              <w:t xml:space="preserve">Lunes a viernes: </w:t>
            </w:r>
            <w:r w:rsidRPr="00630410">
              <w:rPr>
                <w:rFonts w:ascii="Verdana" w:hAnsi="Verdana"/>
                <w:b/>
                <w:bCs/>
                <w:sz w:val="22"/>
                <w:szCs w:val="22"/>
              </w:rPr>
              <w:t>hasta las 5:00 p.m.</w:t>
            </w:r>
          </w:p>
        </w:tc>
      </w:tr>
    </w:tbl>
    <w:p w14:paraId="203D4649" w14:textId="77777777" w:rsidR="00630410" w:rsidRDefault="00630410" w:rsidP="00630410">
      <w:pPr>
        <w:spacing w:after="0" w:line="240" w:lineRule="auto"/>
        <w:jc w:val="both"/>
        <w:rPr>
          <w:rFonts w:ascii="Verdana" w:hAnsi="Verdana"/>
          <w:b/>
          <w:bCs/>
          <w:sz w:val="22"/>
          <w:szCs w:val="22"/>
        </w:rPr>
      </w:pPr>
    </w:p>
    <w:p w14:paraId="5E2CC450" w14:textId="190A0A80" w:rsidR="00C94079" w:rsidRPr="00630410" w:rsidRDefault="00C94079" w:rsidP="00630410">
      <w:pPr>
        <w:spacing w:after="0" w:line="240" w:lineRule="auto"/>
        <w:jc w:val="both"/>
        <w:rPr>
          <w:rFonts w:ascii="Verdana" w:hAnsi="Verdana"/>
          <w:sz w:val="22"/>
          <w:szCs w:val="22"/>
        </w:rPr>
      </w:pPr>
      <w:r w:rsidRPr="00630410">
        <w:rPr>
          <w:rFonts w:ascii="Verdana" w:hAnsi="Verdana"/>
          <w:sz w:val="22"/>
          <w:szCs w:val="22"/>
        </w:rPr>
        <w:t>Los usuarios deberán verificar que el mensaje de datos haya sido efectivamente recibido en los canales electrónicos oficiales dispuestos por la entidad.</w:t>
      </w:r>
    </w:p>
    <w:p w14:paraId="1254BB21" w14:textId="77777777" w:rsidR="00C94079" w:rsidRDefault="00C94079" w:rsidP="00630410">
      <w:pPr>
        <w:spacing w:after="0" w:line="240" w:lineRule="auto"/>
        <w:rPr>
          <w:rFonts w:ascii="Verdana" w:hAnsi="Verdana"/>
          <w:sz w:val="22"/>
          <w:szCs w:val="22"/>
        </w:rPr>
      </w:pPr>
    </w:p>
    <w:p w14:paraId="417100A4" w14:textId="2206CA86" w:rsidR="00630410" w:rsidRPr="00630410" w:rsidRDefault="00630410" w:rsidP="00630410">
      <w:pPr>
        <w:spacing w:after="0" w:line="240" w:lineRule="auto"/>
        <w:jc w:val="both"/>
        <w:rPr>
          <w:rFonts w:ascii="Verdana" w:hAnsi="Verdana"/>
          <w:sz w:val="22"/>
          <w:szCs w:val="22"/>
        </w:rPr>
      </w:pPr>
      <w:r>
        <w:rPr>
          <w:rFonts w:ascii="Verdana" w:hAnsi="Verdana"/>
          <w:sz w:val="22"/>
          <w:szCs w:val="22"/>
        </w:rPr>
        <w:t>Es de resaltar que l</w:t>
      </w:r>
      <w:r w:rsidRPr="00630410">
        <w:rPr>
          <w:rFonts w:ascii="Verdana" w:hAnsi="Verdana"/>
          <w:sz w:val="22"/>
          <w:szCs w:val="22"/>
        </w:rPr>
        <w:t>a hora de recepción será la registrada por los sistemas institucionales de la Superintendencia de Sociedades, la cual constituirá el referente oficial para determinar la oportunidad en la presentación de memoriales y demás actuaciones procesales.</w:t>
      </w:r>
    </w:p>
    <w:p w14:paraId="444F8B3C" w14:textId="5E6229CD" w:rsidR="00C62335" w:rsidRDefault="00C62335" w:rsidP="00C62335">
      <w:pPr>
        <w:spacing w:line="276" w:lineRule="auto"/>
        <w:jc w:val="both"/>
        <w:rPr>
          <w:rFonts w:ascii="Verdana" w:hAnsi="Verdana"/>
        </w:rPr>
      </w:pPr>
    </w:p>
    <w:sectPr w:rsidR="00C62335">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E6E51" w14:textId="77777777" w:rsidR="008E42C6" w:rsidRDefault="008E42C6" w:rsidP="00630410">
      <w:pPr>
        <w:spacing w:after="0" w:line="240" w:lineRule="auto"/>
      </w:pPr>
      <w:r>
        <w:separator/>
      </w:r>
    </w:p>
  </w:endnote>
  <w:endnote w:type="continuationSeparator" w:id="0">
    <w:p w14:paraId="45B9C5CF" w14:textId="77777777" w:rsidR="008E42C6" w:rsidRDefault="008E42C6" w:rsidP="00630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1DA3" w14:textId="77777777" w:rsidR="00630410" w:rsidRDefault="00630410" w:rsidP="00630410">
    <w:pPr>
      <w:pStyle w:val="Piedepgina"/>
      <w:tabs>
        <w:tab w:val="left" w:pos="765"/>
      </w:tabs>
      <w:jc w:val="center"/>
    </w:pPr>
    <w:r>
      <w:rPr>
        <w:noProof/>
        <w:lang w:eastAsia="es-CO"/>
      </w:rPr>
      <mc:AlternateContent>
        <mc:Choice Requires="wps">
          <w:drawing>
            <wp:anchor distT="0" distB="0" distL="114300" distR="114300" simplePos="0" relativeHeight="251661312" behindDoc="0" locked="0" layoutInCell="1" allowOverlap="1" wp14:anchorId="2396380B" wp14:editId="54F0B631">
              <wp:simplePos x="0" y="0"/>
              <wp:positionH relativeFrom="column">
                <wp:posOffset>-400680</wp:posOffset>
              </wp:positionH>
              <wp:positionV relativeFrom="paragraph">
                <wp:posOffset>1901</wp:posOffset>
              </wp:positionV>
              <wp:extent cx="6466206" cy="0"/>
              <wp:effectExtent l="0" t="0" r="0" b="0"/>
              <wp:wrapNone/>
              <wp:docPr id="91903580" name="2 Conector recto"/>
              <wp:cNvGraphicFramePr/>
              <a:graphic xmlns:a="http://schemas.openxmlformats.org/drawingml/2006/main">
                <a:graphicData uri="http://schemas.microsoft.com/office/word/2010/wordprocessingShape">
                  <wps:wsp>
                    <wps:cNvCnPr/>
                    <wps:spPr>
                      <a:xfrm>
                        <a:off x="0" y="0"/>
                        <a:ext cx="6466206" cy="0"/>
                      </a:xfrm>
                      <a:prstGeom prst="straightConnector1">
                        <a:avLst/>
                      </a:prstGeom>
                      <a:noFill/>
                      <a:ln w="12701" cap="flat">
                        <a:solidFill>
                          <a:srgbClr val="000000"/>
                        </a:solidFill>
                        <a:prstDash val="solid"/>
                      </a:ln>
                    </wps:spPr>
                    <wps:bodyPr/>
                  </wps:wsp>
                </a:graphicData>
              </a:graphic>
            </wp:anchor>
          </w:drawing>
        </mc:Choice>
        <mc:Fallback>
          <w:pict>
            <v:shapetype w14:anchorId="798FB8A0" id="_x0000_t32" coordsize="21600,21600" o:spt="32" o:oned="t" path="m,l21600,21600e" filled="f">
              <v:path arrowok="t" fillok="f" o:connecttype="none"/>
              <o:lock v:ext="edit" shapetype="t"/>
            </v:shapetype>
            <v:shape id="2 Conector recto" o:spid="_x0000_s1026" type="#_x0000_t32" style="position:absolute;margin-left:-31.55pt;margin-top:.15pt;width:509.1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" strokeweight=".35281mm"/>
          </w:pict>
        </mc:Fallback>
      </mc:AlternateContent>
    </w:r>
  </w:p>
  <w:p w14:paraId="73B4A544" w14:textId="77777777" w:rsidR="00630410" w:rsidRPr="005C6224" w:rsidRDefault="00630410" w:rsidP="00630410">
    <w:pPr>
      <w:pStyle w:val="Piedepgina"/>
      <w:tabs>
        <w:tab w:val="left" w:pos="765"/>
      </w:tabs>
      <w:rPr>
        <w:rFonts w:ascii="Arial" w:hAnsi="Arial"/>
        <w:noProof/>
        <w:lang w:eastAsia="es-CO"/>
      </w:rPr>
    </w:pPr>
    <w:r w:rsidRPr="009250AE">
      <w:rPr>
        <w:rFonts w:ascii="Verdana" w:hAnsi="Verdana"/>
        <w:sz w:val="20"/>
        <w:szCs w:val="20"/>
      </w:rPr>
      <w:t>Dirección:</w:t>
    </w:r>
    <w:r>
      <w:rPr>
        <w:rFonts w:ascii="Verdana" w:hAnsi="Verdana"/>
        <w:sz w:val="20"/>
        <w:szCs w:val="20"/>
      </w:rPr>
      <w:t xml:space="preserve"> </w:t>
    </w:r>
    <w:r w:rsidRPr="009250AE">
      <w:rPr>
        <w:rFonts w:ascii="Verdana" w:hAnsi="Verdana"/>
        <w:sz w:val="20"/>
        <w:szCs w:val="20"/>
      </w:rPr>
      <w:t>Av. El Dorado No. 51-80 Bogotá, D.C.</w:t>
    </w:r>
    <w:r>
      <w:rPr>
        <w:rFonts w:ascii="Verdana" w:hAnsi="Verdana"/>
        <w:sz w:val="20"/>
        <w:szCs w:val="20"/>
      </w:rPr>
      <w:t xml:space="preserve">                                      Página 1|1</w:t>
    </w:r>
    <w:r w:rsidRPr="009250AE">
      <w:rPr>
        <w:rFonts w:ascii="Verdana" w:hAnsi="Verdana"/>
        <w:sz w:val="20"/>
        <w:szCs w:val="20"/>
      </w:rPr>
      <w:t xml:space="preserve">                                                                                                          </w:t>
    </w:r>
  </w:p>
  <w:p w14:paraId="7435249A" w14:textId="77777777" w:rsidR="00630410" w:rsidRPr="009250AE" w:rsidRDefault="00630410" w:rsidP="00630410">
    <w:pPr>
      <w:pStyle w:val="Piedepgina"/>
      <w:rPr>
        <w:rFonts w:ascii="Verdana" w:hAnsi="Verdana"/>
        <w:sz w:val="20"/>
        <w:szCs w:val="20"/>
      </w:rPr>
    </w:pPr>
    <w:r w:rsidRPr="009250AE">
      <w:rPr>
        <w:rFonts w:ascii="Verdana" w:hAnsi="Verdana"/>
        <w:sz w:val="20"/>
        <w:szCs w:val="20"/>
      </w:rPr>
      <w:t>Conmutador:</w:t>
    </w:r>
    <w:r>
      <w:rPr>
        <w:rFonts w:ascii="Verdana" w:hAnsi="Verdana"/>
        <w:sz w:val="20"/>
        <w:szCs w:val="20"/>
      </w:rPr>
      <w:t xml:space="preserve"> </w:t>
    </w:r>
    <w:r w:rsidRPr="003002D7">
      <w:rPr>
        <w:rFonts w:ascii="Verdana" w:hAnsi="Verdana"/>
        <w:sz w:val="20"/>
        <w:szCs w:val="20"/>
      </w:rPr>
      <w:t>+57(601) 220 10 00</w:t>
    </w:r>
  </w:p>
  <w:p w14:paraId="35CA0E60" w14:textId="77777777" w:rsidR="00630410" w:rsidRDefault="00630410" w:rsidP="00630410">
    <w:pPr>
      <w:pStyle w:val="Piedepgina"/>
      <w:tabs>
        <w:tab w:val="left" w:pos="765"/>
      </w:tabs>
      <w:rPr>
        <w:noProof/>
        <w:lang w:eastAsia="es-CO"/>
      </w:rPr>
    </w:pPr>
    <w:r w:rsidRPr="009250AE">
      <w:rPr>
        <w:rFonts w:ascii="Verdana" w:hAnsi="Verdana"/>
        <w:sz w:val="20"/>
        <w:szCs w:val="20"/>
      </w:rPr>
      <w:t>Línea gratuita:</w:t>
    </w:r>
    <w:r>
      <w:rPr>
        <w:rFonts w:ascii="Verdana" w:hAnsi="Verdana"/>
        <w:sz w:val="20"/>
        <w:szCs w:val="20"/>
      </w:rPr>
      <w:t xml:space="preserve"> </w:t>
    </w:r>
    <w:r w:rsidRPr="00B72376">
      <w:rPr>
        <w:rFonts w:ascii="Verdana" w:hAnsi="Verdana"/>
        <w:sz w:val="20"/>
        <w:szCs w:val="20"/>
      </w:rPr>
      <w:t>01-8000-114319</w:t>
    </w:r>
    <w:r w:rsidRPr="009250AE">
      <w:rPr>
        <w:rFonts w:ascii="Verdana" w:hAnsi="Verdana"/>
        <w:sz w:val="20"/>
        <w:szCs w:val="20"/>
      </w:rPr>
      <w:t xml:space="preserve">                                       </w:t>
    </w:r>
    <w:r>
      <w:rPr>
        <w:rFonts w:ascii="Verdana" w:hAnsi="Verdana"/>
        <w:sz w:val="20"/>
        <w:szCs w:val="20"/>
      </w:rPr>
      <w:t xml:space="preserve">   </w:t>
    </w:r>
    <w:r w:rsidRPr="009250AE">
      <w:rPr>
        <w:rFonts w:ascii="Verdana" w:hAnsi="Verdana"/>
        <w:sz w:val="20"/>
        <w:szCs w:val="20"/>
      </w:rPr>
      <w:t xml:space="preserve"> </w:t>
    </w:r>
  </w:p>
  <w:p w14:paraId="34D87A18" w14:textId="77777777" w:rsidR="00630410" w:rsidRDefault="006304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40630" w14:textId="77777777" w:rsidR="008E42C6" w:rsidRDefault="008E42C6" w:rsidP="00630410">
      <w:pPr>
        <w:spacing w:after="0" w:line="240" w:lineRule="auto"/>
      </w:pPr>
      <w:r>
        <w:separator/>
      </w:r>
    </w:p>
  </w:footnote>
  <w:footnote w:type="continuationSeparator" w:id="0">
    <w:p w14:paraId="3C415703" w14:textId="77777777" w:rsidR="008E42C6" w:rsidRDefault="008E42C6" w:rsidP="00630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E06DB" w14:textId="38784E7D" w:rsidR="00630410" w:rsidRDefault="00630410" w:rsidP="00630410">
    <w:pPr>
      <w:pStyle w:val="Encabezado"/>
      <w:tabs>
        <w:tab w:val="clear" w:pos="4419"/>
        <w:tab w:val="clear" w:pos="8838"/>
        <w:tab w:val="left" w:pos="3912"/>
      </w:tabs>
    </w:pPr>
    <w:r>
      <w:rPr>
        <w:noProof/>
        <w:lang w:eastAsia="es-CO"/>
      </w:rPr>
      <w:drawing>
        <wp:anchor distT="0" distB="0" distL="114300" distR="114300" simplePos="0" relativeHeight="251659264" behindDoc="1" locked="0" layoutInCell="1" allowOverlap="1" wp14:anchorId="58707530" wp14:editId="7A67EFD1">
          <wp:simplePos x="0" y="0"/>
          <wp:positionH relativeFrom="margin">
            <wp:align>center</wp:align>
          </wp:positionH>
          <wp:positionV relativeFrom="paragraph">
            <wp:posOffset>-464659</wp:posOffset>
          </wp:positionV>
          <wp:extent cx="1457325" cy="906252"/>
          <wp:effectExtent l="0" t="0" r="0" b="0"/>
          <wp:wrapNone/>
          <wp:docPr id="544637452" name="Imagen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457325" cy="906252"/>
                  </a:xfrm>
                  <a:prstGeom prst="rect">
                    <a:avLst/>
                  </a:prstGeom>
                  <a:noFill/>
                  <a:ln>
                    <a:noFill/>
                    <a:prstDash/>
                  </a:ln>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F77786"/>
    <w:multiLevelType w:val="multilevel"/>
    <w:tmpl w:val="53B011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836385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079"/>
    <w:rsid w:val="001B0C0F"/>
    <w:rsid w:val="00630410"/>
    <w:rsid w:val="00802EC6"/>
    <w:rsid w:val="008E42C6"/>
    <w:rsid w:val="00AC53B4"/>
    <w:rsid w:val="00C43F46"/>
    <w:rsid w:val="00C62335"/>
    <w:rsid w:val="00C94079"/>
    <w:rsid w:val="00EA1EDB"/>
    <w:rsid w:val="00F21B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9D276"/>
  <w15:chartTrackingRefBased/>
  <w15:docId w15:val="{92E8ACF6-0A1B-4DCB-99AB-FCC12FE1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94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94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9407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9407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9407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940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940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940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940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9407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9407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9407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9407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9407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940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940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940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94079"/>
    <w:rPr>
      <w:rFonts w:eastAsiaTheme="majorEastAsia" w:cstheme="majorBidi"/>
      <w:color w:val="272727" w:themeColor="text1" w:themeTint="D8"/>
    </w:rPr>
  </w:style>
  <w:style w:type="paragraph" w:styleId="Ttulo">
    <w:name w:val="Title"/>
    <w:basedOn w:val="Normal"/>
    <w:next w:val="Normal"/>
    <w:link w:val="TtuloCar"/>
    <w:uiPriority w:val="10"/>
    <w:qFormat/>
    <w:rsid w:val="00C94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940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940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940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94079"/>
    <w:pPr>
      <w:spacing w:before="160"/>
      <w:jc w:val="center"/>
    </w:pPr>
    <w:rPr>
      <w:i/>
      <w:iCs/>
      <w:color w:val="404040" w:themeColor="text1" w:themeTint="BF"/>
    </w:rPr>
  </w:style>
  <w:style w:type="character" w:customStyle="1" w:styleId="CitaCar">
    <w:name w:val="Cita Car"/>
    <w:basedOn w:val="Fuentedeprrafopredeter"/>
    <w:link w:val="Cita"/>
    <w:uiPriority w:val="29"/>
    <w:rsid w:val="00C94079"/>
    <w:rPr>
      <w:i/>
      <w:iCs/>
      <w:color w:val="404040" w:themeColor="text1" w:themeTint="BF"/>
    </w:rPr>
  </w:style>
  <w:style w:type="paragraph" w:styleId="Prrafodelista">
    <w:name w:val="List Paragraph"/>
    <w:basedOn w:val="Normal"/>
    <w:uiPriority w:val="34"/>
    <w:qFormat/>
    <w:rsid w:val="00C94079"/>
    <w:pPr>
      <w:ind w:left="720"/>
      <w:contextualSpacing/>
    </w:pPr>
  </w:style>
  <w:style w:type="character" w:styleId="nfasisintenso">
    <w:name w:val="Intense Emphasis"/>
    <w:basedOn w:val="Fuentedeprrafopredeter"/>
    <w:uiPriority w:val="21"/>
    <w:qFormat/>
    <w:rsid w:val="00C94079"/>
    <w:rPr>
      <w:i/>
      <w:iCs/>
      <w:color w:val="0F4761" w:themeColor="accent1" w:themeShade="BF"/>
    </w:rPr>
  </w:style>
  <w:style w:type="paragraph" w:styleId="Citadestacada">
    <w:name w:val="Intense Quote"/>
    <w:basedOn w:val="Normal"/>
    <w:next w:val="Normal"/>
    <w:link w:val="CitadestacadaCar"/>
    <w:uiPriority w:val="30"/>
    <w:qFormat/>
    <w:rsid w:val="00C94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94079"/>
    <w:rPr>
      <w:i/>
      <w:iCs/>
      <w:color w:val="0F4761" w:themeColor="accent1" w:themeShade="BF"/>
    </w:rPr>
  </w:style>
  <w:style w:type="character" w:styleId="Referenciaintensa">
    <w:name w:val="Intense Reference"/>
    <w:basedOn w:val="Fuentedeprrafopredeter"/>
    <w:uiPriority w:val="32"/>
    <w:qFormat/>
    <w:rsid w:val="00C94079"/>
    <w:rPr>
      <w:b/>
      <w:bCs/>
      <w:smallCaps/>
      <w:color w:val="0F4761" w:themeColor="accent1" w:themeShade="BF"/>
      <w:spacing w:val="5"/>
    </w:rPr>
  </w:style>
  <w:style w:type="character" w:styleId="Hipervnculo">
    <w:name w:val="Hyperlink"/>
    <w:basedOn w:val="Fuentedeprrafopredeter"/>
    <w:uiPriority w:val="99"/>
    <w:unhideWhenUsed/>
    <w:rsid w:val="00C94079"/>
    <w:rPr>
      <w:color w:val="467886" w:themeColor="hyperlink"/>
      <w:u w:val="single"/>
    </w:rPr>
  </w:style>
  <w:style w:type="character" w:styleId="Mencinsinresolver">
    <w:name w:val="Unresolved Mention"/>
    <w:basedOn w:val="Fuentedeprrafopredeter"/>
    <w:uiPriority w:val="99"/>
    <w:semiHidden/>
    <w:unhideWhenUsed/>
    <w:rsid w:val="00C94079"/>
    <w:rPr>
      <w:color w:val="605E5C"/>
      <w:shd w:val="clear" w:color="auto" w:fill="E1DFDD"/>
    </w:rPr>
  </w:style>
  <w:style w:type="paragraph" w:styleId="Encabezado">
    <w:name w:val="header"/>
    <w:basedOn w:val="Normal"/>
    <w:link w:val="EncabezadoCar"/>
    <w:uiPriority w:val="99"/>
    <w:unhideWhenUsed/>
    <w:rsid w:val="0063041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30410"/>
  </w:style>
  <w:style w:type="paragraph" w:styleId="Piedepgina">
    <w:name w:val="footer"/>
    <w:basedOn w:val="Normal"/>
    <w:link w:val="PiedepginaCar"/>
    <w:uiPriority w:val="99"/>
    <w:unhideWhenUsed/>
    <w:rsid w:val="0063041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30410"/>
  </w:style>
  <w:style w:type="table" w:styleId="Tablaconcuadrcula">
    <w:name w:val="Table Grid"/>
    <w:basedOn w:val="Tablanormal"/>
    <w:uiPriority w:val="39"/>
    <w:rsid w:val="00630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qFormat/>
    <w:rsid w:val="00C62335"/>
    <w:pPr>
      <w:suppressAutoHyphens/>
      <w:autoSpaceDN w:val="0"/>
      <w:spacing w:after="0" w:line="240" w:lineRule="auto"/>
    </w:pPr>
    <w:rPr>
      <w:rFonts w:ascii="Calibri" w:eastAsia="Calibri" w:hAnsi="Calibri" w:cs="Times New Roman"/>
      <w:kern w:val="0"/>
      <w:sz w:val="22"/>
      <w:szCs w:val="22"/>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222</Words>
  <Characters>1224</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Sindy Vanessa Ospina Sanchez</dc:creator>
  <cp:keywords/>
  <dc:description/>
  <cp:lastModifiedBy>Angela Viviana Hernandez Orozco</cp:lastModifiedBy>
  <cp:revision>3</cp:revision>
  <dcterms:created xsi:type="dcterms:W3CDTF">2026-10-21T18:31:00Z</dcterms:created>
  <dcterms:modified xsi:type="dcterms:W3CDTF">2026-10-23T20:26:00Z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276b9b-e947-408c-8898-19de23b201e4_Enabled">
    <vt:lpwstr>true</vt:lpwstr>
  </property>
  <property fmtid="{D5CDD505-2E9C-101B-9397-08002B2CF9AE}" pid="3" name="MSIP_Label_0e276b9b-e947-408c-8898-19de23b201e4_SetDate">
    <vt:lpwstr>2026-10-21T18:37:43Z</vt:lpwstr>
  </property>
  <property fmtid="{D5CDD505-2E9C-101B-9397-08002B2CF9AE}" pid="4" name="MSIP_Label_0e276b9b-e947-408c-8898-19de23b201e4_Method">
    <vt:lpwstr>Standard</vt:lpwstr>
  </property>
  <property fmtid="{D5CDD505-2E9C-101B-9397-08002B2CF9AE}" pid="5" name="MSIP_Label_0e276b9b-e947-408c-8898-19de23b201e4_Name">
    <vt:lpwstr>Publica</vt:lpwstr>
  </property>
  <property fmtid="{D5CDD505-2E9C-101B-9397-08002B2CF9AE}" pid="6" name="MSIP_Label_0e276b9b-e947-408c-8898-19de23b201e4_SiteId">
    <vt:lpwstr>6ee94c34-bbd6-4647-a483-0e196a4de0ff</vt:lpwstr>
  </property>
  <property fmtid="{D5CDD505-2E9C-101B-9397-08002B2CF9AE}" pid="7" name="MSIP_Label_0e276b9b-e947-408c-8898-19de23b201e4_ActionId">
    <vt:lpwstr>260832ab-66ee-44d9-b7c9-88c1ad0137a4</vt:lpwstr>
  </property>
  <property fmtid="{D5CDD505-2E9C-101B-9397-08002B2CF9AE}" pid="8" name="MSIP_Label_0e276b9b-e947-408c-8898-19de23b201e4_ContentBits">
    <vt:lpwstr>0</vt:lpwstr>
  </property>
  <property fmtid="{D5CDD505-2E9C-101B-9397-08002B2CF9AE}" pid="9" name="MSIP_Label_0e276b9b-e947-408c-8898-19de23b201e4_Tag">
    <vt:lpwstr>10, 3, 0, 1</vt:lpwstr>
  </property>
</Properties>
</file>