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33" w:rsidRPr="007F3B33" w:rsidRDefault="007F3B33" w:rsidP="002F15A1">
      <w:pPr>
        <w:spacing w:after="0" w:line="240" w:lineRule="auto"/>
        <w:jc w:val="both"/>
        <w:rPr>
          <w:rFonts w:ascii="Arial" w:hAnsi="Arial" w:cs="Arial"/>
          <w:sz w:val="20"/>
          <w:szCs w:val="20"/>
        </w:rPr>
      </w:pPr>
      <w:bookmarkStart w:id="0" w:name="_GoBack"/>
      <w:bookmarkEnd w:id="0"/>
      <w:r w:rsidRPr="007F3B33">
        <w:rPr>
          <w:rFonts w:ascii="Arial" w:hAnsi="Arial" w:cs="Arial"/>
          <w:sz w:val="20"/>
          <w:szCs w:val="20"/>
        </w:rPr>
        <w:t>Introducción:</w:t>
      </w:r>
    </w:p>
    <w:p w:rsidR="007F3B33" w:rsidRPr="007F3B33" w:rsidRDefault="007F3B33" w:rsidP="002F15A1">
      <w:pPr>
        <w:spacing w:after="0" w:line="240" w:lineRule="auto"/>
        <w:jc w:val="both"/>
        <w:rPr>
          <w:rFonts w:ascii="Arial" w:hAnsi="Arial" w:cs="Arial"/>
          <w:sz w:val="20"/>
          <w:szCs w:val="20"/>
        </w:rPr>
      </w:pPr>
    </w:p>
    <w:p w:rsidR="002F15A1" w:rsidRPr="007F3B33" w:rsidRDefault="002F15A1" w:rsidP="002F15A1">
      <w:pPr>
        <w:spacing w:after="0" w:line="240" w:lineRule="auto"/>
        <w:jc w:val="both"/>
        <w:rPr>
          <w:rFonts w:ascii="Arial" w:hAnsi="Arial" w:cs="Arial"/>
          <w:sz w:val="20"/>
          <w:szCs w:val="20"/>
        </w:rPr>
      </w:pPr>
      <w:r w:rsidRPr="007F3B33">
        <w:rPr>
          <w:rFonts w:ascii="Arial" w:hAnsi="Arial" w:cs="Arial"/>
          <w:sz w:val="20"/>
          <w:szCs w:val="20"/>
        </w:rPr>
        <w:t xml:space="preserve">La empresa como base de desarrollo económico, debe mantener normalizada su actividad productiva con el fin de atender sus compromisos financieros y demás obligaciones, de suerte que mejore sus perspectivas de producción en su condición de contribuyente y fuente generadora de empleo. Es así como en la medida en que la empresa produzca bienes o servicios bajo un criterio que permita hacer posible la política económica y social del Estado, estará contribuyendo a favorecer el interés común y la conservación del orden público económico, entendido como el resultado o equilibrio logrado por las fuerzas del mercado. </w:t>
      </w:r>
    </w:p>
    <w:p w:rsidR="002F15A1" w:rsidRPr="007F3B33" w:rsidRDefault="002F15A1" w:rsidP="002F15A1">
      <w:pPr>
        <w:spacing w:after="0" w:line="240" w:lineRule="auto"/>
        <w:jc w:val="both"/>
        <w:rPr>
          <w:rFonts w:ascii="Arial" w:hAnsi="Arial" w:cs="Arial"/>
          <w:sz w:val="20"/>
          <w:szCs w:val="20"/>
        </w:rPr>
      </w:pPr>
    </w:p>
    <w:p w:rsidR="00DA66DD" w:rsidRPr="007F3B33" w:rsidRDefault="002F15A1" w:rsidP="002F15A1">
      <w:pPr>
        <w:spacing w:after="0" w:line="240" w:lineRule="auto"/>
        <w:jc w:val="both"/>
        <w:rPr>
          <w:rFonts w:ascii="Arial" w:hAnsi="Arial" w:cs="Arial"/>
          <w:sz w:val="20"/>
          <w:szCs w:val="20"/>
        </w:rPr>
      </w:pPr>
      <w:r w:rsidRPr="007F3B33">
        <w:rPr>
          <w:rFonts w:ascii="Arial" w:hAnsi="Arial" w:cs="Arial"/>
          <w:sz w:val="20"/>
          <w:szCs w:val="20"/>
        </w:rPr>
        <w:t>La Superintendencia de Sociedades a través de la ejecución de sus proyectos de</w:t>
      </w:r>
      <w:r w:rsidR="00E46CEA">
        <w:rPr>
          <w:rFonts w:ascii="Arial" w:hAnsi="Arial" w:cs="Arial"/>
          <w:sz w:val="20"/>
          <w:szCs w:val="20"/>
        </w:rPr>
        <w:t xml:space="preserve"> inversión busca fortalecer la E</w:t>
      </w:r>
      <w:r w:rsidRPr="007F3B33">
        <w:rPr>
          <w:rFonts w:ascii="Arial" w:hAnsi="Arial" w:cs="Arial"/>
          <w:sz w:val="20"/>
          <w:szCs w:val="20"/>
        </w:rPr>
        <w:t>ntidad y simplificar sus procesos en un ciclo permanente de análisis de capacidades, donde a partir del entendimiento de los objetivos institucionales, se realice una revisión técnica que oriente el modelo de operación por procesos, sus habilitadores tecnológicos, la estructura organizativa y operacional hacia esos fines. Con el fin de generar resultados que atiendan los planes de desarrollo, resuelvan las necesidades de los ciudadanos y atendiendo las orientaciones contenidas en el MIPG, como marco de referencia para planear, ejecutar, monitorear, y evaluar la gestión de la entidad, la Superintendencia de Sociedades ha formulado un portafolio de proyectos de inversión el cual se encuentra alienado a la Transformación productiva, internacionalización y acción climática. A continuación, se presentan los tres proyectos de inversión que ha formulado la entidad:</w:t>
      </w:r>
    </w:p>
    <w:p w:rsidR="002F15A1" w:rsidRDefault="002F15A1" w:rsidP="002F15A1">
      <w:pPr>
        <w:spacing w:after="0" w:line="240" w:lineRule="auto"/>
        <w:jc w:val="both"/>
      </w:pPr>
    </w:p>
    <w:p w:rsidR="007F3B33" w:rsidRDefault="007F3B33" w:rsidP="002F15A1">
      <w:pPr>
        <w:spacing w:after="0" w:line="240" w:lineRule="auto"/>
        <w:jc w:val="both"/>
      </w:pPr>
    </w:p>
    <w:tbl>
      <w:tblPr>
        <w:tblStyle w:val="Tablaconcuadrcula"/>
        <w:tblW w:w="0" w:type="auto"/>
        <w:tblLook w:val="04A0" w:firstRow="1" w:lastRow="0" w:firstColumn="1" w:lastColumn="0" w:noHBand="0" w:noVBand="1"/>
      </w:tblPr>
      <w:tblGrid>
        <w:gridCol w:w="678"/>
        <w:gridCol w:w="2049"/>
        <w:gridCol w:w="2682"/>
        <w:gridCol w:w="4112"/>
        <w:gridCol w:w="1575"/>
      </w:tblGrid>
      <w:tr w:rsidR="00E46CEA" w:rsidTr="00E46CEA">
        <w:trPr>
          <w:trHeight w:val="513"/>
        </w:trPr>
        <w:tc>
          <w:tcPr>
            <w:tcW w:w="633" w:type="dxa"/>
            <w:shd w:val="clear" w:color="auto" w:fill="F2F2F2" w:themeFill="background1" w:themeFillShade="F2"/>
            <w:vAlign w:val="center"/>
          </w:tcPr>
          <w:p w:rsidR="00E46CEA" w:rsidRPr="007F3B33" w:rsidRDefault="00E46CEA" w:rsidP="00E46CEA">
            <w:pPr>
              <w:jc w:val="center"/>
              <w:rPr>
                <w:rFonts w:ascii="Verdana" w:hAnsi="Verdana" w:cs="Arial"/>
                <w:b/>
                <w:bCs/>
                <w:color w:val="002060"/>
                <w:sz w:val="10"/>
                <w:szCs w:val="10"/>
              </w:rPr>
            </w:pPr>
            <w:r>
              <w:rPr>
                <w:rFonts w:ascii="Verdana" w:hAnsi="Verdana" w:cs="Arial"/>
                <w:b/>
                <w:bCs/>
                <w:color w:val="002060"/>
                <w:sz w:val="10"/>
                <w:szCs w:val="10"/>
              </w:rPr>
              <w:t xml:space="preserve">CÓDIGO </w:t>
            </w:r>
            <w:r w:rsidRPr="007F3B33">
              <w:rPr>
                <w:rFonts w:ascii="Verdana" w:hAnsi="Verdana" w:cs="Arial"/>
                <w:b/>
                <w:bCs/>
                <w:color w:val="002060"/>
                <w:sz w:val="10"/>
                <w:szCs w:val="10"/>
              </w:rPr>
              <w:t>BPIN</w:t>
            </w:r>
          </w:p>
        </w:tc>
        <w:tc>
          <w:tcPr>
            <w:tcW w:w="2056" w:type="dxa"/>
            <w:shd w:val="clear" w:color="auto" w:fill="F2F2F2" w:themeFill="background1" w:themeFillShade="F2"/>
            <w:vAlign w:val="center"/>
          </w:tcPr>
          <w:p w:rsidR="00E46CEA" w:rsidRPr="007F3B33" w:rsidRDefault="00E46CEA" w:rsidP="00E46CEA">
            <w:pPr>
              <w:jc w:val="center"/>
              <w:rPr>
                <w:rFonts w:ascii="Verdana" w:hAnsi="Verdana" w:cs="Arial"/>
                <w:b/>
                <w:bCs/>
                <w:color w:val="002060"/>
                <w:sz w:val="10"/>
                <w:szCs w:val="10"/>
              </w:rPr>
            </w:pPr>
            <w:r w:rsidRPr="007F3B33">
              <w:rPr>
                <w:rFonts w:ascii="Verdana" w:hAnsi="Verdana" w:cs="Arial"/>
                <w:b/>
                <w:bCs/>
                <w:color w:val="002060"/>
                <w:sz w:val="10"/>
                <w:szCs w:val="10"/>
              </w:rPr>
              <w:t>NOMBRE DEL PROYECTO DE INVERSIÓN</w:t>
            </w:r>
          </w:p>
        </w:tc>
        <w:tc>
          <w:tcPr>
            <w:tcW w:w="2694" w:type="dxa"/>
            <w:shd w:val="clear" w:color="auto" w:fill="F2F2F2" w:themeFill="background1" w:themeFillShade="F2"/>
            <w:vAlign w:val="center"/>
          </w:tcPr>
          <w:p w:rsidR="00E46CEA" w:rsidRPr="007F3B33" w:rsidRDefault="00E46CEA" w:rsidP="00E46CEA">
            <w:pPr>
              <w:jc w:val="center"/>
              <w:rPr>
                <w:rFonts w:ascii="Verdana" w:hAnsi="Verdana" w:cs="Arial"/>
                <w:b/>
                <w:bCs/>
                <w:color w:val="002060"/>
                <w:sz w:val="10"/>
                <w:szCs w:val="10"/>
              </w:rPr>
            </w:pPr>
            <w:r w:rsidRPr="007F3B33">
              <w:rPr>
                <w:rFonts w:ascii="Verdana" w:hAnsi="Verdana" w:cs="Arial"/>
                <w:b/>
                <w:bCs/>
                <w:color w:val="002060"/>
                <w:sz w:val="10"/>
                <w:szCs w:val="10"/>
              </w:rPr>
              <w:t>BREVE DESCRIPCIÓN DEL PROYECTO</w:t>
            </w:r>
          </w:p>
        </w:tc>
        <w:tc>
          <w:tcPr>
            <w:tcW w:w="4134" w:type="dxa"/>
            <w:shd w:val="clear" w:color="auto" w:fill="F2F2F2" w:themeFill="background1" w:themeFillShade="F2"/>
            <w:vAlign w:val="center"/>
          </w:tcPr>
          <w:p w:rsidR="00E46CEA" w:rsidRPr="007F3B33" w:rsidRDefault="00E46CEA" w:rsidP="00E46CEA">
            <w:pPr>
              <w:jc w:val="center"/>
              <w:rPr>
                <w:rFonts w:ascii="Verdana" w:hAnsi="Verdana" w:cs="Arial"/>
                <w:b/>
                <w:bCs/>
                <w:color w:val="002060"/>
                <w:sz w:val="10"/>
                <w:szCs w:val="10"/>
              </w:rPr>
            </w:pPr>
            <w:r w:rsidRPr="007F3B33">
              <w:rPr>
                <w:rFonts w:ascii="Verdana" w:hAnsi="Verdana" w:cs="Arial"/>
                <w:b/>
                <w:bCs/>
                <w:color w:val="002060"/>
                <w:sz w:val="10"/>
                <w:szCs w:val="10"/>
              </w:rPr>
              <w:t>META O RESULTADO ESPERADO</w:t>
            </w:r>
          </w:p>
        </w:tc>
        <w:tc>
          <w:tcPr>
            <w:tcW w:w="1579" w:type="dxa"/>
            <w:shd w:val="clear" w:color="auto" w:fill="F2F2F2" w:themeFill="background1" w:themeFillShade="F2"/>
            <w:vAlign w:val="center"/>
          </w:tcPr>
          <w:p w:rsidR="00E46CEA" w:rsidRPr="007F3B33" w:rsidRDefault="00E46CEA" w:rsidP="00E46CEA">
            <w:pPr>
              <w:jc w:val="center"/>
              <w:rPr>
                <w:rFonts w:ascii="Verdana" w:hAnsi="Verdana" w:cs="Arial"/>
                <w:b/>
                <w:bCs/>
                <w:color w:val="002060"/>
                <w:sz w:val="10"/>
                <w:szCs w:val="10"/>
              </w:rPr>
            </w:pPr>
            <w:r w:rsidRPr="007F3B33">
              <w:rPr>
                <w:rFonts w:ascii="Verdana" w:hAnsi="Verdana" w:cs="Arial"/>
                <w:b/>
                <w:bCs/>
                <w:color w:val="002060"/>
                <w:sz w:val="10"/>
                <w:szCs w:val="10"/>
              </w:rPr>
              <w:t>VALOR SOLICITADO PARA VIGENCIA 2025</w:t>
            </w:r>
          </w:p>
        </w:tc>
      </w:tr>
      <w:tr w:rsidR="00E46CEA" w:rsidTr="00E46CEA">
        <w:trPr>
          <w:trHeight w:val="2111"/>
        </w:trPr>
        <w:tc>
          <w:tcPr>
            <w:tcW w:w="633" w:type="dxa"/>
            <w:shd w:val="clear" w:color="auto" w:fill="F2F2F2" w:themeFill="background1" w:themeFillShade="F2"/>
            <w:textDirection w:val="btLr"/>
            <w:vAlign w:val="center"/>
          </w:tcPr>
          <w:p w:rsidR="00E46CEA" w:rsidRPr="00E46CEA" w:rsidRDefault="00E46CEA" w:rsidP="00E46CEA">
            <w:pPr>
              <w:ind w:left="113" w:right="113"/>
              <w:jc w:val="center"/>
              <w:rPr>
                <w:rFonts w:ascii="Verdana" w:hAnsi="Verdana" w:cs="Arial"/>
                <w:b/>
                <w:bCs/>
                <w:color w:val="002060"/>
                <w:sz w:val="10"/>
                <w:szCs w:val="10"/>
              </w:rPr>
            </w:pPr>
            <w:r w:rsidRPr="00E46CEA">
              <w:rPr>
                <w:rFonts w:ascii="Verdana" w:hAnsi="Verdana" w:cs="Arial"/>
                <w:b/>
                <w:bCs/>
                <w:color w:val="002060"/>
                <w:sz w:val="10"/>
                <w:szCs w:val="10"/>
              </w:rPr>
              <w:t>202300000000149</w:t>
            </w:r>
          </w:p>
        </w:tc>
        <w:tc>
          <w:tcPr>
            <w:tcW w:w="2056" w:type="dxa"/>
            <w:shd w:val="clear" w:color="auto" w:fill="F2F2F2" w:themeFill="background1" w:themeFillShade="F2"/>
            <w:vAlign w:val="center"/>
          </w:tcPr>
          <w:p w:rsidR="00E46CEA" w:rsidRPr="00E46CEA" w:rsidRDefault="00E46CEA" w:rsidP="00E46CEA">
            <w:pPr>
              <w:rPr>
                <w:rFonts w:ascii="Verdana" w:hAnsi="Verdana" w:cs="Arial"/>
                <w:b/>
                <w:bCs/>
                <w:color w:val="002060"/>
                <w:sz w:val="10"/>
                <w:szCs w:val="10"/>
              </w:rPr>
            </w:pPr>
            <w:r w:rsidRPr="00E46CEA">
              <w:rPr>
                <w:rFonts w:ascii="Verdana" w:hAnsi="Verdana" w:cs="Arial"/>
                <w:b/>
                <w:bCs/>
                <w:color w:val="002060"/>
                <w:sz w:val="10"/>
                <w:szCs w:val="10"/>
              </w:rPr>
              <w:t>Fortalecimiento de la función jurisdiccional y administrativa de la Superintendencia de Sociedades a nivel nacional</w:t>
            </w:r>
          </w:p>
        </w:tc>
        <w:tc>
          <w:tcPr>
            <w:tcW w:w="2694" w:type="dxa"/>
            <w:vAlign w:val="center"/>
          </w:tcPr>
          <w:p w:rsidR="00E46CEA" w:rsidRPr="007F3B33" w:rsidRDefault="00E46CEA" w:rsidP="00E46CEA">
            <w:pPr>
              <w:rPr>
                <w:rFonts w:ascii="Verdana" w:hAnsi="Verdana" w:cs="Arial"/>
                <w:bCs/>
                <w:color w:val="002060"/>
                <w:sz w:val="10"/>
                <w:szCs w:val="10"/>
              </w:rPr>
            </w:pPr>
            <w:r w:rsidRPr="007F3B33">
              <w:rPr>
                <w:rFonts w:ascii="Verdana" w:hAnsi="Verdana" w:cs="Arial"/>
                <w:bCs/>
                <w:color w:val="002060"/>
                <w:sz w:val="10"/>
                <w:szCs w:val="10"/>
              </w:rPr>
              <w:t>El proyecto tiene una orientación de esfuerzos que le apuntan al incremento en la productividad y el crecimiento empresarial del país, lo cual se han planeado logar mediante acciones focalizadas para la recuperación y conservación de la empresa viable como unidad de explotación económica y fuente generadora de empleo, la normalización de las relaciones comerciales y crediticias de las sociedades, la reincorporación de activos a la economía, la promoción de la formalización empresarial y del crecimiento de las sociedades de manera óptima y controlada sin que se generen desequilibrios en su administración, el acceso a sistemas de financiamiento para empresas en proceso de reactivación económica, entre otras.</w:t>
            </w:r>
          </w:p>
        </w:tc>
        <w:tc>
          <w:tcPr>
            <w:tcW w:w="4134" w:type="dxa"/>
            <w:vAlign w:val="center"/>
          </w:tcPr>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Empresas recuperadas de procesos de insolvencia</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Conflictos societarios que fueron resueltos oportunamente</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Empleos que se fueron conservados gracias a la recuperación de las empresas</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Cuantías económicas reconocidas a la población afectada</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Modelo de supervisión inteligente y focalizada</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Empresas formalizadas que ya pueden tener acceso a sistemas de financiamiento</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Empresas que hicieron la adopción voluntaria de prácticas como: sostenibilidad, ambiente y gobernanza: justicia social y justicia climática.</w:t>
            </w:r>
          </w:p>
        </w:tc>
        <w:tc>
          <w:tcPr>
            <w:tcW w:w="1579" w:type="dxa"/>
            <w:vAlign w:val="center"/>
          </w:tcPr>
          <w:p w:rsidR="00E46CEA" w:rsidRPr="00E46CEA" w:rsidRDefault="00E46CEA" w:rsidP="00E46CEA">
            <w:pPr>
              <w:jc w:val="center"/>
              <w:rPr>
                <w:rFonts w:ascii="Verdana" w:hAnsi="Verdana" w:cs="Arial"/>
                <w:bCs/>
                <w:color w:val="002060"/>
                <w:sz w:val="10"/>
                <w:szCs w:val="10"/>
              </w:rPr>
            </w:pPr>
            <w:r w:rsidRPr="00E46CEA">
              <w:rPr>
                <w:rFonts w:ascii="Verdana" w:hAnsi="Verdana" w:cs="Arial"/>
                <w:bCs/>
                <w:color w:val="002060"/>
                <w:sz w:val="10"/>
                <w:szCs w:val="10"/>
              </w:rPr>
              <w:t>$          6.020.900.000</w:t>
            </w:r>
          </w:p>
        </w:tc>
      </w:tr>
      <w:tr w:rsidR="00E46CEA" w:rsidTr="00E46CEA">
        <w:trPr>
          <w:trHeight w:val="1967"/>
        </w:trPr>
        <w:tc>
          <w:tcPr>
            <w:tcW w:w="633" w:type="dxa"/>
            <w:shd w:val="clear" w:color="auto" w:fill="F2F2F2" w:themeFill="background1" w:themeFillShade="F2"/>
            <w:textDirection w:val="btLr"/>
            <w:vAlign w:val="center"/>
          </w:tcPr>
          <w:p w:rsidR="00E46CEA" w:rsidRPr="00E46CEA" w:rsidRDefault="00E46CEA" w:rsidP="00E46CEA">
            <w:pPr>
              <w:ind w:left="113" w:right="113"/>
              <w:jc w:val="center"/>
              <w:rPr>
                <w:rFonts w:ascii="Verdana" w:hAnsi="Verdana" w:cs="Arial"/>
                <w:b/>
                <w:bCs/>
                <w:color w:val="002060"/>
                <w:sz w:val="10"/>
                <w:szCs w:val="10"/>
              </w:rPr>
            </w:pPr>
            <w:r w:rsidRPr="00E46CEA">
              <w:rPr>
                <w:rFonts w:ascii="Verdana" w:hAnsi="Verdana" w:cs="Arial"/>
                <w:b/>
                <w:bCs/>
                <w:color w:val="002060"/>
                <w:sz w:val="10"/>
                <w:szCs w:val="10"/>
              </w:rPr>
              <w:t>202300000000138</w:t>
            </w:r>
          </w:p>
        </w:tc>
        <w:tc>
          <w:tcPr>
            <w:tcW w:w="2056" w:type="dxa"/>
            <w:shd w:val="clear" w:color="auto" w:fill="F2F2F2" w:themeFill="background1" w:themeFillShade="F2"/>
            <w:vAlign w:val="center"/>
          </w:tcPr>
          <w:p w:rsidR="00E46CEA" w:rsidRPr="00E46CEA" w:rsidRDefault="00E46CEA" w:rsidP="00E46CEA">
            <w:pPr>
              <w:rPr>
                <w:rFonts w:ascii="Verdana" w:hAnsi="Verdana" w:cs="Arial"/>
                <w:b/>
                <w:bCs/>
                <w:color w:val="002060"/>
                <w:sz w:val="10"/>
                <w:szCs w:val="10"/>
              </w:rPr>
            </w:pPr>
            <w:r w:rsidRPr="00E46CEA">
              <w:rPr>
                <w:rFonts w:ascii="Verdana" w:hAnsi="Verdana" w:cs="Arial"/>
                <w:b/>
                <w:bCs/>
                <w:color w:val="002060"/>
                <w:sz w:val="10"/>
                <w:szCs w:val="10"/>
              </w:rPr>
              <w:t>Mejoramiento de la infraestructura física de las sedes de la Superintendencia de Sociedades nacional</w:t>
            </w:r>
          </w:p>
        </w:tc>
        <w:tc>
          <w:tcPr>
            <w:tcW w:w="2694" w:type="dxa"/>
            <w:vAlign w:val="center"/>
          </w:tcPr>
          <w:p w:rsidR="00E46CEA" w:rsidRPr="007F3B33" w:rsidRDefault="00E46CEA" w:rsidP="00E46CEA">
            <w:pPr>
              <w:rPr>
                <w:rFonts w:ascii="Verdana" w:hAnsi="Verdana" w:cs="Arial"/>
                <w:b/>
                <w:bCs/>
                <w:color w:val="002060"/>
                <w:sz w:val="10"/>
                <w:szCs w:val="10"/>
              </w:rPr>
            </w:pPr>
            <w:r w:rsidRPr="007F3B33">
              <w:rPr>
                <w:rFonts w:ascii="Verdana" w:hAnsi="Verdana" w:cs="Arial"/>
                <w:bCs/>
                <w:color w:val="002060"/>
                <w:sz w:val="10"/>
                <w:szCs w:val="10"/>
              </w:rPr>
              <w:t>El proyecto plantea realizar las intervenciones que sean necesarias para adecuar los espacios físicos de la Entidad, mejorando así las condiciones de la infraestructura física y cumpliendo de esta manera con las disposiciones dadas por el Gobierno Nacional y por las autoridades competentes, en materia de accesibilidad, inclusión social, seguridad y salud en el trabajo, gestión del riesgo de desastres, gestión de la continuidad del negocio, normas ambientales y normas de conservación documental entre otras.</w:t>
            </w:r>
          </w:p>
        </w:tc>
        <w:tc>
          <w:tcPr>
            <w:tcW w:w="4134" w:type="dxa"/>
            <w:vAlign w:val="center"/>
          </w:tcPr>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Ambientes institucionales sanos y seguros, que cumplen los requisitos legales y demás requisitos que le sean aplicables.</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Sedes seguras y saludables que permitan la prevención de lesiones y el deterioro de la salud física y mental de sus servidores públicos, contratistas, proveedores, usuarios y demás partes interesadas.</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Espacios de infraestructura física adaptados a las necesidades de las personas con discapacidad física, con el fin de permitir su movilidad en condiciones de acceso y seguridad adecuadas.</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Sedes adecuadas para que los procesos críticos sigan funcionando en caso de daños o emergencias.</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Espacios físicos adecuados en diferentes regiones del país para brindar atención presencial a los usuarios y la ciudanía en general.</w:t>
            </w:r>
          </w:p>
        </w:tc>
        <w:tc>
          <w:tcPr>
            <w:tcW w:w="1579" w:type="dxa"/>
            <w:vAlign w:val="center"/>
          </w:tcPr>
          <w:p w:rsidR="00E46CEA" w:rsidRPr="00E46CEA" w:rsidRDefault="00E46CEA" w:rsidP="00E46CEA">
            <w:pPr>
              <w:jc w:val="center"/>
              <w:rPr>
                <w:rFonts w:ascii="Verdana" w:hAnsi="Verdana" w:cs="Arial"/>
                <w:bCs/>
                <w:color w:val="002060"/>
                <w:sz w:val="10"/>
                <w:szCs w:val="10"/>
              </w:rPr>
            </w:pPr>
            <w:r w:rsidRPr="00E46CEA">
              <w:rPr>
                <w:rFonts w:ascii="Verdana" w:hAnsi="Verdana" w:cs="Arial"/>
                <w:bCs/>
                <w:color w:val="002060"/>
                <w:sz w:val="10"/>
                <w:szCs w:val="10"/>
              </w:rPr>
              <w:t>$          4.155.200.000</w:t>
            </w:r>
          </w:p>
        </w:tc>
      </w:tr>
      <w:tr w:rsidR="00E46CEA" w:rsidTr="00E46CEA">
        <w:trPr>
          <w:trHeight w:val="2988"/>
        </w:trPr>
        <w:tc>
          <w:tcPr>
            <w:tcW w:w="633" w:type="dxa"/>
            <w:shd w:val="clear" w:color="auto" w:fill="F2F2F2" w:themeFill="background1" w:themeFillShade="F2"/>
            <w:textDirection w:val="btLr"/>
            <w:vAlign w:val="center"/>
          </w:tcPr>
          <w:p w:rsidR="00E46CEA" w:rsidRPr="00E46CEA" w:rsidRDefault="00E46CEA" w:rsidP="00E46CEA">
            <w:pPr>
              <w:ind w:left="113" w:right="113"/>
              <w:jc w:val="center"/>
              <w:rPr>
                <w:rFonts w:ascii="Verdana" w:hAnsi="Verdana" w:cs="Arial"/>
                <w:b/>
                <w:bCs/>
                <w:color w:val="002060"/>
                <w:sz w:val="10"/>
                <w:szCs w:val="10"/>
              </w:rPr>
            </w:pPr>
            <w:r w:rsidRPr="00E46CEA">
              <w:rPr>
                <w:rFonts w:ascii="Verdana" w:hAnsi="Verdana" w:cs="Arial"/>
                <w:b/>
                <w:bCs/>
                <w:color w:val="002060"/>
                <w:sz w:val="10"/>
                <w:szCs w:val="10"/>
              </w:rPr>
              <w:t>202300000000151</w:t>
            </w:r>
          </w:p>
        </w:tc>
        <w:tc>
          <w:tcPr>
            <w:tcW w:w="2056" w:type="dxa"/>
            <w:shd w:val="clear" w:color="auto" w:fill="F2F2F2" w:themeFill="background1" w:themeFillShade="F2"/>
            <w:vAlign w:val="center"/>
          </w:tcPr>
          <w:p w:rsidR="00E46CEA" w:rsidRPr="00E46CEA" w:rsidRDefault="00E46CEA" w:rsidP="00E46CEA">
            <w:pPr>
              <w:rPr>
                <w:rFonts w:ascii="Verdana" w:hAnsi="Verdana" w:cs="Arial"/>
                <w:b/>
                <w:bCs/>
                <w:color w:val="002060"/>
                <w:sz w:val="10"/>
                <w:szCs w:val="10"/>
              </w:rPr>
            </w:pPr>
            <w:r w:rsidRPr="00E46CEA">
              <w:rPr>
                <w:rFonts w:ascii="Verdana" w:hAnsi="Verdana" w:cs="Arial"/>
                <w:b/>
                <w:bCs/>
                <w:color w:val="002060"/>
                <w:sz w:val="10"/>
                <w:szCs w:val="10"/>
              </w:rPr>
              <w:t>Fortalecimiento de los Sistemas de Información y de Gestión de la Superintendencia de Sociedades a nivel nacional</w:t>
            </w:r>
          </w:p>
        </w:tc>
        <w:tc>
          <w:tcPr>
            <w:tcW w:w="2694" w:type="dxa"/>
            <w:vAlign w:val="center"/>
          </w:tcPr>
          <w:p w:rsidR="00E46CEA" w:rsidRPr="007F3B33" w:rsidRDefault="00E46CEA" w:rsidP="00E46CEA">
            <w:pPr>
              <w:rPr>
                <w:rFonts w:ascii="Verdana" w:hAnsi="Verdana" w:cs="Arial"/>
                <w:bCs/>
                <w:color w:val="002060"/>
                <w:sz w:val="10"/>
                <w:szCs w:val="10"/>
              </w:rPr>
            </w:pPr>
            <w:r w:rsidRPr="007F3B33">
              <w:rPr>
                <w:rFonts w:ascii="Verdana" w:hAnsi="Verdana" w:cs="Arial"/>
                <w:bCs/>
                <w:color w:val="002060"/>
                <w:sz w:val="10"/>
                <w:szCs w:val="10"/>
              </w:rPr>
              <w:t>El proyecto tiene como alcance el mejoramiento de la gestión institucional, para lo cual incorporará componentes tecnológicos para soportar la operación de los procesos y lograr eficiencia y transparencia en su ejecución. También busca facilitar los procesos de captura y procesamiento de los datos y brindar información objetiva y oportuna para la toma de decisiones en todos los niveles. De igual forma también permitirá la alineación de la gestión de TI con los objetivos estratégicos de la Entidad, así como aumentar la eficiencia institucional, la gestión del conocimiento institucional y de los riesgos que afectan la continuidad del negocio, lo cual permitirá mejorar la forma como opera la Entidad y presta los servicios a los usuarios a nivel nacional.</w:t>
            </w:r>
          </w:p>
        </w:tc>
        <w:tc>
          <w:tcPr>
            <w:tcW w:w="4134" w:type="dxa"/>
            <w:vAlign w:val="center"/>
          </w:tcPr>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Sistematización de procesos y procedimientos de la entidad, para mejorar la articulación, calidad, eficiencia, seguridad y reducir los costos de operación.</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Incorporación de controles en los procesos para asegurar la protección de la información.</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Fortalecimiento de las herramientas para realizar difusión y transferencia de conocimiento.</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Fortalecimiento de las capacidades institucionales para entregar a los usuarios los diferentes servicios institucionales, dispuestos a través de diferentes canales.</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Diseño de servicios de información y desarrollo de capacidades para el uso estratégico de la misma.</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Actualización y renovación de la infraestructura tecnológica que soporta los procesos de la entidad.</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Fortalecimiento de la capacidad de atención y resolución de incidentes para ofrecer continuidad de la operación y la prestación de todos los servicios de la entidad.</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Fortalecimiento de la forma digital la relación de los ciudadanos con el Estado enfocándose en la generación de valor público sobre cada una de las interacciones entre ciudadano y Estado.</w:t>
            </w:r>
          </w:p>
          <w:p w:rsidR="00E46CEA" w:rsidRPr="007F3B33" w:rsidRDefault="00E46CEA" w:rsidP="00E46CEA">
            <w:pPr>
              <w:pStyle w:val="Prrafodelista"/>
              <w:numPr>
                <w:ilvl w:val="0"/>
                <w:numId w:val="1"/>
              </w:numPr>
              <w:ind w:left="142" w:hanging="142"/>
              <w:rPr>
                <w:rFonts w:ascii="Verdana" w:hAnsi="Verdana" w:cs="Arial"/>
                <w:bCs/>
                <w:color w:val="002060"/>
                <w:sz w:val="10"/>
                <w:szCs w:val="10"/>
              </w:rPr>
            </w:pPr>
            <w:r w:rsidRPr="007F3B33">
              <w:rPr>
                <w:rFonts w:ascii="Verdana" w:hAnsi="Verdana" w:cs="Arial"/>
                <w:bCs/>
                <w:color w:val="002060"/>
                <w:sz w:val="10"/>
                <w:szCs w:val="10"/>
              </w:rPr>
              <w:t>Ecosistema tecnológico estandarizado para controlar la diversidad tecnológica y la complejidad técnica de la plataforma tecnológica de la entidad.</w:t>
            </w:r>
          </w:p>
        </w:tc>
        <w:tc>
          <w:tcPr>
            <w:tcW w:w="1579" w:type="dxa"/>
            <w:vAlign w:val="center"/>
          </w:tcPr>
          <w:p w:rsidR="00E46CEA" w:rsidRPr="00E46CEA" w:rsidRDefault="00E46CEA" w:rsidP="00E46CEA">
            <w:pPr>
              <w:jc w:val="center"/>
              <w:rPr>
                <w:rFonts w:ascii="Verdana" w:hAnsi="Verdana" w:cs="Arial"/>
                <w:bCs/>
                <w:color w:val="002060"/>
                <w:sz w:val="10"/>
                <w:szCs w:val="10"/>
              </w:rPr>
            </w:pPr>
            <w:r w:rsidRPr="00E46CEA">
              <w:rPr>
                <w:rFonts w:ascii="Verdana" w:hAnsi="Verdana" w:cs="Arial"/>
                <w:bCs/>
                <w:color w:val="002060"/>
                <w:sz w:val="10"/>
                <w:szCs w:val="10"/>
              </w:rPr>
              <w:t>$         25.696.900.000</w:t>
            </w:r>
          </w:p>
        </w:tc>
      </w:tr>
    </w:tbl>
    <w:p w:rsidR="007F3B33" w:rsidRDefault="007F3B33" w:rsidP="002F15A1">
      <w:pPr>
        <w:spacing w:after="0" w:line="240" w:lineRule="auto"/>
        <w:jc w:val="both"/>
      </w:pPr>
    </w:p>
    <w:sectPr w:rsidR="007F3B33" w:rsidSect="00E46CEA">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00D6"/>
    <w:multiLevelType w:val="hybridMultilevel"/>
    <w:tmpl w:val="99D02924"/>
    <w:lvl w:ilvl="0" w:tplc="D6B2E4B8">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1"/>
    <w:rsid w:val="002F15A1"/>
    <w:rsid w:val="007F3B33"/>
    <w:rsid w:val="008C0022"/>
    <w:rsid w:val="00DA66DD"/>
    <w:rsid w:val="00E46C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B4CBC-FA88-4EBF-B787-D2A98E08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F15A1"/>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1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6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1023</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Johanna Rodríguez Álvarez</dc:creator>
  <cp:keywords/>
  <dc:description/>
  <cp:lastModifiedBy>Joaquin Fernando Ruíz González</cp:lastModifiedBy>
  <cp:revision>2</cp:revision>
  <dcterms:created xsi:type="dcterms:W3CDTF">2024-05-02T21:23:00Z</dcterms:created>
  <dcterms:modified xsi:type="dcterms:W3CDTF">2024-05-02T21:23:00Z</dcterms:modified>
</cp:coreProperties>
</file>