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602A193" w14:textId="4599E943" w:rsidR="008409B1" w:rsidRPr="00555276" w:rsidRDefault="008409B1" w:rsidP="00CC34A1">
      <w:pPr>
        <w:pStyle w:val="Ttulo1"/>
        <w:numPr>
          <w:ilvl w:val="0"/>
          <w:numId w:val="39"/>
        </w:numPr>
        <w:spacing w:line="240" w:lineRule="auto"/>
        <w:jc w:val="both"/>
        <w:rPr>
          <w:rFonts w:ascii="Verdana" w:hAnsi="Verdana"/>
          <w:sz w:val="22"/>
          <w:szCs w:val="22"/>
        </w:rPr>
      </w:pPr>
      <w:bookmarkStart w:id="0" w:name="_Toc183181506"/>
      <w:r w:rsidRPr="003822FD">
        <w:rPr>
          <w:rFonts w:ascii="Verdana" w:hAnsi="Verdana"/>
          <w:sz w:val="22"/>
          <w:szCs w:val="22"/>
        </w:rPr>
        <w:t>OBJETIVO</w:t>
      </w:r>
      <w:bookmarkEnd w:id="0"/>
    </w:p>
    <w:p w14:paraId="03DE7549" w14:textId="77777777" w:rsidR="003822FD" w:rsidRPr="003822FD" w:rsidRDefault="003822FD" w:rsidP="003822FD">
      <w:pPr>
        <w:rPr>
          <w:lang w:val="es-MX"/>
        </w:rPr>
      </w:pPr>
    </w:p>
    <w:p w14:paraId="5B244F14" w14:textId="77777777" w:rsidR="00E04EE4" w:rsidRPr="00DC70A8" w:rsidRDefault="00E04EE4" w:rsidP="00E04EE4">
      <w:pPr>
        <w:jc w:val="both"/>
        <w:rPr>
          <w:rFonts w:ascii="Verdana" w:hAnsi="Verdana" w:cs="Arial"/>
          <w:sz w:val="22"/>
          <w:szCs w:val="22"/>
          <w:lang w:val="es-CO"/>
        </w:rPr>
      </w:pPr>
      <w:bookmarkStart w:id="1" w:name="_Toc183181507"/>
      <w:r w:rsidRPr="00DC70A8">
        <w:rPr>
          <w:rFonts w:ascii="Verdana" w:hAnsi="Verdana" w:cs="Arial"/>
          <w:sz w:val="22"/>
          <w:szCs w:val="22"/>
          <w:lang w:val="es-CO"/>
        </w:rPr>
        <w:t>Definir los requisitos normativos, técnicos, funcionales y no funcionales para la gestión de documentos electrónicos de archivo en la Superintendencia de Sociedades, mediante la integración de la preservación digital, la interoperabilidad con los servicios ciudadanos digitales y la seguridad de la información, con el fin de garantizar la integridad, disponibilidad, confidencialidad, trazabilidad y preservación de los documentos conforme al marco legal vigente.</w:t>
      </w:r>
    </w:p>
    <w:p w14:paraId="1C2F528E" w14:textId="77777777" w:rsidR="00E04EE4" w:rsidRPr="00E04EE4" w:rsidRDefault="00E04EE4" w:rsidP="005F419C">
      <w:pPr>
        <w:jc w:val="both"/>
        <w:rPr>
          <w:rFonts w:ascii="Verdana" w:hAnsi="Verdana" w:cs="Arial"/>
          <w:sz w:val="22"/>
          <w:szCs w:val="22"/>
          <w:lang w:val="es-CO"/>
        </w:rPr>
      </w:pPr>
    </w:p>
    <w:p w14:paraId="7FB2E103" w14:textId="77777777" w:rsidR="001B48AA" w:rsidRPr="004D1443" w:rsidRDefault="001B48AA" w:rsidP="001B48AA">
      <w:pPr>
        <w:rPr>
          <w:rFonts w:ascii="Verdana" w:hAnsi="Verdana"/>
          <w:sz w:val="22"/>
          <w:szCs w:val="22"/>
        </w:rPr>
      </w:pPr>
    </w:p>
    <w:p w14:paraId="21016ADD" w14:textId="12393784" w:rsidR="004D1443" w:rsidRPr="009303D0" w:rsidRDefault="005C3F53" w:rsidP="00A27AA5">
      <w:pPr>
        <w:pStyle w:val="Prrafodelista"/>
        <w:numPr>
          <w:ilvl w:val="1"/>
          <w:numId w:val="28"/>
        </w:numPr>
        <w:rPr>
          <w:rFonts w:ascii="Verdana" w:hAnsi="Verdana"/>
          <w:b/>
          <w:bCs/>
          <w:sz w:val="22"/>
          <w:szCs w:val="22"/>
        </w:rPr>
      </w:pPr>
      <w:r w:rsidRPr="009303D0">
        <w:rPr>
          <w:rFonts w:ascii="Verdana" w:hAnsi="Verdana"/>
          <w:b/>
          <w:bCs/>
          <w:sz w:val="22"/>
          <w:szCs w:val="22"/>
        </w:rPr>
        <w:t>Objetivos Específicos:</w:t>
      </w:r>
    </w:p>
    <w:p w14:paraId="52616DB2" w14:textId="77777777" w:rsidR="004D2AD9" w:rsidRDefault="004D2AD9" w:rsidP="004D1443">
      <w:pPr>
        <w:rPr>
          <w:rFonts w:ascii="Verdana" w:hAnsi="Verdana"/>
          <w:b/>
          <w:bCs/>
          <w:sz w:val="22"/>
          <w:szCs w:val="22"/>
        </w:rPr>
      </w:pPr>
    </w:p>
    <w:p w14:paraId="317A0119" w14:textId="77777777" w:rsidR="00E660E4" w:rsidRPr="00DC70A8" w:rsidRDefault="00E660E4" w:rsidP="00E660E4">
      <w:pPr>
        <w:pStyle w:val="Prrafodelista"/>
        <w:numPr>
          <w:ilvl w:val="3"/>
          <w:numId w:val="2"/>
        </w:numPr>
        <w:ind w:left="426" w:hanging="426"/>
        <w:jc w:val="both"/>
        <w:rPr>
          <w:rFonts w:ascii="Verdana" w:hAnsi="Verdana"/>
          <w:b/>
          <w:bCs/>
          <w:sz w:val="22"/>
          <w:szCs w:val="22"/>
        </w:rPr>
      </w:pPr>
      <w:r w:rsidRPr="00DC70A8">
        <w:rPr>
          <w:rFonts w:ascii="Verdana" w:hAnsi="Verdana" w:cs="Arial"/>
          <w:sz w:val="22"/>
          <w:szCs w:val="22"/>
        </w:rPr>
        <w:t>Establecer los requisitos funcionales y no funcionales del Sistema de Gestión de Documentos Electrónicos de Archivo (SGDEA), asegurando su capacidad de interoperar con otras plataformas institucionales y su conformidad con los estándares de seguridad de la información.</w:t>
      </w:r>
    </w:p>
    <w:p w14:paraId="1AD854BD" w14:textId="77777777" w:rsidR="004D2AD9" w:rsidRPr="00DC70A8" w:rsidRDefault="004D2AD9" w:rsidP="00E660E4">
      <w:pPr>
        <w:pStyle w:val="Prrafodelista"/>
        <w:ind w:left="2160"/>
        <w:jc w:val="both"/>
        <w:rPr>
          <w:rFonts w:ascii="Verdana" w:hAnsi="Verdana"/>
          <w:b/>
          <w:bCs/>
          <w:sz w:val="22"/>
          <w:szCs w:val="22"/>
        </w:rPr>
      </w:pPr>
    </w:p>
    <w:p w14:paraId="50EFE9B1" w14:textId="5A4113A7" w:rsidR="00F95491" w:rsidRPr="00DC70A8" w:rsidRDefault="00F95491" w:rsidP="000F7B16">
      <w:pPr>
        <w:pStyle w:val="Prrafodelista"/>
        <w:numPr>
          <w:ilvl w:val="3"/>
          <w:numId w:val="2"/>
        </w:numPr>
        <w:ind w:left="426" w:hanging="426"/>
        <w:jc w:val="both"/>
        <w:rPr>
          <w:rFonts w:ascii="Verdana" w:hAnsi="Verdana"/>
          <w:sz w:val="22"/>
          <w:szCs w:val="22"/>
        </w:rPr>
      </w:pPr>
      <w:r w:rsidRPr="00DC70A8">
        <w:rPr>
          <w:rFonts w:ascii="Verdana" w:hAnsi="Verdana"/>
          <w:sz w:val="22"/>
          <w:szCs w:val="22"/>
        </w:rPr>
        <w:t>Implementar las políticas de seguridad de la información para proteger los documentos (producidos y recibidos) ante cualquier amenaza interna o externa.</w:t>
      </w:r>
    </w:p>
    <w:p w14:paraId="56D9A683" w14:textId="77777777" w:rsidR="00C45A29" w:rsidRPr="00DC70A8" w:rsidRDefault="00C45A29" w:rsidP="00C45A29">
      <w:pPr>
        <w:jc w:val="both"/>
        <w:rPr>
          <w:rFonts w:ascii="Verdana" w:hAnsi="Verdana"/>
          <w:b/>
          <w:bCs/>
          <w:sz w:val="22"/>
          <w:szCs w:val="22"/>
        </w:rPr>
      </w:pPr>
    </w:p>
    <w:p w14:paraId="0732C127" w14:textId="3C375B7C" w:rsidR="004A597F" w:rsidRPr="00DC70A8" w:rsidRDefault="004A597F" w:rsidP="004A597F">
      <w:pPr>
        <w:pStyle w:val="Prrafodelista"/>
        <w:numPr>
          <w:ilvl w:val="3"/>
          <w:numId w:val="2"/>
        </w:numPr>
        <w:ind w:left="426" w:hanging="426"/>
        <w:jc w:val="both"/>
        <w:rPr>
          <w:rFonts w:ascii="Verdana" w:hAnsi="Verdana"/>
          <w:b/>
          <w:bCs/>
          <w:sz w:val="22"/>
          <w:szCs w:val="22"/>
        </w:rPr>
      </w:pPr>
      <w:r w:rsidRPr="00DC70A8">
        <w:rPr>
          <w:rFonts w:ascii="Verdana" w:hAnsi="Verdana" w:cs="Arial"/>
          <w:sz w:val="22"/>
          <w:szCs w:val="22"/>
        </w:rPr>
        <w:t>Diseñar estrategias y mecanismos para la preservación digital a largo plazo, que contemplen la autenticidad, integridad,</w:t>
      </w:r>
      <w:r w:rsidR="00C25F4C" w:rsidRPr="00DC70A8">
        <w:rPr>
          <w:rFonts w:ascii="Verdana" w:hAnsi="Verdana" w:cs="Arial"/>
          <w:sz w:val="22"/>
          <w:szCs w:val="22"/>
        </w:rPr>
        <w:t xml:space="preserve"> confidencialidad</w:t>
      </w:r>
      <w:r w:rsidR="00655DA1" w:rsidRPr="00DC70A8">
        <w:rPr>
          <w:rFonts w:ascii="Verdana" w:hAnsi="Verdana" w:cs="Arial"/>
          <w:sz w:val="22"/>
          <w:szCs w:val="22"/>
        </w:rPr>
        <w:t>,</w:t>
      </w:r>
      <w:r w:rsidRPr="00DC70A8">
        <w:rPr>
          <w:rFonts w:ascii="Verdana" w:hAnsi="Verdana" w:cs="Arial"/>
          <w:sz w:val="22"/>
          <w:szCs w:val="22"/>
        </w:rPr>
        <w:t xml:space="preserve"> disponibilidad y accesibilidad de los documentos electrónicos, fortaleciendo la sostenibilidad y trazabilidad de la gestión documental institucional.</w:t>
      </w:r>
    </w:p>
    <w:p w14:paraId="460AB877" w14:textId="77777777" w:rsidR="004D2AD9" w:rsidRPr="00DC70A8" w:rsidRDefault="004D2AD9" w:rsidP="004A597F">
      <w:pPr>
        <w:pStyle w:val="Prrafodelista"/>
        <w:ind w:left="426"/>
        <w:jc w:val="both"/>
        <w:rPr>
          <w:rFonts w:ascii="Verdana" w:hAnsi="Verdana"/>
          <w:b/>
          <w:bCs/>
          <w:sz w:val="22"/>
          <w:szCs w:val="22"/>
        </w:rPr>
      </w:pPr>
    </w:p>
    <w:p w14:paraId="0B40D989" w14:textId="7A7DC565" w:rsidR="00D87778" w:rsidRPr="00DC70A8" w:rsidRDefault="005C3F53" w:rsidP="000F7B16">
      <w:pPr>
        <w:pStyle w:val="Prrafodelista"/>
        <w:numPr>
          <w:ilvl w:val="3"/>
          <w:numId w:val="2"/>
        </w:numPr>
        <w:ind w:left="426" w:hanging="426"/>
        <w:jc w:val="both"/>
        <w:rPr>
          <w:rFonts w:ascii="Verdana" w:hAnsi="Verdana"/>
          <w:b/>
          <w:bCs/>
          <w:sz w:val="22"/>
          <w:szCs w:val="22"/>
        </w:rPr>
      </w:pPr>
      <w:r w:rsidRPr="00DC70A8">
        <w:rPr>
          <w:rFonts w:ascii="Verdana" w:hAnsi="Verdana" w:cs="Arial"/>
          <w:sz w:val="22"/>
          <w:szCs w:val="22"/>
        </w:rPr>
        <w:t>Identificar y analizar el marco normativo y técnico aplicable a la gestión de documentos electrónicos de archivo en la Superintendencia de Sociedades, garantizando el cumplimiento de los lineamientos del Archivo General de la Nación y la integración con los servicios ciudadanos digitales.</w:t>
      </w:r>
    </w:p>
    <w:p w14:paraId="04A214B0" w14:textId="77777777" w:rsidR="00D87778" w:rsidRPr="00E25FEA" w:rsidRDefault="00D87778" w:rsidP="00D87778">
      <w:pPr>
        <w:pStyle w:val="Prrafodelista"/>
        <w:ind w:left="426"/>
        <w:jc w:val="both"/>
        <w:rPr>
          <w:rFonts w:ascii="Verdana" w:hAnsi="Verdana"/>
          <w:b/>
          <w:bCs/>
          <w:sz w:val="22"/>
          <w:szCs w:val="22"/>
        </w:rPr>
      </w:pPr>
    </w:p>
    <w:p w14:paraId="32D1C788" w14:textId="77777777" w:rsidR="00E25FEA" w:rsidRPr="00E25FEA" w:rsidRDefault="00E25FEA" w:rsidP="00E25FEA">
      <w:pPr>
        <w:pStyle w:val="Prrafodelista"/>
        <w:rPr>
          <w:rFonts w:ascii="Verdana" w:hAnsi="Verdana" w:cs="Arial"/>
          <w:sz w:val="22"/>
          <w:szCs w:val="22"/>
        </w:rPr>
      </w:pPr>
    </w:p>
    <w:p w14:paraId="5C1510D2" w14:textId="1D1E9EEA" w:rsidR="008409B1" w:rsidRPr="009F7F0D" w:rsidRDefault="00AC389F" w:rsidP="00AC389F">
      <w:pPr>
        <w:pStyle w:val="Ttulo1"/>
        <w:spacing w:line="240" w:lineRule="auto"/>
        <w:jc w:val="both"/>
        <w:rPr>
          <w:rFonts w:ascii="Verdana" w:hAnsi="Verdana"/>
          <w:sz w:val="22"/>
          <w:szCs w:val="22"/>
        </w:rPr>
      </w:pPr>
      <w:r w:rsidRPr="009F7F0D">
        <w:rPr>
          <w:rFonts w:ascii="Verdana" w:hAnsi="Verdana"/>
          <w:sz w:val="22"/>
          <w:szCs w:val="22"/>
        </w:rPr>
        <w:t xml:space="preserve">2. </w:t>
      </w:r>
      <w:r w:rsidR="008409B1" w:rsidRPr="009F7F0D">
        <w:rPr>
          <w:rFonts w:ascii="Verdana" w:hAnsi="Verdana"/>
          <w:sz w:val="22"/>
          <w:szCs w:val="22"/>
        </w:rPr>
        <w:t>ALCANCE</w:t>
      </w:r>
      <w:bookmarkEnd w:id="1"/>
    </w:p>
    <w:p w14:paraId="2F331C96" w14:textId="77777777" w:rsidR="008409B1" w:rsidRPr="009F7F0D" w:rsidRDefault="008409B1" w:rsidP="00F23033">
      <w:pPr>
        <w:jc w:val="both"/>
        <w:rPr>
          <w:rFonts w:ascii="Verdana" w:hAnsi="Verdana"/>
          <w:sz w:val="22"/>
          <w:szCs w:val="22"/>
        </w:rPr>
      </w:pPr>
    </w:p>
    <w:p w14:paraId="1221956B" w14:textId="77777777" w:rsidR="006D0345" w:rsidRPr="00DC70A8" w:rsidRDefault="006D0345" w:rsidP="000E3529">
      <w:pPr>
        <w:jc w:val="both"/>
        <w:rPr>
          <w:rFonts w:ascii="Verdana" w:hAnsi="Verdana" w:cs="Arial"/>
          <w:sz w:val="22"/>
          <w:szCs w:val="22"/>
        </w:rPr>
      </w:pPr>
      <w:r w:rsidRPr="00DC70A8">
        <w:rPr>
          <w:rFonts w:ascii="Verdana" w:hAnsi="Verdana" w:cs="Arial"/>
          <w:sz w:val="22"/>
          <w:szCs w:val="22"/>
        </w:rPr>
        <w:t>El presente Modelo de Requisitos para la Gestión de Documentos Electrónicos de Archivo (MoReq) tiene un alcance integral que abarca la totalidad de los procesos misionales, estratégicos, de apoyo y de control desarrollados en la Superintendencia de Sociedades, en la medida en que estos impliquen la producción, recepción, registro, organización, trámite, consulta, archivo, preservación y disposición final de documentos electrónicos y digitalizados, independientemente de su soporte, formato o medio de creación.</w:t>
      </w:r>
    </w:p>
    <w:p w14:paraId="2D6DD28F" w14:textId="058E1F6F" w:rsidR="006D0345" w:rsidRPr="00DC70A8" w:rsidRDefault="006D0345" w:rsidP="000E3529">
      <w:pPr>
        <w:jc w:val="both"/>
        <w:rPr>
          <w:rFonts w:ascii="Verdana" w:hAnsi="Verdana" w:cs="Arial"/>
          <w:sz w:val="22"/>
          <w:szCs w:val="22"/>
        </w:rPr>
      </w:pPr>
    </w:p>
    <w:p w14:paraId="3FA20FFD" w14:textId="77777777" w:rsidR="000E3529" w:rsidRDefault="000E3529" w:rsidP="000E3529">
      <w:pPr>
        <w:jc w:val="both"/>
        <w:rPr>
          <w:rFonts w:ascii="Verdana" w:hAnsi="Verdana" w:cs="Arial"/>
          <w:sz w:val="22"/>
          <w:szCs w:val="22"/>
        </w:rPr>
      </w:pPr>
    </w:p>
    <w:p w14:paraId="01B76011" w14:textId="77777777" w:rsidR="00B54376" w:rsidRPr="000E3529" w:rsidRDefault="00B54376" w:rsidP="000E3529">
      <w:pPr>
        <w:jc w:val="both"/>
        <w:rPr>
          <w:rFonts w:ascii="Verdana" w:hAnsi="Verdana" w:cs="Arial"/>
          <w:sz w:val="22"/>
          <w:szCs w:val="22"/>
        </w:rPr>
      </w:pPr>
    </w:p>
    <w:p w14:paraId="7EC74334" w14:textId="77777777" w:rsidR="00560A2D" w:rsidRPr="00DC70A8" w:rsidRDefault="00560A2D" w:rsidP="00560A2D">
      <w:pPr>
        <w:jc w:val="both"/>
        <w:rPr>
          <w:rFonts w:ascii="Verdana" w:hAnsi="Verdana" w:cs="Arial"/>
          <w:sz w:val="22"/>
          <w:szCs w:val="22"/>
        </w:rPr>
      </w:pPr>
      <w:r w:rsidRPr="00DC70A8">
        <w:rPr>
          <w:rFonts w:ascii="Verdana" w:hAnsi="Verdana" w:cs="Arial"/>
          <w:sz w:val="22"/>
          <w:szCs w:val="22"/>
        </w:rPr>
        <w:lastRenderedPageBreak/>
        <w:t>Este alcance incluye:</w:t>
      </w:r>
    </w:p>
    <w:p w14:paraId="3D6A3068" w14:textId="77777777" w:rsidR="00560A2D" w:rsidRPr="00DC70A8" w:rsidRDefault="00560A2D" w:rsidP="00560A2D">
      <w:pPr>
        <w:jc w:val="both"/>
        <w:rPr>
          <w:rFonts w:ascii="Verdana" w:hAnsi="Verdana" w:cs="Arial"/>
          <w:sz w:val="22"/>
          <w:szCs w:val="22"/>
        </w:rPr>
      </w:pPr>
    </w:p>
    <w:p w14:paraId="2DCFCBD7" w14:textId="77777777" w:rsidR="00560A2D" w:rsidRPr="00DC70A8" w:rsidRDefault="00560A2D" w:rsidP="00560A2D">
      <w:pPr>
        <w:numPr>
          <w:ilvl w:val="0"/>
          <w:numId w:val="3"/>
        </w:numPr>
        <w:ind w:left="714" w:hanging="357"/>
        <w:jc w:val="both"/>
        <w:rPr>
          <w:rFonts w:ascii="Verdana" w:hAnsi="Verdana" w:cs="Arial"/>
          <w:sz w:val="22"/>
          <w:szCs w:val="22"/>
        </w:rPr>
      </w:pPr>
      <w:r w:rsidRPr="00DC70A8">
        <w:rPr>
          <w:rFonts w:ascii="Verdana" w:hAnsi="Verdana" w:cs="Arial"/>
          <w:sz w:val="22"/>
          <w:szCs w:val="22"/>
        </w:rPr>
        <w:t>Procesos de Direccionamiento, asociados a la planeación institucional, la gestión de la información, la toma de decisiones de alto nivel y el seguimiento a las políticas de Gobierno Digital y transparencia.</w:t>
      </w:r>
    </w:p>
    <w:p w14:paraId="17CBCA94" w14:textId="77777777" w:rsidR="00560A2D" w:rsidRPr="00DC70A8" w:rsidRDefault="00560A2D" w:rsidP="00560A2D">
      <w:pPr>
        <w:jc w:val="both"/>
        <w:rPr>
          <w:rFonts w:ascii="Verdana" w:hAnsi="Verdana" w:cs="Arial"/>
          <w:sz w:val="22"/>
          <w:szCs w:val="22"/>
        </w:rPr>
      </w:pPr>
    </w:p>
    <w:p w14:paraId="00275095" w14:textId="77777777" w:rsidR="00560A2D" w:rsidRPr="00DC70A8" w:rsidRDefault="00560A2D" w:rsidP="00560A2D">
      <w:pPr>
        <w:pStyle w:val="Prrafodelista"/>
        <w:numPr>
          <w:ilvl w:val="0"/>
          <w:numId w:val="30"/>
        </w:numPr>
        <w:jc w:val="both"/>
        <w:rPr>
          <w:rFonts w:ascii="Verdana" w:hAnsi="Verdana" w:cs="Arial"/>
          <w:sz w:val="22"/>
          <w:szCs w:val="22"/>
        </w:rPr>
      </w:pPr>
      <w:r w:rsidRPr="00DC70A8">
        <w:rPr>
          <w:rFonts w:ascii="Verdana" w:hAnsi="Verdana" w:cs="Arial"/>
          <w:sz w:val="22"/>
          <w:szCs w:val="22"/>
        </w:rPr>
        <w:t>Procesos Misionales, tales como inspección, vigilancia y control de sociedades, procesos de insolvencia empresarial, supervisión de conglomerados y actuaciones administrativas y judiciales en materia societaria.</w:t>
      </w:r>
    </w:p>
    <w:p w14:paraId="7F4B1C2C" w14:textId="77777777" w:rsidR="00560A2D" w:rsidRPr="00DC70A8" w:rsidRDefault="00560A2D" w:rsidP="00560A2D">
      <w:pPr>
        <w:jc w:val="both"/>
        <w:rPr>
          <w:rFonts w:ascii="Verdana" w:hAnsi="Verdana" w:cs="Arial"/>
          <w:sz w:val="22"/>
          <w:szCs w:val="22"/>
        </w:rPr>
      </w:pPr>
    </w:p>
    <w:p w14:paraId="7F84BF17" w14:textId="77777777" w:rsidR="00560A2D" w:rsidRPr="00DC70A8" w:rsidRDefault="00560A2D" w:rsidP="00560A2D">
      <w:pPr>
        <w:numPr>
          <w:ilvl w:val="0"/>
          <w:numId w:val="3"/>
        </w:numPr>
        <w:ind w:left="714" w:hanging="357"/>
        <w:jc w:val="both"/>
        <w:rPr>
          <w:rFonts w:ascii="Verdana" w:hAnsi="Verdana" w:cs="Arial"/>
          <w:sz w:val="22"/>
          <w:szCs w:val="22"/>
        </w:rPr>
      </w:pPr>
      <w:r w:rsidRPr="00DC70A8">
        <w:rPr>
          <w:rFonts w:ascii="Verdana" w:hAnsi="Verdana" w:cs="Arial"/>
          <w:sz w:val="22"/>
          <w:szCs w:val="22"/>
        </w:rPr>
        <w:t>Procesos de Apoyo, que comprenden la gestión administrativa, financiera, contractual, del talento humano, tecnológica y logística, en los cuales se generan documentos electrónicos con valor administrativo, contable, jurídico y probatorio.</w:t>
      </w:r>
    </w:p>
    <w:p w14:paraId="22A3CE5E" w14:textId="77777777" w:rsidR="00560A2D" w:rsidRPr="00DC70A8" w:rsidRDefault="00560A2D" w:rsidP="00560A2D">
      <w:pPr>
        <w:ind w:left="714"/>
        <w:jc w:val="both"/>
        <w:rPr>
          <w:rFonts w:ascii="Verdana" w:hAnsi="Verdana" w:cs="Arial"/>
          <w:sz w:val="22"/>
          <w:szCs w:val="22"/>
        </w:rPr>
      </w:pPr>
    </w:p>
    <w:p w14:paraId="0130AD1E" w14:textId="77777777" w:rsidR="00560A2D" w:rsidRPr="00DC70A8" w:rsidRDefault="00560A2D" w:rsidP="00560A2D">
      <w:pPr>
        <w:numPr>
          <w:ilvl w:val="0"/>
          <w:numId w:val="3"/>
        </w:numPr>
        <w:ind w:left="714" w:hanging="357"/>
        <w:jc w:val="both"/>
        <w:rPr>
          <w:rFonts w:ascii="Verdana" w:hAnsi="Verdana" w:cs="Arial"/>
          <w:sz w:val="22"/>
          <w:szCs w:val="22"/>
        </w:rPr>
      </w:pPr>
      <w:r w:rsidRPr="00DC70A8">
        <w:rPr>
          <w:rFonts w:ascii="Verdana" w:hAnsi="Verdana" w:cs="Arial"/>
          <w:sz w:val="22"/>
          <w:szCs w:val="22"/>
        </w:rPr>
        <w:t>Seguimiento, relacionados con auditorías internas y externas, control disciplinario, control fiscal y demás mecanismos de verificación y seguimiento institucional.</w:t>
      </w:r>
    </w:p>
    <w:p w14:paraId="436DF785" w14:textId="77777777" w:rsidR="00560A2D" w:rsidRPr="00DC70A8" w:rsidRDefault="00560A2D" w:rsidP="00560A2D">
      <w:pPr>
        <w:jc w:val="both"/>
        <w:rPr>
          <w:rFonts w:ascii="Verdana" w:hAnsi="Verdana" w:cs="Arial"/>
          <w:sz w:val="22"/>
          <w:szCs w:val="22"/>
        </w:rPr>
      </w:pPr>
    </w:p>
    <w:p w14:paraId="6D0BFBB5" w14:textId="52044FDC" w:rsidR="004C4BEF" w:rsidRPr="00DC70A8" w:rsidRDefault="004C4BEF" w:rsidP="003C0983">
      <w:pPr>
        <w:jc w:val="both"/>
        <w:rPr>
          <w:rFonts w:ascii="Verdana" w:hAnsi="Verdana" w:cs="Arial"/>
          <w:sz w:val="22"/>
          <w:szCs w:val="22"/>
        </w:rPr>
      </w:pPr>
      <w:r w:rsidRPr="00DC70A8">
        <w:rPr>
          <w:rFonts w:ascii="Verdana" w:hAnsi="Verdana" w:cs="Arial"/>
          <w:sz w:val="22"/>
          <w:szCs w:val="22"/>
        </w:rPr>
        <w:t xml:space="preserve">El modelo es de carácter transversal y obligatorio, por lo cual su implementación y cumplimiento es responsabilidad de </w:t>
      </w:r>
      <w:r w:rsidR="18090B07" w:rsidRPr="00DC70A8">
        <w:rPr>
          <w:rFonts w:ascii="Verdana" w:hAnsi="Verdana" w:cs="Arial"/>
          <w:sz w:val="22"/>
          <w:szCs w:val="22"/>
        </w:rPr>
        <w:t>todos los procesos</w:t>
      </w:r>
      <w:r w:rsidRPr="00DC70A8">
        <w:rPr>
          <w:rFonts w:ascii="Verdana" w:hAnsi="Verdana" w:cs="Arial"/>
          <w:sz w:val="22"/>
          <w:szCs w:val="22"/>
        </w:rPr>
        <w:t xml:space="preserve"> de la Superintendencia de Sociedades que intervienen en el ciclo de vida de los documentos. Asimismo, se extiende a la gestión de documentos que, aun habiendo sido producidos en formato análogo, sean objeto de procesos de digitalización, migración o conversión tecnológica para garantizar su preservación y acceso a largo plazo.</w:t>
      </w:r>
    </w:p>
    <w:p w14:paraId="7E75217A" w14:textId="77777777" w:rsidR="004307B5" w:rsidRPr="00DC70A8" w:rsidRDefault="004307B5" w:rsidP="003C0983">
      <w:pPr>
        <w:jc w:val="both"/>
        <w:rPr>
          <w:rFonts w:ascii="Verdana" w:hAnsi="Verdana" w:cs="Arial"/>
          <w:sz w:val="22"/>
          <w:szCs w:val="22"/>
        </w:rPr>
      </w:pPr>
    </w:p>
    <w:p w14:paraId="7FC43F11" w14:textId="12F9DAB3" w:rsidR="004C4BEF" w:rsidRPr="00DC70A8" w:rsidRDefault="004C4BEF" w:rsidP="003C0983">
      <w:pPr>
        <w:jc w:val="both"/>
        <w:rPr>
          <w:rFonts w:ascii="Verdana" w:hAnsi="Verdana" w:cs="Arial"/>
          <w:sz w:val="22"/>
          <w:szCs w:val="22"/>
        </w:rPr>
      </w:pPr>
      <w:r w:rsidRPr="00DC70A8">
        <w:rPr>
          <w:rFonts w:ascii="Verdana" w:hAnsi="Verdana" w:cs="Arial"/>
          <w:sz w:val="22"/>
          <w:szCs w:val="22"/>
        </w:rPr>
        <w:t>De esta forma, el MoReq asegura que la gestión documental electrónica no se limite a un ámbito específico, sino que se convierta en un eje articulador de la gestión institucional, apoyando la eficiencia administrativa, la transparencia, la memoria institucional y la confianza ciudadana en el que</w:t>
      </w:r>
      <w:r w:rsidR="00F916AA" w:rsidRPr="00DC70A8">
        <w:rPr>
          <w:rFonts w:ascii="Verdana" w:hAnsi="Verdana" w:cs="Arial"/>
          <w:sz w:val="22"/>
          <w:szCs w:val="22"/>
        </w:rPr>
        <w:t xml:space="preserve"> </w:t>
      </w:r>
      <w:r w:rsidRPr="00DC70A8">
        <w:rPr>
          <w:rFonts w:ascii="Verdana" w:hAnsi="Verdana" w:cs="Arial"/>
          <w:sz w:val="22"/>
          <w:szCs w:val="22"/>
        </w:rPr>
        <w:t>hacer de la Entidad.</w:t>
      </w:r>
    </w:p>
    <w:p w14:paraId="2587FD45" w14:textId="77777777" w:rsidR="004C4BEF" w:rsidRPr="004C4BEF" w:rsidRDefault="004C4BEF" w:rsidP="004C4BEF">
      <w:pPr>
        <w:jc w:val="both"/>
        <w:rPr>
          <w:rFonts w:ascii="Verdana" w:hAnsi="Verdana" w:cs="Arial"/>
          <w:color w:val="FF0000"/>
          <w:sz w:val="22"/>
          <w:szCs w:val="22"/>
        </w:rPr>
      </w:pPr>
    </w:p>
    <w:p w14:paraId="56A87BB9" w14:textId="77777777" w:rsidR="00AC389F" w:rsidRPr="009F7F0D" w:rsidRDefault="00AC389F" w:rsidP="0007378A">
      <w:pPr>
        <w:jc w:val="both"/>
        <w:rPr>
          <w:rFonts w:ascii="Verdana" w:hAnsi="Verdana" w:cs="Arial"/>
          <w:color w:val="FF0000"/>
          <w:sz w:val="22"/>
          <w:szCs w:val="22"/>
          <w:lang w:val="es-ES_tradnl"/>
        </w:rPr>
      </w:pPr>
    </w:p>
    <w:p w14:paraId="7C8AFDF3" w14:textId="75FD2A95" w:rsidR="0007378A" w:rsidRPr="009F7F0D" w:rsidRDefault="00AC389F" w:rsidP="003C0983">
      <w:pPr>
        <w:pStyle w:val="Ttulo1"/>
        <w:spacing w:line="240" w:lineRule="auto"/>
        <w:jc w:val="both"/>
        <w:rPr>
          <w:rFonts w:ascii="Verdana" w:hAnsi="Verdana"/>
          <w:sz w:val="22"/>
          <w:szCs w:val="22"/>
        </w:rPr>
      </w:pPr>
      <w:r w:rsidRPr="009F7F0D">
        <w:rPr>
          <w:rFonts w:ascii="Verdana" w:hAnsi="Verdana"/>
          <w:sz w:val="22"/>
          <w:szCs w:val="22"/>
        </w:rPr>
        <w:t xml:space="preserve">3. </w:t>
      </w:r>
      <w:r w:rsidR="0007378A" w:rsidRPr="009F7F0D">
        <w:rPr>
          <w:rFonts w:ascii="Verdana" w:hAnsi="Verdana"/>
          <w:sz w:val="22"/>
          <w:szCs w:val="22"/>
        </w:rPr>
        <w:t>RESPONSABLE</w:t>
      </w:r>
      <w:r w:rsidR="00B12921">
        <w:rPr>
          <w:rFonts w:ascii="Verdana" w:hAnsi="Verdana"/>
          <w:sz w:val="22"/>
          <w:szCs w:val="22"/>
        </w:rPr>
        <w:t>S</w:t>
      </w:r>
    </w:p>
    <w:p w14:paraId="4AE566A7" w14:textId="77777777" w:rsidR="0007378A" w:rsidRPr="003C0983" w:rsidRDefault="0007378A" w:rsidP="003C0983">
      <w:pPr>
        <w:rPr>
          <w:rFonts w:ascii="Verdana" w:hAnsi="Verdana"/>
          <w:sz w:val="22"/>
          <w:szCs w:val="22"/>
          <w:lang w:val="es-MX"/>
        </w:rPr>
      </w:pPr>
    </w:p>
    <w:p w14:paraId="3E951640" w14:textId="77777777" w:rsidR="00D5162B" w:rsidRDefault="00D9660D" w:rsidP="005F419C">
      <w:pPr>
        <w:jc w:val="both"/>
        <w:rPr>
          <w:rFonts w:ascii="Verdana" w:hAnsi="Verdana" w:cs="Arial"/>
          <w:sz w:val="22"/>
          <w:szCs w:val="22"/>
        </w:rPr>
      </w:pPr>
      <w:bookmarkStart w:id="2" w:name="_Toc183181508"/>
      <w:r w:rsidRPr="00F717D6">
        <w:rPr>
          <w:rFonts w:ascii="Verdana" w:hAnsi="Verdana" w:cs="Arial"/>
          <w:sz w:val="22"/>
          <w:szCs w:val="22"/>
        </w:rPr>
        <w:t>La correcta implementación y sostenibilidad del Modelo de Requisitos para la Gestión de Documentos Electrónicos de Archivo (MoReq) en la Superintendencia de Sociedades depende de la definición clara de los roles y responsabilidades de los diferentes actores institucionales</w:t>
      </w:r>
      <w:r w:rsidR="00D5162B">
        <w:rPr>
          <w:rFonts w:ascii="Verdana" w:hAnsi="Verdana" w:cs="Arial"/>
          <w:sz w:val="22"/>
          <w:szCs w:val="22"/>
        </w:rPr>
        <w:t>.</w:t>
      </w:r>
    </w:p>
    <w:p w14:paraId="6557F661" w14:textId="77777777" w:rsidR="00D5162B" w:rsidRDefault="00D5162B" w:rsidP="005F419C">
      <w:pPr>
        <w:jc w:val="both"/>
        <w:rPr>
          <w:rFonts w:ascii="Verdana" w:hAnsi="Verdana" w:cs="Arial"/>
          <w:sz w:val="22"/>
          <w:szCs w:val="22"/>
        </w:rPr>
      </w:pPr>
    </w:p>
    <w:p w14:paraId="71B60B05" w14:textId="19A3DB89" w:rsidR="00D9660D" w:rsidRDefault="00D5162B" w:rsidP="002C739B">
      <w:pPr>
        <w:jc w:val="both"/>
        <w:rPr>
          <w:rFonts w:ascii="Verdana" w:hAnsi="Verdana" w:cs="Arial"/>
          <w:sz w:val="22"/>
          <w:szCs w:val="22"/>
        </w:rPr>
      </w:pPr>
      <w:r w:rsidRPr="49946295">
        <w:rPr>
          <w:rFonts w:ascii="Verdana" w:hAnsi="Verdana" w:cs="Arial"/>
          <w:sz w:val="22"/>
          <w:szCs w:val="22"/>
        </w:rPr>
        <w:t>A</w:t>
      </w:r>
      <w:r w:rsidR="009311CC" w:rsidRPr="49946295">
        <w:rPr>
          <w:rFonts w:ascii="Verdana" w:hAnsi="Verdana" w:cs="Arial"/>
          <w:sz w:val="22"/>
          <w:szCs w:val="22"/>
        </w:rPr>
        <w:t xml:space="preserve"> través del proceso de Gestión Documental</w:t>
      </w:r>
      <w:r w:rsidRPr="49946295">
        <w:rPr>
          <w:rFonts w:ascii="Verdana" w:hAnsi="Verdana" w:cs="Arial"/>
          <w:sz w:val="22"/>
          <w:szCs w:val="22"/>
        </w:rPr>
        <w:t xml:space="preserve"> se</w:t>
      </w:r>
      <w:r w:rsidR="009311CC" w:rsidRPr="49946295">
        <w:rPr>
          <w:rFonts w:ascii="Verdana" w:hAnsi="Verdana" w:cs="Arial"/>
          <w:sz w:val="22"/>
          <w:szCs w:val="22"/>
        </w:rPr>
        <w:t xml:space="preserve"> </w:t>
      </w:r>
      <w:r w:rsidR="00D9660D" w:rsidRPr="49946295">
        <w:rPr>
          <w:rFonts w:ascii="Verdana" w:hAnsi="Verdana" w:cs="Arial"/>
          <w:sz w:val="22"/>
          <w:szCs w:val="22"/>
        </w:rPr>
        <w:t>administra</w:t>
      </w:r>
      <w:r w:rsidR="009311CC" w:rsidRPr="49946295">
        <w:rPr>
          <w:rFonts w:ascii="Verdana" w:hAnsi="Verdana" w:cs="Arial"/>
          <w:sz w:val="22"/>
          <w:szCs w:val="22"/>
        </w:rPr>
        <w:t xml:space="preserve"> </w:t>
      </w:r>
      <w:r w:rsidR="00D9660D" w:rsidRPr="49946295">
        <w:rPr>
          <w:rFonts w:ascii="Verdana" w:hAnsi="Verdana" w:cs="Arial"/>
          <w:sz w:val="22"/>
          <w:szCs w:val="22"/>
        </w:rPr>
        <w:t>integral</w:t>
      </w:r>
      <w:r w:rsidR="009311CC" w:rsidRPr="49946295">
        <w:rPr>
          <w:rFonts w:ascii="Verdana" w:hAnsi="Verdana" w:cs="Arial"/>
          <w:sz w:val="22"/>
          <w:szCs w:val="22"/>
        </w:rPr>
        <w:t xml:space="preserve">mente </w:t>
      </w:r>
      <w:r w:rsidR="00D9660D" w:rsidRPr="49946295">
        <w:rPr>
          <w:rFonts w:ascii="Verdana" w:hAnsi="Verdana" w:cs="Arial"/>
          <w:sz w:val="22"/>
          <w:szCs w:val="22"/>
        </w:rPr>
        <w:t xml:space="preserve">el MoReq y el </w:t>
      </w:r>
      <w:r w:rsidR="009E59DE" w:rsidRPr="49946295">
        <w:rPr>
          <w:rFonts w:ascii="Verdana" w:hAnsi="Verdana" w:cs="Arial"/>
          <w:sz w:val="22"/>
          <w:szCs w:val="22"/>
        </w:rPr>
        <w:t>Sistema de Gestión de Documento Electrónico de Archivo (SGDEA)</w:t>
      </w:r>
      <w:r w:rsidR="00D9660D" w:rsidRPr="49946295">
        <w:rPr>
          <w:rFonts w:ascii="Verdana" w:hAnsi="Verdana" w:cs="Arial"/>
          <w:sz w:val="22"/>
          <w:szCs w:val="22"/>
        </w:rPr>
        <w:t>, velando por su actualización, correcta aplicación y alineación con las políticas archivísticas del Archivo General de la Nación</w:t>
      </w:r>
      <w:r w:rsidRPr="49946295">
        <w:rPr>
          <w:rFonts w:ascii="Verdana" w:hAnsi="Verdana" w:cs="Arial"/>
          <w:sz w:val="22"/>
          <w:szCs w:val="22"/>
        </w:rPr>
        <w:t xml:space="preserve">, así mismo a través de la </w:t>
      </w:r>
      <w:r w:rsidR="00D9660D" w:rsidRPr="49946295">
        <w:rPr>
          <w:rFonts w:ascii="Verdana" w:hAnsi="Verdana" w:cs="Arial"/>
          <w:sz w:val="22"/>
          <w:szCs w:val="22"/>
        </w:rPr>
        <w:t xml:space="preserve">elaboración, implementación y </w:t>
      </w:r>
      <w:r w:rsidR="00D9660D" w:rsidRPr="49946295">
        <w:rPr>
          <w:rFonts w:ascii="Verdana" w:hAnsi="Verdana" w:cs="Arial"/>
          <w:sz w:val="22"/>
          <w:szCs w:val="22"/>
        </w:rPr>
        <w:lastRenderedPageBreak/>
        <w:t>socialización de las Tablas de Retención Documental (TRD)</w:t>
      </w:r>
      <w:r w:rsidR="00867987" w:rsidRPr="49946295">
        <w:rPr>
          <w:rFonts w:ascii="Verdana" w:hAnsi="Verdana" w:cs="Arial"/>
          <w:sz w:val="22"/>
          <w:szCs w:val="22"/>
        </w:rPr>
        <w:t xml:space="preserve"> Código GDO-FM-008</w:t>
      </w:r>
      <w:r w:rsidR="00D9660D" w:rsidRPr="49946295">
        <w:rPr>
          <w:rFonts w:ascii="Verdana" w:hAnsi="Verdana" w:cs="Arial"/>
          <w:sz w:val="22"/>
          <w:szCs w:val="22"/>
        </w:rPr>
        <w:t>, Tablas de Valoración Documental (TVD)</w:t>
      </w:r>
      <w:r w:rsidR="00E91891">
        <w:t xml:space="preserve"> </w:t>
      </w:r>
      <w:r w:rsidR="00E91891" w:rsidRPr="49946295">
        <w:rPr>
          <w:rFonts w:ascii="Verdana" w:hAnsi="Verdana" w:cs="Arial"/>
          <w:sz w:val="22"/>
          <w:szCs w:val="22"/>
        </w:rPr>
        <w:t>GDO-FM-028</w:t>
      </w:r>
      <w:r w:rsidR="00D9660D" w:rsidRPr="49946295">
        <w:rPr>
          <w:rFonts w:ascii="Verdana" w:hAnsi="Verdana" w:cs="Arial"/>
          <w:sz w:val="22"/>
          <w:szCs w:val="22"/>
        </w:rPr>
        <w:t xml:space="preserve">, y demás instrumentos archivísticos que soportan la gestión documental electrónica. Además, actúa como ente articulador entre </w:t>
      </w:r>
      <w:r w:rsidR="00D9660D" w:rsidRPr="001415E9">
        <w:rPr>
          <w:rFonts w:ascii="Verdana" w:hAnsi="Verdana" w:cs="Arial"/>
          <w:sz w:val="22"/>
          <w:szCs w:val="22"/>
        </w:rPr>
        <w:t>las dependencias, asegurando la trazabilidad y preservación digital de la memoria institucional.</w:t>
      </w:r>
    </w:p>
    <w:p w14:paraId="42C67458" w14:textId="77777777" w:rsidR="00C77C85" w:rsidRDefault="00C77C85" w:rsidP="002C739B">
      <w:pPr>
        <w:jc w:val="both"/>
        <w:rPr>
          <w:rFonts w:ascii="Verdana" w:hAnsi="Verdana" w:cs="Arial"/>
          <w:sz w:val="22"/>
          <w:szCs w:val="22"/>
        </w:rPr>
      </w:pPr>
    </w:p>
    <w:p w14:paraId="2A428FD5" w14:textId="5FC9A832" w:rsidR="00D9660D" w:rsidRPr="001D372F" w:rsidRDefault="00EA36C5" w:rsidP="002C739B">
      <w:pPr>
        <w:jc w:val="both"/>
        <w:rPr>
          <w:rFonts w:ascii="Verdana" w:hAnsi="Verdana" w:cs="Arial"/>
          <w:sz w:val="22"/>
          <w:szCs w:val="22"/>
        </w:rPr>
      </w:pPr>
      <w:r w:rsidRPr="00EA36C5">
        <w:rPr>
          <w:rFonts w:ascii="Verdana" w:hAnsi="Verdana" w:cs="Arial"/>
          <w:sz w:val="22"/>
          <w:szCs w:val="22"/>
        </w:rPr>
        <w:t>Así mismo mediante el proceso de Gestión de Infraestructura y Tecnologías de Información</w:t>
      </w:r>
      <w:r w:rsidRPr="00EA36C5">
        <w:rPr>
          <w:rFonts w:ascii="Verdana" w:hAnsi="Verdana" w:cs="Arial"/>
          <w:b/>
          <w:bCs/>
          <w:sz w:val="22"/>
          <w:szCs w:val="22"/>
        </w:rPr>
        <w:t xml:space="preserve"> </w:t>
      </w:r>
      <w:r w:rsidRPr="00EA36C5">
        <w:rPr>
          <w:rFonts w:ascii="Verdana" w:hAnsi="Verdana" w:cs="Arial"/>
          <w:sz w:val="22"/>
          <w:szCs w:val="22"/>
        </w:rPr>
        <w:t>la</w:t>
      </w:r>
      <w:r w:rsidRPr="00EA36C5">
        <w:rPr>
          <w:rFonts w:ascii="Verdana" w:hAnsi="Verdana" w:cs="Arial"/>
          <w:b/>
          <w:bCs/>
          <w:sz w:val="22"/>
          <w:szCs w:val="22"/>
        </w:rPr>
        <w:t xml:space="preserve"> </w:t>
      </w:r>
      <w:r w:rsidRPr="00EA36C5">
        <w:rPr>
          <w:rFonts w:ascii="Verdana" w:hAnsi="Verdana" w:cs="Arial"/>
          <w:sz w:val="22"/>
          <w:szCs w:val="22"/>
        </w:rPr>
        <w:t>Dirección de Tecnología de la Información y las Comunicaciones será responsable del soporte técnico</w:t>
      </w:r>
      <w:r w:rsidR="00D9660D" w:rsidRPr="49946295">
        <w:rPr>
          <w:rFonts w:ascii="Verdana" w:hAnsi="Verdana" w:cs="Arial"/>
          <w:sz w:val="22"/>
          <w:szCs w:val="22"/>
        </w:rPr>
        <w:t>, infraestructura, seguridad informática y continuidad del servicio</w:t>
      </w:r>
      <w:r w:rsidR="00056153" w:rsidRPr="49946295">
        <w:rPr>
          <w:rFonts w:ascii="Verdana" w:hAnsi="Verdana" w:cs="Arial"/>
          <w:sz w:val="22"/>
          <w:szCs w:val="22"/>
        </w:rPr>
        <w:t xml:space="preserve"> y d</w:t>
      </w:r>
      <w:r w:rsidR="00D9660D" w:rsidRPr="49946295">
        <w:rPr>
          <w:rFonts w:ascii="Verdana" w:hAnsi="Verdana" w:cs="Arial"/>
          <w:sz w:val="22"/>
          <w:szCs w:val="22"/>
        </w:rPr>
        <w:t>ebe</w:t>
      </w:r>
      <w:r w:rsidR="00056153" w:rsidRPr="49946295">
        <w:rPr>
          <w:rFonts w:ascii="Verdana" w:hAnsi="Verdana" w:cs="Arial"/>
          <w:sz w:val="22"/>
          <w:szCs w:val="22"/>
        </w:rPr>
        <w:t>rá</w:t>
      </w:r>
      <w:r w:rsidR="00D9660D" w:rsidRPr="49946295">
        <w:rPr>
          <w:rFonts w:ascii="Verdana" w:hAnsi="Verdana" w:cs="Arial"/>
          <w:sz w:val="22"/>
          <w:szCs w:val="22"/>
        </w:rPr>
        <w:t xml:space="preserve"> garantizar que los </w:t>
      </w:r>
      <w:r w:rsidR="00D9660D" w:rsidRPr="49946295">
        <w:rPr>
          <w:rFonts w:ascii="Verdana" w:hAnsi="Verdana" w:cs="Arial"/>
          <w:color w:val="000000" w:themeColor="text1"/>
          <w:sz w:val="22"/>
          <w:szCs w:val="22"/>
        </w:rPr>
        <w:t xml:space="preserve">sistemas y aplicativos asociados al MoReq </w:t>
      </w:r>
      <w:r w:rsidR="00056153" w:rsidRPr="49946295">
        <w:rPr>
          <w:rFonts w:ascii="Verdana" w:hAnsi="Verdana" w:cs="Arial"/>
          <w:color w:val="000000" w:themeColor="text1"/>
          <w:sz w:val="22"/>
          <w:szCs w:val="22"/>
        </w:rPr>
        <w:t xml:space="preserve">y al Sistema de Gestión de Documentos Electrónicos de Archivo </w:t>
      </w:r>
      <w:r w:rsidR="00D9660D" w:rsidRPr="49946295">
        <w:rPr>
          <w:rFonts w:ascii="Verdana" w:hAnsi="Verdana" w:cs="Arial"/>
          <w:color w:val="000000" w:themeColor="text1"/>
          <w:sz w:val="22"/>
          <w:szCs w:val="22"/>
        </w:rPr>
        <w:t>(SGDEA</w:t>
      </w:r>
      <w:r w:rsidR="00056153" w:rsidRPr="49946295">
        <w:rPr>
          <w:rFonts w:ascii="Verdana" w:hAnsi="Verdana" w:cs="Arial"/>
          <w:color w:val="000000" w:themeColor="text1"/>
          <w:sz w:val="22"/>
          <w:szCs w:val="22"/>
        </w:rPr>
        <w:t>)</w:t>
      </w:r>
      <w:r w:rsidR="00D9660D" w:rsidRPr="49946295">
        <w:rPr>
          <w:rFonts w:ascii="Verdana" w:hAnsi="Verdana" w:cs="Arial"/>
          <w:sz w:val="22"/>
          <w:szCs w:val="22"/>
        </w:rPr>
        <w:t xml:space="preserve"> operen con alta disponibilidad, seguridad bajo normas ISO 27001 y planes de continuidad (BCP/DRP). Así mismo, debe acompañar la implementación de procesos de migración tecnológica y respaldos </w:t>
      </w:r>
      <w:r w:rsidR="00D502B8" w:rsidRPr="49946295">
        <w:rPr>
          <w:rFonts w:ascii="Verdana" w:hAnsi="Verdana" w:cs="Arial"/>
          <w:sz w:val="22"/>
          <w:szCs w:val="22"/>
        </w:rPr>
        <w:t>necesarios</w:t>
      </w:r>
      <w:r w:rsidR="00D9660D" w:rsidRPr="49946295">
        <w:rPr>
          <w:rFonts w:ascii="Verdana" w:hAnsi="Verdana" w:cs="Arial"/>
          <w:sz w:val="22"/>
          <w:szCs w:val="22"/>
        </w:rPr>
        <w:t xml:space="preserve"> para asegurar la preservación digital a largo plazo.</w:t>
      </w:r>
    </w:p>
    <w:p w14:paraId="44C68094" w14:textId="77777777" w:rsidR="00627AA0" w:rsidRPr="001D372F" w:rsidRDefault="00627AA0" w:rsidP="002C739B">
      <w:pPr>
        <w:jc w:val="both"/>
        <w:rPr>
          <w:rFonts w:ascii="Verdana" w:hAnsi="Verdana" w:cs="Arial"/>
          <w:sz w:val="22"/>
          <w:szCs w:val="22"/>
        </w:rPr>
      </w:pPr>
    </w:p>
    <w:p w14:paraId="3908D7D2" w14:textId="5EF39C54" w:rsidR="00816985" w:rsidRPr="001D372F" w:rsidRDefault="009B5BE9" w:rsidP="002C739B">
      <w:pPr>
        <w:jc w:val="both"/>
        <w:rPr>
          <w:rFonts w:ascii="Verdana" w:hAnsi="Verdana" w:cs="Arial"/>
          <w:sz w:val="22"/>
          <w:szCs w:val="22"/>
        </w:rPr>
      </w:pPr>
      <w:r w:rsidRPr="009B5BE9">
        <w:rPr>
          <w:rFonts w:ascii="Verdana" w:hAnsi="Verdana" w:cs="Arial"/>
          <w:sz w:val="22"/>
          <w:szCs w:val="22"/>
        </w:rPr>
        <w:t>Igualmente, c</w:t>
      </w:r>
      <w:r w:rsidR="00816985" w:rsidRPr="009B5BE9">
        <w:rPr>
          <w:rFonts w:ascii="Verdana" w:hAnsi="Verdana" w:cs="Arial"/>
          <w:sz w:val="22"/>
          <w:szCs w:val="22"/>
        </w:rPr>
        <w:t>ada líder</w:t>
      </w:r>
      <w:r w:rsidR="00816985" w:rsidRPr="001D372F">
        <w:rPr>
          <w:rFonts w:ascii="Verdana" w:hAnsi="Verdana" w:cs="Arial"/>
          <w:sz w:val="22"/>
          <w:szCs w:val="22"/>
        </w:rPr>
        <w:t xml:space="preserve"> de proceso es responsable de asegurar que los documentos generados en su dependencia cumplan con las </w:t>
      </w:r>
      <w:r>
        <w:rPr>
          <w:rFonts w:ascii="Verdana" w:hAnsi="Verdana" w:cs="Arial"/>
          <w:sz w:val="22"/>
          <w:szCs w:val="22"/>
        </w:rPr>
        <w:t>Tablas de Retención Documental (</w:t>
      </w:r>
      <w:r w:rsidR="00816985" w:rsidRPr="001D372F">
        <w:rPr>
          <w:rFonts w:ascii="Verdana" w:hAnsi="Verdana" w:cs="Arial"/>
          <w:sz w:val="22"/>
          <w:szCs w:val="22"/>
        </w:rPr>
        <w:t>TRD</w:t>
      </w:r>
      <w:r>
        <w:rPr>
          <w:rFonts w:ascii="Verdana" w:hAnsi="Verdana" w:cs="Arial"/>
          <w:sz w:val="22"/>
          <w:szCs w:val="22"/>
        </w:rPr>
        <w:t xml:space="preserve">) </w:t>
      </w:r>
      <w:r w:rsidR="00816985" w:rsidRPr="001D372F">
        <w:rPr>
          <w:rFonts w:ascii="Verdana" w:hAnsi="Verdana" w:cs="Arial"/>
          <w:sz w:val="22"/>
          <w:szCs w:val="22"/>
        </w:rPr>
        <w:t xml:space="preserve">y con los lineamientos definidos en el MoReq. Son los primeros garantes del cumplimiento normativo y archivístico, asegurando la correcta captura, clasificación, trámite, almacenamiento y disposición final de los documentos electrónicos de archivo. Además, deben velar por la capacitación de sus </w:t>
      </w:r>
      <w:r w:rsidR="00A47E65">
        <w:rPr>
          <w:rFonts w:ascii="Verdana" w:hAnsi="Verdana" w:cs="Arial"/>
          <w:sz w:val="22"/>
          <w:szCs w:val="22"/>
        </w:rPr>
        <w:t>grupos de trabajo</w:t>
      </w:r>
      <w:r w:rsidR="00816985" w:rsidRPr="001D372F">
        <w:rPr>
          <w:rFonts w:ascii="Verdana" w:hAnsi="Verdana" w:cs="Arial"/>
          <w:sz w:val="22"/>
          <w:szCs w:val="22"/>
        </w:rPr>
        <w:t xml:space="preserve"> en el uso adecuado de las herramientas tecnológicas.</w:t>
      </w:r>
    </w:p>
    <w:p w14:paraId="37ED334E" w14:textId="77777777" w:rsidR="003A7C08" w:rsidRPr="001D372F" w:rsidRDefault="003A7C08" w:rsidP="002C739B">
      <w:pPr>
        <w:jc w:val="both"/>
        <w:rPr>
          <w:rFonts w:ascii="Verdana" w:hAnsi="Verdana" w:cs="Arial"/>
          <w:sz w:val="22"/>
          <w:szCs w:val="22"/>
        </w:rPr>
      </w:pPr>
    </w:p>
    <w:p w14:paraId="73BDAE80" w14:textId="10598B99" w:rsidR="00446F6D" w:rsidRDefault="00ED0CCA" w:rsidP="002C739B">
      <w:pPr>
        <w:jc w:val="both"/>
        <w:rPr>
          <w:rFonts w:ascii="Verdana" w:hAnsi="Verdana" w:cs="Arial"/>
          <w:sz w:val="22"/>
          <w:szCs w:val="22"/>
        </w:rPr>
      </w:pPr>
      <w:r w:rsidRPr="00ED0CCA">
        <w:rPr>
          <w:rFonts w:ascii="Verdana" w:hAnsi="Verdana" w:cs="Arial"/>
          <w:sz w:val="22"/>
          <w:szCs w:val="22"/>
        </w:rPr>
        <w:t xml:space="preserve">Del mismo modo el </w:t>
      </w:r>
      <w:r w:rsidR="00B12921" w:rsidRPr="00ED0CCA">
        <w:rPr>
          <w:rFonts w:ascii="Verdana" w:hAnsi="Verdana" w:cs="Arial"/>
          <w:sz w:val="22"/>
          <w:szCs w:val="22"/>
        </w:rPr>
        <w:t>Comité Institucional De Gestión Y Desempeñ</w:t>
      </w:r>
      <w:r w:rsidRPr="00ED0CCA">
        <w:rPr>
          <w:rFonts w:ascii="Verdana" w:hAnsi="Verdana" w:cs="Arial"/>
          <w:sz w:val="22"/>
          <w:szCs w:val="22"/>
        </w:rPr>
        <w:t>o</w:t>
      </w:r>
      <w:r>
        <w:rPr>
          <w:rFonts w:ascii="Verdana" w:hAnsi="Verdana" w:cs="Arial"/>
          <w:b/>
          <w:bCs/>
          <w:sz w:val="22"/>
          <w:szCs w:val="22"/>
        </w:rPr>
        <w:t xml:space="preserve">, </w:t>
      </w:r>
      <w:r w:rsidR="003A7C08" w:rsidRPr="001D372F">
        <w:rPr>
          <w:rFonts w:ascii="Verdana" w:hAnsi="Verdana" w:cs="Arial"/>
          <w:sz w:val="22"/>
          <w:szCs w:val="22"/>
        </w:rPr>
        <w:t>tiene la función de seguimiento, validación y aprobación del MoReq y de las actualizaciones que requiera el SGDEA</w:t>
      </w:r>
      <w:r>
        <w:rPr>
          <w:rFonts w:ascii="Verdana" w:hAnsi="Verdana" w:cs="Arial"/>
          <w:sz w:val="22"/>
          <w:szCs w:val="22"/>
        </w:rPr>
        <w:t xml:space="preserve"> </w:t>
      </w:r>
      <w:r w:rsidR="0036420B">
        <w:rPr>
          <w:rFonts w:ascii="Verdana" w:hAnsi="Verdana" w:cs="Arial"/>
          <w:sz w:val="22"/>
          <w:szCs w:val="22"/>
        </w:rPr>
        <w:t xml:space="preserve">y </w:t>
      </w:r>
      <w:r w:rsidR="0036420B" w:rsidRPr="001D372F">
        <w:rPr>
          <w:rFonts w:ascii="Verdana" w:hAnsi="Verdana" w:cs="Arial"/>
          <w:sz w:val="22"/>
          <w:szCs w:val="22"/>
        </w:rPr>
        <w:t>debe</w:t>
      </w:r>
      <w:r w:rsidR="003A7C08" w:rsidRPr="001D372F">
        <w:rPr>
          <w:rFonts w:ascii="Verdana" w:hAnsi="Verdana" w:cs="Arial"/>
          <w:sz w:val="22"/>
          <w:szCs w:val="22"/>
        </w:rPr>
        <w:t xml:space="preserve"> garantizar la articulación del modelo con las políticas institucionales de planeación, gestión del riesgo, control interno y Gobierno Digital</w:t>
      </w:r>
      <w:r w:rsidR="00446F6D">
        <w:rPr>
          <w:rFonts w:ascii="Verdana" w:hAnsi="Verdana" w:cs="Arial"/>
          <w:sz w:val="22"/>
          <w:szCs w:val="22"/>
        </w:rPr>
        <w:t>, a</w:t>
      </w:r>
      <w:r w:rsidR="003A7C08" w:rsidRPr="0022176C">
        <w:rPr>
          <w:rFonts w:ascii="Verdana" w:hAnsi="Verdana" w:cs="Arial"/>
          <w:sz w:val="22"/>
          <w:szCs w:val="22"/>
        </w:rPr>
        <w:t>sí mismo, define las prioridades de implementación de los requisitos y supervisa la ejecución de planes de acción relacionados con la gestión documental electrónica.</w:t>
      </w:r>
      <w:r w:rsidR="003937FC" w:rsidRPr="0022176C">
        <w:rPr>
          <w:rFonts w:ascii="Verdana" w:hAnsi="Verdana" w:cs="Arial"/>
          <w:sz w:val="22"/>
          <w:szCs w:val="22"/>
        </w:rPr>
        <w:t xml:space="preserve"> </w:t>
      </w:r>
    </w:p>
    <w:p w14:paraId="773E5F94" w14:textId="77777777" w:rsidR="00446F6D" w:rsidRDefault="00446F6D" w:rsidP="002C739B">
      <w:pPr>
        <w:jc w:val="both"/>
        <w:rPr>
          <w:rFonts w:ascii="Verdana" w:hAnsi="Verdana" w:cs="Arial"/>
          <w:sz w:val="22"/>
          <w:szCs w:val="22"/>
        </w:rPr>
      </w:pPr>
    </w:p>
    <w:p w14:paraId="6821A799" w14:textId="7877ADBF" w:rsidR="003A7C08" w:rsidRPr="00551428" w:rsidRDefault="0036420B" w:rsidP="002C739B">
      <w:pPr>
        <w:jc w:val="both"/>
        <w:rPr>
          <w:rFonts w:ascii="Verdana" w:hAnsi="Verdana" w:cs="Arial"/>
          <w:sz w:val="22"/>
          <w:szCs w:val="22"/>
        </w:rPr>
      </w:pPr>
      <w:r w:rsidRPr="009C33A6">
        <w:rPr>
          <w:rFonts w:ascii="Verdana" w:hAnsi="Verdana" w:cs="Arial"/>
          <w:sz w:val="22"/>
          <w:szCs w:val="22"/>
        </w:rPr>
        <w:t>Para finalizar</w:t>
      </w:r>
      <w:r w:rsidR="00065C9F" w:rsidRPr="009C33A6">
        <w:rPr>
          <w:rFonts w:ascii="Verdana" w:hAnsi="Verdana" w:cs="Arial"/>
          <w:sz w:val="22"/>
          <w:szCs w:val="22"/>
        </w:rPr>
        <w:t>, los usuarios</w:t>
      </w:r>
      <w:r w:rsidRPr="009C33A6">
        <w:rPr>
          <w:rFonts w:ascii="Verdana" w:hAnsi="Verdana" w:cs="Arial"/>
          <w:sz w:val="22"/>
          <w:szCs w:val="22"/>
        </w:rPr>
        <w:t xml:space="preserve"> son </w:t>
      </w:r>
      <w:r w:rsidR="003A7C08" w:rsidRPr="009C33A6">
        <w:rPr>
          <w:rFonts w:ascii="Verdana" w:hAnsi="Verdana" w:cs="Arial"/>
          <w:sz w:val="22"/>
          <w:szCs w:val="22"/>
        </w:rPr>
        <w:t>responsables de la gestión y uso adecuado de los documentos electrónicos en su quehacer diario</w:t>
      </w:r>
      <w:r w:rsidR="00065C9F" w:rsidRPr="009C33A6">
        <w:rPr>
          <w:rFonts w:ascii="Verdana" w:hAnsi="Verdana" w:cs="Arial"/>
          <w:sz w:val="22"/>
          <w:szCs w:val="22"/>
        </w:rPr>
        <w:t xml:space="preserve"> y deben</w:t>
      </w:r>
      <w:r w:rsidR="003A7C08" w:rsidRPr="009C33A6">
        <w:rPr>
          <w:rFonts w:ascii="Verdana" w:hAnsi="Verdana" w:cs="Arial"/>
          <w:sz w:val="22"/>
          <w:szCs w:val="22"/>
        </w:rPr>
        <w:t xml:space="preserve"> cumplir con los lineamientos de clasificación, registro, metadatos, confidencialidad y seguridad establecidos por el </w:t>
      </w:r>
      <w:r w:rsidR="003B424A" w:rsidRPr="009C33A6">
        <w:rPr>
          <w:rFonts w:ascii="Verdana" w:hAnsi="Verdana" w:cs="Arial"/>
          <w:sz w:val="22"/>
          <w:szCs w:val="22"/>
        </w:rPr>
        <w:t>presente documento</w:t>
      </w:r>
      <w:r w:rsidR="000914E8" w:rsidRPr="009C33A6">
        <w:rPr>
          <w:rFonts w:ascii="Verdana" w:hAnsi="Verdana" w:cs="Arial"/>
          <w:sz w:val="22"/>
          <w:szCs w:val="22"/>
        </w:rPr>
        <w:t xml:space="preserve">, los lineamentos dados en el procedimiento de </w:t>
      </w:r>
      <w:r w:rsidR="000914E8" w:rsidRPr="004518A2">
        <w:rPr>
          <w:rFonts w:ascii="Verdana" w:hAnsi="Verdana" w:cs="Arial"/>
          <w:color w:val="000000" w:themeColor="text1"/>
          <w:sz w:val="22"/>
          <w:szCs w:val="22"/>
        </w:rPr>
        <w:t>Radicación código GDO-PR-002</w:t>
      </w:r>
      <w:r w:rsidR="00F3079D" w:rsidRPr="004518A2">
        <w:rPr>
          <w:rFonts w:ascii="Verdana" w:hAnsi="Verdana" w:cs="Arial"/>
          <w:color w:val="000000" w:themeColor="text1"/>
          <w:sz w:val="22"/>
          <w:szCs w:val="22"/>
        </w:rPr>
        <w:t>,</w:t>
      </w:r>
      <w:r w:rsidR="003B424A" w:rsidRPr="004518A2">
        <w:rPr>
          <w:rFonts w:ascii="Verdana" w:hAnsi="Verdana" w:cs="Arial"/>
          <w:color w:val="000000" w:themeColor="text1"/>
          <w:sz w:val="22"/>
          <w:szCs w:val="22"/>
        </w:rPr>
        <w:t xml:space="preserve"> </w:t>
      </w:r>
      <w:r w:rsidR="00551428" w:rsidRPr="004518A2">
        <w:rPr>
          <w:rFonts w:ascii="Verdana" w:hAnsi="Verdana" w:cs="Arial"/>
          <w:color w:val="000000" w:themeColor="text1"/>
          <w:sz w:val="22"/>
          <w:szCs w:val="22"/>
        </w:rPr>
        <w:t>el Programa Sistema de Información Documental SID, C</w:t>
      </w:r>
      <w:r w:rsidR="003D26D5" w:rsidRPr="004518A2">
        <w:rPr>
          <w:rFonts w:ascii="Verdana" w:hAnsi="Verdana" w:cs="Arial"/>
          <w:color w:val="000000" w:themeColor="text1"/>
          <w:sz w:val="22"/>
          <w:szCs w:val="22"/>
        </w:rPr>
        <w:t xml:space="preserve">ódigo </w:t>
      </w:r>
      <w:r w:rsidR="00551428" w:rsidRPr="004518A2">
        <w:rPr>
          <w:rFonts w:ascii="Verdana" w:hAnsi="Verdana" w:cs="Arial"/>
          <w:color w:val="000000" w:themeColor="text1"/>
          <w:sz w:val="22"/>
          <w:szCs w:val="22"/>
        </w:rPr>
        <w:t>GDO-PG-00</w:t>
      </w:r>
      <w:r w:rsidR="004518A2" w:rsidRPr="004518A2">
        <w:rPr>
          <w:rFonts w:ascii="Verdana" w:hAnsi="Verdana" w:cs="Arial"/>
          <w:color w:val="000000" w:themeColor="text1"/>
          <w:sz w:val="22"/>
          <w:szCs w:val="22"/>
        </w:rPr>
        <w:t>3</w:t>
      </w:r>
      <w:r w:rsidR="00551428" w:rsidRPr="004518A2">
        <w:rPr>
          <w:rFonts w:ascii="Verdana" w:hAnsi="Verdana" w:cs="Arial"/>
          <w:color w:val="000000" w:themeColor="text1"/>
          <w:sz w:val="22"/>
          <w:szCs w:val="22"/>
        </w:rPr>
        <w:t xml:space="preserve"> </w:t>
      </w:r>
      <w:r w:rsidR="00F3079D" w:rsidRPr="004518A2">
        <w:rPr>
          <w:rFonts w:ascii="Verdana" w:hAnsi="Verdana" w:cs="Arial"/>
          <w:color w:val="000000" w:themeColor="text1"/>
          <w:sz w:val="22"/>
          <w:szCs w:val="22"/>
        </w:rPr>
        <w:t xml:space="preserve">y </w:t>
      </w:r>
      <w:r w:rsidR="009F220C" w:rsidRPr="004518A2">
        <w:rPr>
          <w:rFonts w:ascii="Verdana" w:hAnsi="Verdana" w:cs="Arial"/>
          <w:color w:val="000000" w:themeColor="text1"/>
          <w:sz w:val="22"/>
          <w:szCs w:val="22"/>
        </w:rPr>
        <w:t>las Políticas de seguridad y privacidad de la información del SGSI</w:t>
      </w:r>
      <w:r w:rsidR="004D126B" w:rsidRPr="004518A2">
        <w:rPr>
          <w:rFonts w:ascii="Verdana" w:hAnsi="Verdana" w:cs="Arial"/>
          <w:color w:val="000000" w:themeColor="text1"/>
          <w:sz w:val="22"/>
          <w:szCs w:val="22"/>
        </w:rPr>
        <w:t xml:space="preserve"> GIN</w:t>
      </w:r>
      <w:r w:rsidR="004D126B" w:rsidRPr="004518A2">
        <w:rPr>
          <w:rFonts w:ascii="Verdana" w:hAnsi="Verdana"/>
          <w:color w:val="000000" w:themeColor="text1"/>
          <w:sz w:val="22"/>
          <w:szCs w:val="22"/>
        </w:rPr>
        <w:t>-PO</w:t>
      </w:r>
      <w:r w:rsidR="004D126B" w:rsidRPr="00551428">
        <w:rPr>
          <w:rFonts w:ascii="Verdana" w:hAnsi="Verdana"/>
          <w:sz w:val="22"/>
          <w:szCs w:val="22"/>
        </w:rPr>
        <w:t>-003</w:t>
      </w:r>
      <w:r w:rsidR="003D26D5" w:rsidRPr="00551428">
        <w:rPr>
          <w:rFonts w:ascii="Verdana" w:hAnsi="Verdana" w:cs="Arial"/>
          <w:sz w:val="22"/>
          <w:szCs w:val="22"/>
        </w:rPr>
        <w:t xml:space="preserve">, </w:t>
      </w:r>
      <w:r w:rsidR="003A7C08" w:rsidRPr="00551428">
        <w:rPr>
          <w:rFonts w:ascii="Verdana" w:hAnsi="Verdana" w:cs="Arial"/>
          <w:sz w:val="22"/>
          <w:szCs w:val="22"/>
        </w:rPr>
        <w:t>Además, su papel es fundamental en la trazabilidad, ya que toda interacción con los documentos queda registrada en pistas de auditoría</w:t>
      </w:r>
      <w:r w:rsidR="001D4EFE" w:rsidRPr="00551428">
        <w:rPr>
          <w:rFonts w:ascii="Verdana" w:hAnsi="Verdana" w:cs="Arial"/>
          <w:sz w:val="22"/>
          <w:szCs w:val="22"/>
        </w:rPr>
        <w:t>.</w:t>
      </w:r>
    </w:p>
    <w:p w14:paraId="0C8289DA" w14:textId="77777777" w:rsidR="00826582" w:rsidRPr="001D372F" w:rsidRDefault="00826582" w:rsidP="002C739B">
      <w:pPr>
        <w:ind w:left="360"/>
        <w:jc w:val="both"/>
        <w:rPr>
          <w:rFonts w:ascii="Verdana" w:hAnsi="Verdana" w:cs="Arial"/>
          <w:sz w:val="22"/>
          <w:szCs w:val="22"/>
        </w:rPr>
      </w:pPr>
    </w:p>
    <w:p w14:paraId="059DA3F5" w14:textId="5A086B3C" w:rsidR="00826582" w:rsidRPr="00EA36C5" w:rsidRDefault="00826582" w:rsidP="002C739B">
      <w:pPr>
        <w:jc w:val="both"/>
        <w:rPr>
          <w:rFonts w:ascii="Verdana" w:hAnsi="Verdana" w:cs="Arial"/>
          <w:sz w:val="22"/>
          <w:szCs w:val="22"/>
        </w:rPr>
      </w:pPr>
      <w:r w:rsidRPr="49946295">
        <w:rPr>
          <w:rFonts w:ascii="Verdana" w:hAnsi="Verdana" w:cs="Arial"/>
          <w:sz w:val="22"/>
          <w:szCs w:val="22"/>
        </w:rPr>
        <w:t xml:space="preserve">La definición clara de los responsables dentro del MoReq garantiza que la gestión documental electrónica de la Superintendencia de Sociedades no dependa de esfuerzos aislados, sino de un trabajo articulado y corresponsable entre los </w:t>
      </w:r>
      <w:r w:rsidR="00571351" w:rsidRPr="49946295">
        <w:rPr>
          <w:rFonts w:ascii="Verdana" w:hAnsi="Verdana" w:cs="Arial"/>
          <w:sz w:val="22"/>
          <w:szCs w:val="22"/>
        </w:rPr>
        <w:t>procesos de</w:t>
      </w:r>
      <w:r w:rsidRPr="49946295">
        <w:rPr>
          <w:rFonts w:ascii="Verdana" w:hAnsi="Verdana" w:cs="Arial"/>
          <w:sz w:val="22"/>
          <w:szCs w:val="22"/>
        </w:rPr>
        <w:t xml:space="preserve"> </w:t>
      </w:r>
      <w:r w:rsidRPr="49946295">
        <w:rPr>
          <w:rFonts w:ascii="Verdana" w:hAnsi="Verdana" w:cs="Arial"/>
          <w:sz w:val="22"/>
          <w:szCs w:val="22"/>
        </w:rPr>
        <w:lastRenderedPageBreak/>
        <w:t>direccionamiento, misionales, de apoyo y de seguimiento. Cada actor, desde los comités directivos hasta los usuarios finales, cumple un papel esencial para que el sistema f</w:t>
      </w:r>
      <w:r w:rsidRPr="00EA36C5">
        <w:rPr>
          <w:rFonts w:ascii="Verdana" w:hAnsi="Verdana" w:cs="Arial"/>
          <w:sz w:val="22"/>
          <w:szCs w:val="22"/>
        </w:rPr>
        <w:t>uncione con eficiencia, seguridad, trazabilidad y validez jurídica, consolidando así una cultura organizacional de responsabilidad compartida frente a la preservación de la memoria institucional y el cumplimiento normativo.</w:t>
      </w:r>
    </w:p>
    <w:p w14:paraId="205B3E91" w14:textId="6E52253C" w:rsidR="49946295" w:rsidRPr="00EA36C5" w:rsidRDefault="49946295" w:rsidP="49946295">
      <w:pPr>
        <w:jc w:val="both"/>
        <w:rPr>
          <w:rFonts w:ascii="Verdana" w:hAnsi="Verdana" w:cs="Arial"/>
          <w:sz w:val="22"/>
          <w:szCs w:val="22"/>
        </w:rPr>
      </w:pPr>
    </w:p>
    <w:bookmarkEnd w:id="2"/>
    <w:p w14:paraId="05B5C458" w14:textId="481106C5" w:rsidR="00EA36C5" w:rsidRPr="00EA36C5" w:rsidRDefault="00EA36C5" w:rsidP="00EA36C5">
      <w:pPr>
        <w:rPr>
          <w:sz w:val="22"/>
          <w:szCs w:val="22"/>
          <w:lang w:val="es-MX"/>
        </w:rPr>
      </w:pPr>
    </w:p>
    <w:p w14:paraId="060FA877" w14:textId="77777777" w:rsidR="00EA36C5" w:rsidRPr="00EA36C5" w:rsidRDefault="00EA36C5" w:rsidP="00EA36C5">
      <w:pPr>
        <w:pStyle w:val="Ttulo1"/>
        <w:spacing w:line="240" w:lineRule="auto"/>
        <w:jc w:val="both"/>
        <w:rPr>
          <w:rFonts w:ascii="Verdana" w:hAnsi="Verdana"/>
          <w:sz w:val="22"/>
          <w:szCs w:val="22"/>
        </w:rPr>
      </w:pPr>
      <w:r w:rsidRPr="00EA36C5">
        <w:rPr>
          <w:rFonts w:ascii="Verdana" w:hAnsi="Verdana"/>
          <w:sz w:val="22"/>
          <w:szCs w:val="22"/>
        </w:rPr>
        <w:t>4. DEFINICIONES</w:t>
      </w:r>
      <w:r w:rsidRPr="00EA36C5">
        <w:rPr>
          <w:rStyle w:val="Refdenotaalpie"/>
          <w:rFonts w:ascii="Verdana" w:hAnsi="Verdana"/>
          <w:sz w:val="22"/>
          <w:szCs w:val="22"/>
        </w:rPr>
        <w:footnoteReference w:id="1"/>
      </w:r>
    </w:p>
    <w:p w14:paraId="21BE8133" w14:textId="77777777" w:rsidR="00EA36C5" w:rsidRPr="00EA36C5" w:rsidRDefault="00EA36C5" w:rsidP="00EA36C5">
      <w:pPr>
        <w:rPr>
          <w:sz w:val="22"/>
          <w:szCs w:val="22"/>
          <w:lang w:val="es-MX"/>
        </w:rPr>
      </w:pPr>
    </w:p>
    <w:p w14:paraId="246F3C33" w14:textId="77777777" w:rsidR="00EA36C5" w:rsidRPr="00F57857" w:rsidRDefault="00EA36C5" w:rsidP="00EA36C5">
      <w:pPr>
        <w:jc w:val="both"/>
        <w:rPr>
          <w:rFonts w:ascii="Verdana" w:hAnsi="Verdana"/>
          <w:sz w:val="22"/>
          <w:szCs w:val="22"/>
        </w:rPr>
      </w:pPr>
      <w:r w:rsidRPr="00F57857">
        <w:rPr>
          <w:rFonts w:ascii="Verdana" w:hAnsi="Verdana"/>
          <w:sz w:val="22"/>
          <w:szCs w:val="22"/>
        </w:rPr>
        <w:t>Los términos manejados en el presente programa están alineados con las definiciones identificadas en el Programa de Gestión Documental (PGD) código GDO-PG-001 publicado en el mapa de procesos de Gestión Documental y los complementa los siguientes términos:</w:t>
      </w:r>
    </w:p>
    <w:p w14:paraId="56BCA291" w14:textId="77777777" w:rsidR="00EA36C5" w:rsidRPr="00F57857" w:rsidRDefault="00EA36C5" w:rsidP="00EA36C5">
      <w:pPr>
        <w:rPr>
          <w:sz w:val="22"/>
          <w:szCs w:val="22"/>
        </w:rPr>
      </w:pPr>
    </w:p>
    <w:p w14:paraId="09272F01" w14:textId="3BC2FC7B" w:rsidR="00146C1F" w:rsidRPr="00F57857" w:rsidRDefault="00146C1F" w:rsidP="00146C1F">
      <w:pPr>
        <w:jc w:val="both"/>
        <w:rPr>
          <w:rFonts w:ascii="Verdana" w:hAnsi="Verdana" w:cs="Arial"/>
          <w:sz w:val="22"/>
          <w:szCs w:val="22"/>
        </w:rPr>
      </w:pPr>
      <w:r w:rsidRPr="00F57857">
        <w:rPr>
          <w:rStyle w:val="Fuerte"/>
          <w:rFonts w:ascii="Verdana" w:hAnsi="Verdana" w:cs="Arial"/>
          <w:color w:val="0A0A0A"/>
          <w:sz w:val="22"/>
          <w:szCs w:val="22"/>
          <w:shd w:val="clear" w:color="auto" w:fill="FFFFFF"/>
        </w:rPr>
        <w:t>CAdES:</w:t>
      </w:r>
      <w:r w:rsidRPr="00F57857">
        <w:rPr>
          <w:rFonts w:ascii="Verdana" w:hAnsi="Verdana" w:cs="Arial"/>
          <w:color w:val="0A0A0A"/>
          <w:sz w:val="22"/>
          <w:szCs w:val="22"/>
          <w:shd w:val="clear" w:color="auto" w:fill="FFFFFF"/>
        </w:rPr>
        <w:t> (Firmas Electrónicas Avanzadas de CMS) E</w:t>
      </w:r>
      <w:r w:rsidRPr="00F57857">
        <w:rPr>
          <w:rFonts w:ascii="Verdana" w:hAnsi="Verdana"/>
          <w:sz w:val="22"/>
          <w:szCs w:val="22"/>
        </w:rPr>
        <w:t>s un estándar de firma electrónica avanzada basado en la sintaxis de mensajes criptográficos (CMS), diseñado para asegurar la integridad y autenticidad de documentos digitales.</w:t>
      </w:r>
      <w:r w:rsidRPr="00F57857">
        <w:rPr>
          <w:rFonts w:ascii="Verdana" w:hAnsi="Verdana" w:cs="Arial"/>
          <w:color w:val="0A0A0A"/>
          <w:sz w:val="22"/>
          <w:szCs w:val="22"/>
          <w:shd w:val="clear" w:color="auto" w:fill="FFFFFF"/>
        </w:rPr>
        <w:t xml:space="preserve"> Es ideal para archivos binarios, cumple con el reglamento </w:t>
      </w:r>
      <w:r w:rsidRPr="00F57857">
        <w:rPr>
          <w:rStyle w:val="Fuerte"/>
          <w:rFonts w:ascii="Verdana" w:hAnsi="Verdana" w:cs="Arial"/>
          <w:b w:val="0"/>
          <w:bCs w:val="0"/>
          <w:color w:val="0A0A0A"/>
          <w:sz w:val="22"/>
          <w:szCs w:val="22"/>
          <w:shd w:val="clear" w:color="auto" w:fill="FFFFFF"/>
        </w:rPr>
        <w:t>eIDAS</w:t>
      </w:r>
      <w:r w:rsidRPr="00F57857">
        <w:rPr>
          <w:rFonts w:ascii="Verdana" w:hAnsi="Verdana" w:cs="Arial"/>
          <w:color w:val="0A0A0A"/>
          <w:sz w:val="22"/>
          <w:szCs w:val="22"/>
          <w:shd w:val="clear" w:color="auto" w:fill="FFFFFF"/>
        </w:rPr>
        <w:t> de la UE y garantiza la validez a largo plazo mediante firmas avanzadas.</w:t>
      </w:r>
    </w:p>
    <w:p w14:paraId="3F42E14D" w14:textId="77777777" w:rsidR="00146C1F" w:rsidRPr="00F57857" w:rsidRDefault="00146C1F" w:rsidP="00146C1F">
      <w:pPr>
        <w:jc w:val="both"/>
        <w:rPr>
          <w:rFonts w:ascii="Verdana" w:hAnsi="Verdana" w:cs="Arial"/>
          <w:sz w:val="22"/>
          <w:szCs w:val="22"/>
        </w:rPr>
      </w:pPr>
    </w:p>
    <w:p w14:paraId="03CA19B3" w14:textId="53EF9B89" w:rsidR="00146C1F" w:rsidRPr="00F57857" w:rsidRDefault="00146C1F" w:rsidP="00146C1F">
      <w:pPr>
        <w:jc w:val="both"/>
        <w:rPr>
          <w:rFonts w:ascii="Verdana" w:hAnsi="Verdana" w:cs="Arial"/>
          <w:sz w:val="22"/>
          <w:szCs w:val="22"/>
        </w:rPr>
      </w:pPr>
      <w:r w:rsidRPr="00F57857">
        <w:rPr>
          <w:rFonts w:ascii="Verdana" w:hAnsi="Verdana" w:cs="Arial"/>
          <w:b/>
          <w:bCs/>
          <w:sz w:val="22"/>
          <w:szCs w:val="22"/>
        </w:rPr>
        <w:t>XAdES:</w:t>
      </w:r>
      <w:r w:rsidRPr="00F57857">
        <w:rPr>
          <w:rFonts w:ascii="Verdana" w:hAnsi="Verdana" w:cs="Arial"/>
          <w:sz w:val="22"/>
          <w:szCs w:val="22"/>
        </w:rPr>
        <w:t xml:space="preserve"> (</w:t>
      </w:r>
      <w:r w:rsidR="00D84F90" w:rsidRPr="00F57857">
        <w:rPr>
          <w:rFonts w:ascii="Verdana" w:hAnsi="Verdana" w:cs="Arial"/>
          <w:sz w:val="22"/>
          <w:szCs w:val="22"/>
        </w:rPr>
        <w:t>A</w:t>
      </w:r>
      <w:r w:rsidRPr="00F57857">
        <w:rPr>
          <w:rFonts w:ascii="Verdana" w:hAnsi="Verdana" w:cs="Arial"/>
          <w:sz w:val="22"/>
          <w:szCs w:val="22"/>
        </w:rPr>
        <w:t>crónimo de</w:t>
      </w:r>
      <w:r w:rsidRPr="00F57857">
        <w:rPr>
          <w:rFonts w:ascii="Verdana" w:hAnsi="Verdana" w:cs="Arial"/>
          <w:b/>
          <w:bCs/>
          <w:sz w:val="22"/>
          <w:szCs w:val="22"/>
        </w:rPr>
        <w:t> </w:t>
      </w:r>
      <w:r w:rsidRPr="00F57857">
        <w:rPr>
          <w:rFonts w:ascii="Verdana" w:hAnsi="Verdana" w:cs="Arial"/>
          <w:sz w:val="22"/>
          <w:szCs w:val="22"/>
        </w:rPr>
        <w:t>XML Advanced Electronic Signatures o Firma Electrónica Avanzada XML) es un estándar técnico desarrollado por el Consorcio World Wide Web (W3C) y respaldado por la Unión Europea para garantizar la validez legal y técnica de los documentos firmados electrónicamente.</w:t>
      </w:r>
    </w:p>
    <w:p w14:paraId="7B488984" w14:textId="77777777" w:rsidR="00146C1F" w:rsidRPr="00F57857" w:rsidRDefault="00146C1F" w:rsidP="00146C1F">
      <w:pPr>
        <w:jc w:val="both"/>
        <w:rPr>
          <w:rFonts w:ascii="Verdana" w:hAnsi="Verdana" w:cs="Arial"/>
          <w:sz w:val="22"/>
          <w:szCs w:val="22"/>
        </w:rPr>
      </w:pPr>
    </w:p>
    <w:p w14:paraId="28D09493" w14:textId="77777777" w:rsidR="00146C1F" w:rsidRPr="00F57857" w:rsidRDefault="00146C1F" w:rsidP="00146C1F">
      <w:pPr>
        <w:jc w:val="both"/>
        <w:rPr>
          <w:rFonts w:ascii="Verdana" w:hAnsi="Verdana" w:cs="Arial"/>
          <w:color w:val="0A0A0A"/>
          <w:sz w:val="22"/>
          <w:szCs w:val="22"/>
          <w:shd w:val="clear" w:color="auto" w:fill="FFFFFF"/>
        </w:rPr>
      </w:pPr>
      <w:r w:rsidRPr="00F57857">
        <w:rPr>
          <w:rFonts w:ascii="Verdana" w:hAnsi="Verdana" w:cs="Arial"/>
          <w:color w:val="0A0A0A"/>
          <w:sz w:val="22"/>
          <w:szCs w:val="22"/>
          <w:shd w:val="clear" w:color="auto" w:fill="FFFFFF"/>
        </w:rPr>
        <w:t>En informática, XAdES funciona como un conjunto de extensiones a las recomendaciones </w:t>
      </w:r>
      <w:r w:rsidRPr="00F57857">
        <w:rPr>
          <w:rStyle w:val="Fuerte"/>
          <w:rFonts w:ascii="Verdana" w:hAnsi="Verdana" w:cs="Arial"/>
          <w:b w:val="0"/>
          <w:bCs w:val="0"/>
          <w:color w:val="0A0A0A"/>
          <w:sz w:val="22"/>
          <w:szCs w:val="22"/>
          <w:shd w:val="clear" w:color="auto" w:fill="FFFFFF"/>
        </w:rPr>
        <w:t>XML-DSig</w:t>
      </w:r>
      <w:r w:rsidRPr="00F57857">
        <w:rPr>
          <w:rFonts w:ascii="Verdana" w:hAnsi="Verdana" w:cs="Arial"/>
          <w:color w:val="0A0A0A"/>
          <w:sz w:val="22"/>
          <w:szCs w:val="22"/>
          <w:shd w:val="clear" w:color="auto" w:fill="FFFFFF"/>
        </w:rPr>
        <w:t> (XML Digital Signature), diseñadas específicamente para cumplir con los requisitos de la firma electrónica avanzada.</w:t>
      </w:r>
    </w:p>
    <w:p w14:paraId="64E09C8C" w14:textId="77777777" w:rsidR="00146C1F" w:rsidRPr="00F57857" w:rsidRDefault="00146C1F" w:rsidP="00146C1F">
      <w:pPr>
        <w:jc w:val="both"/>
        <w:rPr>
          <w:rFonts w:ascii="Verdana" w:hAnsi="Verdana" w:cs="Arial"/>
          <w:color w:val="0A0A0A"/>
          <w:sz w:val="22"/>
          <w:szCs w:val="22"/>
          <w:shd w:val="clear" w:color="auto" w:fill="FFFFFF"/>
        </w:rPr>
      </w:pPr>
    </w:p>
    <w:p w14:paraId="17E29C33" w14:textId="6594CE15" w:rsidR="00146C1F" w:rsidRPr="00F57857" w:rsidRDefault="00146C1F" w:rsidP="00146C1F">
      <w:pPr>
        <w:jc w:val="both"/>
        <w:rPr>
          <w:rFonts w:ascii="Verdana" w:hAnsi="Verdana" w:cs="Arial"/>
          <w:color w:val="0A0A0A"/>
          <w:sz w:val="22"/>
          <w:szCs w:val="22"/>
          <w:shd w:val="clear" w:color="auto" w:fill="FFFFFF"/>
        </w:rPr>
      </w:pPr>
      <w:r w:rsidRPr="00F57857">
        <w:rPr>
          <w:rStyle w:val="Fuerte"/>
          <w:rFonts w:ascii="Verdana" w:hAnsi="Verdana" w:cs="Arial"/>
          <w:color w:val="0A0A0A"/>
          <w:sz w:val="22"/>
          <w:szCs w:val="22"/>
          <w:shd w:val="clear" w:color="auto" w:fill="FFFFFF"/>
        </w:rPr>
        <w:t>PAdES:</w:t>
      </w:r>
      <w:r w:rsidRPr="00F57857">
        <w:rPr>
          <w:rFonts w:ascii="Verdana" w:hAnsi="Verdana" w:cs="Arial"/>
          <w:color w:val="0A0A0A"/>
          <w:sz w:val="22"/>
          <w:szCs w:val="22"/>
          <w:shd w:val="clear" w:color="auto" w:fill="FFFFFF"/>
        </w:rPr>
        <w:t> </w:t>
      </w:r>
      <w:r w:rsidR="00D84F90" w:rsidRPr="00F57857">
        <w:rPr>
          <w:rFonts w:ascii="Verdana" w:hAnsi="Verdana" w:cs="Arial"/>
          <w:color w:val="0A0A0A"/>
          <w:sz w:val="22"/>
          <w:szCs w:val="22"/>
          <w:shd w:val="clear" w:color="auto" w:fill="FFFFFF"/>
        </w:rPr>
        <w:t>E</w:t>
      </w:r>
      <w:r w:rsidRPr="00F57857">
        <w:rPr>
          <w:rFonts w:ascii="Verdana" w:hAnsi="Verdana" w:cs="Arial"/>
          <w:color w:val="0A0A0A"/>
          <w:sz w:val="22"/>
          <w:szCs w:val="22"/>
          <w:shd w:val="clear" w:color="auto" w:fill="FFFFFF"/>
        </w:rPr>
        <w:t>s el acrónimo de</w:t>
      </w:r>
      <w:r w:rsidRPr="00F57857">
        <w:rPr>
          <w:rStyle w:val="Fuerte"/>
          <w:rFonts w:ascii="Verdana" w:hAnsi="Verdana" w:cs="Arial"/>
          <w:color w:val="0A0A0A"/>
          <w:sz w:val="22"/>
          <w:szCs w:val="22"/>
          <w:shd w:val="clear" w:color="auto" w:fill="FFFFFF"/>
        </w:rPr>
        <w:t> </w:t>
      </w:r>
      <w:r w:rsidRPr="005020C3">
        <w:rPr>
          <w:rStyle w:val="Fuerte"/>
          <w:rFonts w:ascii="Verdana" w:hAnsi="Verdana" w:cs="Arial"/>
          <w:b w:val="0"/>
          <w:bCs w:val="0"/>
          <w:color w:val="0A0A0A"/>
          <w:sz w:val="22"/>
          <w:szCs w:val="22"/>
          <w:shd w:val="clear" w:color="auto" w:fill="FFFFFF"/>
        </w:rPr>
        <w:t>PDF Advanced Electronic Signatures</w:t>
      </w:r>
      <w:r w:rsidRPr="00F57857">
        <w:rPr>
          <w:rFonts w:ascii="Verdana" w:hAnsi="Verdana" w:cs="Arial"/>
          <w:color w:val="0A0A0A"/>
          <w:sz w:val="22"/>
          <w:szCs w:val="22"/>
          <w:shd w:val="clear" w:color="auto" w:fill="FFFFFF"/>
        </w:rPr>
        <w:t> (Firmas Electrónicas Avanzadas en PDF). Se trata de un estándar técnico establecido por el ETSI (Instituto Europeo de Normas de Telecomunicaciones) que define un conjunto de extensiones y restricciones para el formato PDF, permitiendo crear firmas electrónicas avanzadas o reconocidas.</w:t>
      </w:r>
    </w:p>
    <w:p w14:paraId="6B8F153C" w14:textId="77777777" w:rsidR="00146C1F" w:rsidRPr="00F57857" w:rsidRDefault="00146C1F" w:rsidP="00146C1F">
      <w:pPr>
        <w:jc w:val="both"/>
        <w:rPr>
          <w:rFonts w:ascii="Verdana" w:hAnsi="Verdana" w:cs="Arial"/>
          <w:color w:val="0A0A0A"/>
          <w:sz w:val="22"/>
          <w:szCs w:val="22"/>
          <w:shd w:val="clear" w:color="auto" w:fill="FFFFFF"/>
        </w:rPr>
      </w:pPr>
    </w:p>
    <w:p w14:paraId="6B2E8E4A" w14:textId="77777777" w:rsidR="00146C1F" w:rsidRDefault="00146C1F" w:rsidP="00146C1F">
      <w:pPr>
        <w:jc w:val="both"/>
        <w:rPr>
          <w:rFonts w:ascii="Verdana" w:hAnsi="Verdana" w:cs="Arial"/>
          <w:color w:val="0A0A0A"/>
          <w:sz w:val="22"/>
          <w:szCs w:val="22"/>
          <w:shd w:val="clear" w:color="auto" w:fill="FFFFFF"/>
        </w:rPr>
      </w:pPr>
      <w:r w:rsidRPr="00F57857">
        <w:rPr>
          <w:rFonts w:ascii="Verdana" w:hAnsi="Verdana" w:cs="Arial"/>
          <w:color w:val="0A0A0A"/>
          <w:sz w:val="22"/>
          <w:szCs w:val="22"/>
          <w:shd w:val="clear" w:color="auto" w:fill="FFFFFF"/>
        </w:rPr>
        <w:t>En informática, PAdES es el estándar preferido para firmar documentos PDF, ya que la firma se incrusta directamente en el propio archivo.</w:t>
      </w:r>
    </w:p>
    <w:p w14:paraId="24CADBAC" w14:textId="77777777" w:rsidR="00F57857" w:rsidRDefault="00F57857" w:rsidP="00146C1F">
      <w:pPr>
        <w:jc w:val="both"/>
        <w:rPr>
          <w:rFonts w:ascii="Verdana" w:hAnsi="Verdana" w:cs="Arial"/>
          <w:color w:val="0A0A0A"/>
          <w:sz w:val="22"/>
          <w:szCs w:val="22"/>
          <w:shd w:val="clear" w:color="auto" w:fill="FFFFFF"/>
        </w:rPr>
      </w:pPr>
    </w:p>
    <w:p w14:paraId="012EB134" w14:textId="77777777" w:rsidR="00F57857" w:rsidRDefault="00F57857" w:rsidP="00146C1F">
      <w:pPr>
        <w:jc w:val="both"/>
        <w:rPr>
          <w:rFonts w:ascii="Verdana" w:hAnsi="Verdana" w:cs="Arial"/>
          <w:color w:val="0A0A0A"/>
          <w:sz w:val="22"/>
          <w:szCs w:val="22"/>
          <w:shd w:val="clear" w:color="auto" w:fill="FFFFFF"/>
        </w:rPr>
      </w:pPr>
    </w:p>
    <w:p w14:paraId="7CB1AA00" w14:textId="77777777" w:rsidR="00F57857" w:rsidRPr="00F57857" w:rsidRDefault="00F57857" w:rsidP="00146C1F">
      <w:pPr>
        <w:jc w:val="both"/>
        <w:rPr>
          <w:rFonts w:ascii="Verdana" w:hAnsi="Verdana" w:cs="Arial"/>
          <w:sz w:val="22"/>
          <w:szCs w:val="22"/>
        </w:rPr>
      </w:pPr>
    </w:p>
    <w:p w14:paraId="3EB601B1" w14:textId="39EA88D0" w:rsidR="00FD7884" w:rsidRPr="009F7F0D" w:rsidRDefault="00E81094" w:rsidP="0066719F">
      <w:pPr>
        <w:pStyle w:val="Ttulo1"/>
        <w:spacing w:line="240" w:lineRule="auto"/>
        <w:jc w:val="both"/>
        <w:rPr>
          <w:rFonts w:ascii="Verdana" w:hAnsi="Verdana"/>
          <w:sz w:val="22"/>
          <w:szCs w:val="22"/>
        </w:rPr>
      </w:pPr>
      <w:r w:rsidRPr="009F7F0D">
        <w:rPr>
          <w:rFonts w:ascii="Verdana" w:hAnsi="Verdana"/>
          <w:sz w:val="22"/>
          <w:szCs w:val="22"/>
        </w:rPr>
        <w:lastRenderedPageBreak/>
        <w:t>5</w:t>
      </w:r>
      <w:r w:rsidR="00AC389F" w:rsidRPr="009F7F0D">
        <w:rPr>
          <w:rFonts w:ascii="Verdana" w:hAnsi="Verdana"/>
          <w:sz w:val="22"/>
          <w:szCs w:val="22"/>
        </w:rPr>
        <w:t xml:space="preserve">. </w:t>
      </w:r>
      <w:r w:rsidR="0007378A" w:rsidRPr="009F7F0D">
        <w:rPr>
          <w:rFonts w:ascii="Verdana" w:hAnsi="Verdana"/>
          <w:sz w:val="22"/>
          <w:szCs w:val="22"/>
        </w:rPr>
        <w:t>CONTENIDO</w:t>
      </w:r>
    </w:p>
    <w:p w14:paraId="510F2B65" w14:textId="37344CA6" w:rsidR="008409B1" w:rsidRDefault="008409B1" w:rsidP="00965946">
      <w:pPr>
        <w:jc w:val="both"/>
        <w:rPr>
          <w:rFonts w:ascii="Verdana" w:hAnsi="Verdana" w:cs="Arial"/>
          <w:color w:val="FF0000"/>
          <w:sz w:val="22"/>
          <w:szCs w:val="22"/>
          <w:lang w:val="es-ES_tradnl"/>
        </w:rPr>
      </w:pPr>
    </w:p>
    <w:p w14:paraId="12476969" w14:textId="045ADA5B" w:rsidR="00385A2C" w:rsidRPr="005F419C" w:rsidRDefault="009303D0" w:rsidP="005F419C">
      <w:pPr>
        <w:jc w:val="both"/>
        <w:rPr>
          <w:rFonts w:ascii="Verdana" w:hAnsi="Verdana" w:cs="Arial"/>
          <w:b/>
          <w:bCs/>
          <w:sz w:val="22"/>
          <w:szCs w:val="22"/>
          <w:lang w:val="es-ES_tradnl"/>
        </w:rPr>
      </w:pPr>
      <w:r>
        <w:rPr>
          <w:rFonts w:ascii="Verdana" w:hAnsi="Verdana" w:cs="Arial"/>
          <w:b/>
          <w:bCs/>
          <w:sz w:val="22"/>
          <w:szCs w:val="22"/>
          <w:lang w:val="es-ES_tradnl"/>
        </w:rPr>
        <w:t xml:space="preserve">5.1. </w:t>
      </w:r>
      <w:r w:rsidR="00E8158F" w:rsidRPr="005F419C">
        <w:rPr>
          <w:rFonts w:ascii="Verdana" w:hAnsi="Verdana" w:cs="Arial"/>
          <w:b/>
          <w:bCs/>
          <w:sz w:val="22"/>
          <w:szCs w:val="22"/>
          <w:lang w:val="es-ES_tradnl"/>
        </w:rPr>
        <w:t>INTRODUCCIÓN</w:t>
      </w:r>
    </w:p>
    <w:p w14:paraId="5C4E9711" w14:textId="77777777" w:rsidR="00E8158F" w:rsidRDefault="00E8158F" w:rsidP="005C60D9">
      <w:pPr>
        <w:jc w:val="both"/>
        <w:rPr>
          <w:rFonts w:ascii="Verdana" w:hAnsi="Verdana" w:cs="Arial"/>
          <w:color w:val="FF0000"/>
          <w:sz w:val="22"/>
          <w:szCs w:val="22"/>
          <w:lang w:val="es-ES_tradnl"/>
        </w:rPr>
      </w:pPr>
    </w:p>
    <w:p w14:paraId="028C9291" w14:textId="77777777" w:rsidR="00B126FF" w:rsidRPr="00F57857" w:rsidRDefault="00B126FF" w:rsidP="005C60D9">
      <w:pPr>
        <w:jc w:val="both"/>
        <w:rPr>
          <w:rFonts w:ascii="Verdana" w:hAnsi="Verdana" w:cs="Arial"/>
          <w:sz w:val="22"/>
          <w:szCs w:val="22"/>
        </w:rPr>
      </w:pPr>
      <w:r w:rsidRPr="00F57857">
        <w:rPr>
          <w:rFonts w:ascii="Verdana" w:hAnsi="Verdana" w:cs="Arial"/>
          <w:sz w:val="22"/>
          <w:szCs w:val="22"/>
        </w:rPr>
        <w:t>El Modelo de Requisitos para la Gestión de Documentos Electrónicos de Archivo (MoReq) de la Superintendencia de Sociedades, es concebido como un instrumento técnico y normativo que fortalece la gestión documental institucional en el entorno digital.</w:t>
      </w:r>
    </w:p>
    <w:p w14:paraId="03375A1D" w14:textId="77777777" w:rsidR="00052CC7" w:rsidRPr="00F57857" w:rsidRDefault="00052CC7" w:rsidP="005C60D9">
      <w:pPr>
        <w:jc w:val="both"/>
        <w:rPr>
          <w:rFonts w:ascii="Verdana" w:hAnsi="Verdana" w:cs="Arial"/>
          <w:sz w:val="22"/>
          <w:szCs w:val="22"/>
        </w:rPr>
      </w:pPr>
    </w:p>
    <w:p w14:paraId="44356B40" w14:textId="77777777" w:rsidR="00052CC7" w:rsidRPr="00F57857" w:rsidRDefault="00052CC7" w:rsidP="005C60D9">
      <w:pPr>
        <w:jc w:val="both"/>
        <w:rPr>
          <w:rFonts w:ascii="Verdana" w:hAnsi="Verdana" w:cs="Arial"/>
          <w:sz w:val="22"/>
          <w:szCs w:val="22"/>
        </w:rPr>
      </w:pPr>
      <w:r w:rsidRPr="00F57857">
        <w:rPr>
          <w:rFonts w:ascii="Verdana" w:hAnsi="Verdana" w:cs="Arial"/>
          <w:sz w:val="22"/>
          <w:szCs w:val="22"/>
        </w:rPr>
        <w:t>Esta versión incorpora de manera integral:</w:t>
      </w:r>
    </w:p>
    <w:p w14:paraId="1A12E0B3" w14:textId="77777777" w:rsidR="00385A2C" w:rsidRPr="00F57857" w:rsidRDefault="00385A2C" w:rsidP="005C60D9">
      <w:pPr>
        <w:jc w:val="both"/>
        <w:rPr>
          <w:rFonts w:ascii="Verdana" w:hAnsi="Verdana" w:cs="Arial"/>
          <w:color w:val="FF0000"/>
          <w:sz w:val="22"/>
          <w:szCs w:val="22"/>
        </w:rPr>
      </w:pPr>
    </w:p>
    <w:p w14:paraId="275AB213" w14:textId="5CDE9DB3" w:rsidR="00052CC7" w:rsidRDefault="00052CC7" w:rsidP="005C60D9">
      <w:pPr>
        <w:numPr>
          <w:ilvl w:val="0"/>
          <w:numId w:val="5"/>
        </w:numPr>
        <w:jc w:val="both"/>
        <w:rPr>
          <w:rFonts w:ascii="Verdana" w:hAnsi="Verdana" w:cs="Arial"/>
          <w:sz w:val="22"/>
          <w:szCs w:val="22"/>
        </w:rPr>
      </w:pPr>
      <w:r w:rsidRPr="00F57857">
        <w:rPr>
          <w:rFonts w:ascii="Verdana" w:hAnsi="Verdana" w:cs="Arial"/>
          <w:sz w:val="22"/>
          <w:szCs w:val="22"/>
        </w:rPr>
        <w:t>La normatividad vigente en Colombia, en especial el Acuerdo 001 de 2024 del Archivo General de la Nación (AGN), el Decreto 620 de 2020</w:t>
      </w:r>
      <w:r w:rsidR="004D06C0" w:rsidRPr="00F57857">
        <w:rPr>
          <w:rFonts w:ascii="Verdana" w:hAnsi="Verdana" w:cs="Arial"/>
          <w:sz w:val="22"/>
          <w:szCs w:val="22"/>
        </w:rPr>
        <w:t xml:space="preserve"> (MinTIC)</w:t>
      </w:r>
      <w:r w:rsidRPr="00F57857">
        <w:rPr>
          <w:rFonts w:ascii="Verdana" w:hAnsi="Verdana" w:cs="Arial"/>
          <w:sz w:val="22"/>
          <w:szCs w:val="22"/>
        </w:rPr>
        <w:t xml:space="preserve"> sobre Servicios Ciudadanos Digitales, la Ley 594 de 2000 – Ley General de Archivos, la Ley 1712 de 2014 de Transparencia y Acceso a la Información Pública, así como marcos regulatorios sobre firma digital</w:t>
      </w:r>
      <w:r w:rsidR="00B05CC9" w:rsidRPr="00F57857">
        <w:rPr>
          <w:rFonts w:ascii="Verdana" w:hAnsi="Verdana" w:cs="Arial"/>
          <w:sz w:val="22"/>
          <w:szCs w:val="22"/>
        </w:rPr>
        <w:t xml:space="preserve"> </w:t>
      </w:r>
      <w:r w:rsidR="005C60D9" w:rsidRPr="00F57857">
        <w:rPr>
          <w:rFonts w:ascii="Verdana" w:hAnsi="Verdana" w:cs="Arial"/>
          <w:sz w:val="22"/>
          <w:szCs w:val="22"/>
        </w:rPr>
        <w:t xml:space="preserve">decreto 2364 de 2012 y decreto 1789 </w:t>
      </w:r>
      <w:r w:rsidR="00C4341C" w:rsidRPr="00F57857">
        <w:rPr>
          <w:rFonts w:ascii="Verdana" w:hAnsi="Verdana" w:cs="Arial"/>
          <w:sz w:val="22"/>
          <w:szCs w:val="22"/>
        </w:rPr>
        <w:t>DE 2021</w:t>
      </w:r>
      <w:r w:rsidRPr="00F57857">
        <w:rPr>
          <w:rFonts w:ascii="Verdana" w:hAnsi="Verdana" w:cs="Arial"/>
          <w:sz w:val="22"/>
          <w:szCs w:val="22"/>
        </w:rPr>
        <w:t xml:space="preserve">, </w:t>
      </w:r>
      <w:r w:rsidR="00CB7710" w:rsidRPr="00F57857">
        <w:rPr>
          <w:rFonts w:ascii="Verdana" w:hAnsi="Verdana" w:cs="Arial"/>
          <w:sz w:val="22"/>
          <w:szCs w:val="22"/>
        </w:rPr>
        <w:t xml:space="preserve">Ley 1581 de 2012 y </w:t>
      </w:r>
      <w:r w:rsidR="00F57857" w:rsidRPr="00F57857">
        <w:rPr>
          <w:rFonts w:ascii="Verdana" w:hAnsi="Verdana" w:cs="Arial"/>
          <w:sz w:val="22"/>
          <w:szCs w:val="22"/>
        </w:rPr>
        <w:t>Decreto 1377 de 2013</w:t>
      </w:r>
      <w:r w:rsidR="00FF7558" w:rsidRPr="00F57857">
        <w:rPr>
          <w:rFonts w:ascii="Verdana" w:hAnsi="Verdana" w:cs="Arial"/>
          <w:sz w:val="22"/>
          <w:szCs w:val="22"/>
        </w:rPr>
        <w:t xml:space="preserve"> </w:t>
      </w:r>
      <w:r w:rsidRPr="00F57857">
        <w:rPr>
          <w:rFonts w:ascii="Verdana" w:hAnsi="Verdana" w:cs="Arial"/>
          <w:sz w:val="22"/>
          <w:szCs w:val="22"/>
        </w:rPr>
        <w:t>protección de datos personales y preservación digital.</w:t>
      </w:r>
    </w:p>
    <w:p w14:paraId="335B209B" w14:textId="77777777" w:rsidR="004A03FE" w:rsidRPr="00F57857" w:rsidRDefault="004A03FE" w:rsidP="005C60D9">
      <w:pPr>
        <w:ind w:left="720"/>
        <w:jc w:val="both"/>
        <w:rPr>
          <w:rFonts w:ascii="Verdana" w:hAnsi="Verdana" w:cs="Arial"/>
          <w:sz w:val="22"/>
          <w:szCs w:val="22"/>
        </w:rPr>
      </w:pPr>
    </w:p>
    <w:p w14:paraId="48B2E91F" w14:textId="527A6877" w:rsidR="00011979" w:rsidRDefault="00011979" w:rsidP="005C60D9">
      <w:pPr>
        <w:numPr>
          <w:ilvl w:val="0"/>
          <w:numId w:val="5"/>
        </w:numPr>
        <w:jc w:val="both"/>
        <w:rPr>
          <w:rFonts w:ascii="Verdana" w:hAnsi="Verdana" w:cs="Arial"/>
          <w:sz w:val="22"/>
          <w:szCs w:val="22"/>
        </w:rPr>
      </w:pPr>
      <w:r w:rsidRPr="00F57857">
        <w:rPr>
          <w:rFonts w:ascii="Verdana" w:hAnsi="Verdana" w:cs="Arial"/>
          <w:sz w:val="22"/>
          <w:szCs w:val="22"/>
        </w:rPr>
        <w:t>El cumplimiento normativo se sustenta en la Ley 594 de 2000 y el reciente Acuerdo 001 de 2024 del AGN, que establece el Acuerdo Único de la Función Archivística. A esto se suman el Decreto 620 de 2020 para servicios ciudadanos digitales, la Ley 1712 de 2014 sobre transparencia, y los marcos de firma electrónica y digital (Decretos 2364 de 2012 y 1789 de 2021). Finalmente, se integra la Ley 1581 de 2012 y su decreto reglamentario</w:t>
      </w:r>
      <w:r w:rsidR="00F508D7" w:rsidRPr="00F57857">
        <w:rPr>
          <w:rFonts w:ascii="Verdana" w:hAnsi="Verdana" w:cs="Arial"/>
          <w:sz w:val="22"/>
          <w:szCs w:val="22"/>
        </w:rPr>
        <w:t xml:space="preserve"> 1337 del 2013</w:t>
      </w:r>
      <w:r w:rsidRPr="00F57857">
        <w:rPr>
          <w:rFonts w:ascii="Verdana" w:hAnsi="Verdana" w:cs="Arial"/>
          <w:sz w:val="22"/>
          <w:szCs w:val="22"/>
        </w:rPr>
        <w:t xml:space="preserve"> para garantizar la protección de datos y la preservación digital.</w:t>
      </w:r>
    </w:p>
    <w:p w14:paraId="51DA8324" w14:textId="77777777" w:rsidR="004A03FE" w:rsidRDefault="004A03FE" w:rsidP="005C60D9">
      <w:pPr>
        <w:pStyle w:val="Prrafodelista"/>
        <w:ind w:left="720"/>
        <w:jc w:val="both"/>
        <w:rPr>
          <w:rFonts w:ascii="Verdana" w:hAnsi="Verdana" w:cs="Arial"/>
          <w:sz w:val="22"/>
          <w:szCs w:val="22"/>
        </w:rPr>
      </w:pPr>
    </w:p>
    <w:p w14:paraId="67E456ED" w14:textId="743661AC" w:rsidR="00B126FF" w:rsidRDefault="00B126FF" w:rsidP="005C60D9">
      <w:pPr>
        <w:pStyle w:val="Prrafodelista"/>
        <w:numPr>
          <w:ilvl w:val="0"/>
          <w:numId w:val="5"/>
        </w:numPr>
        <w:jc w:val="both"/>
        <w:rPr>
          <w:rFonts w:ascii="Verdana" w:hAnsi="Verdana" w:cs="Arial"/>
          <w:sz w:val="22"/>
          <w:szCs w:val="22"/>
        </w:rPr>
      </w:pPr>
      <w:r w:rsidRPr="00D77642">
        <w:rPr>
          <w:rFonts w:ascii="Verdana" w:hAnsi="Verdana" w:cs="Arial"/>
          <w:sz w:val="22"/>
          <w:szCs w:val="22"/>
        </w:rPr>
        <w:t xml:space="preserve">Los resultados del último Diagnóstico Integral de Gestión Documental </w:t>
      </w:r>
      <w:r w:rsidRPr="00D77642">
        <w:rPr>
          <w:rFonts w:ascii="Verdana" w:hAnsi="Verdana" w:cs="Arial"/>
          <w:b/>
          <w:bCs/>
          <w:sz w:val="22"/>
          <w:szCs w:val="22"/>
        </w:rPr>
        <w:t>Código</w:t>
      </w:r>
      <w:r w:rsidRPr="00D77642">
        <w:rPr>
          <w:rFonts w:ascii="Verdana" w:hAnsi="Verdana" w:cs="Arial"/>
          <w:sz w:val="22"/>
          <w:szCs w:val="22"/>
        </w:rPr>
        <w:t xml:space="preserve"> </w:t>
      </w:r>
      <w:r w:rsidR="00D77642" w:rsidRPr="00D77642">
        <w:rPr>
          <w:rFonts w:ascii="Verdana" w:hAnsi="Verdana" w:cs="Arial"/>
          <w:sz w:val="22"/>
          <w:szCs w:val="22"/>
        </w:rPr>
        <w:t>GDOC-G-000</w:t>
      </w:r>
      <w:r w:rsidRPr="00D77642">
        <w:rPr>
          <w:rFonts w:ascii="Verdana" w:hAnsi="Verdana" w:cs="Arial"/>
          <w:sz w:val="22"/>
          <w:szCs w:val="22"/>
        </w:rPr>
        <w:t>, el cual evidenció fortalezas y oportunidades de mejora en materia de organización, interoperabilidad, preservación y acceso a la información</w:t>
      </w:r>
      <w:r w:rsidRPr="00F57857">
        <w:rPr>
          <w:rFonts w:ascii="Verdana" w:hAnsi="Verdana" w:cs="Arial"/>
          <w:sz w:val="22"/>
          <w:szCs w:val="22"/>
        </w:rPr>
        <w:t>.</w:t>
      </w:r>
    </w:p>
    <w:p w14:paraId="74DD3825" w14:textId="77777777" w:rsidR="004A03FE" w:rsidRPr="004A03FE" w:rsidRDefault="004A03FE" w:rsidP="005C60D9">
      <w:pPr>
        <w:pStyle w:val="Prrafodelista"/>
        <w:jc w:val="both"/>
        <w:rPr>
          <w:rFonts w:ascii="Verdana" w:hAnsi="Verdana" w:cs="Arial"/>
          <w:sz w:val="22"/>
          <w:szCs w:val="22"/>
        </w:rPr>
      </w:pPr>
    </w:p>
    <w:p w14:paraId="4C83F9B7" w14:textId="77777777" w:rsidR="00052CC7" w:rsidRPr="00F57857" w:rsidRDefault="00052CC7" w:rsidP="005C60D9">
      <w:pPr>
        <w:numPr>
          <w:ilvl w:val="0"/>
          <w:numId w:val="5"/>
        </w:numPr>
        <w:jc w:val="both"/>
        <w:rPr>
          <w:rFonts w:ascii="Verdana" w:hAnsi="Verdana" w:cs="Arial"/>
          <w:sz w:val="22"/>
          <w:szCs w:val="22"/>
        </w:rPr>
      </w:pPr>
      <w:r w:rsidRPr="00F57857">
        <w:rPr>
          <w:rFonts w:ascii="Verdana" w:hAnsi="Verdana" w:cs="Arial"/>
          <w:sz w:val="22"/>
          <w:szCs w:val="22"/>
        </w:rPr>
        <w:t>Los lineamientos técnicos del Archivo General de la Nación (AGN) y las políticas de Gobierno Digital, que orientan la transformación y modernización de los procesos documentales hacia un enfoque seguro, eficiente y centrado en el ciudadano.</w:t>
      </w:r>
    </w:p>
    <w:p w14:paraId="5C853783" w14:textId="77777777" w:rsidR="00052CC7" w:rsidRPr="00D032A2" w:rsidRDefault="00052CC7" w:rsidP="005C60D9">
      <w:pPr>
        <w:ind w:left="360"/>
        <w:jc w:val="both"/>
        <w:rPr>
          <w:rFonts w:ascii="Verdana" w:hAnsi="Verdana" w:cs="Arial"/>
          <w:color w:val="FF0000"/>
          <w:sz w:val="22"/>
          <w:szCs w:val="22"/>
        </w:rPr>
      </w:pPr>
    </w:p>
    <w:p w14:paraId="26D78B97" w14:textId="098A436E" w:rsidR="00052CC7" w:rsidRPr="00A47E78" w:rsidRDefault="00052CC7" w:rsidP="005C60D9">
      <w:pPr>
        <w:jc w:val="both"/>
        <w:rPr>
          <w:rFonts w:ascii="Verdana" w:hAnsi="Verdana" w:cs="Arial"/>
          <w:sz w:val="22"/>
          <w:szCs w:val="22"/>
        </w:rPr>
      </w:pPr>
      <w:r w:rsidRPr="00A47E78">
        <w:rPr>
          <w:rFonts w:ascii="Verdana" w:hAnsi="Verdana" w:cs="Arial"/>
          <w:sz w:val="22"/>
          <w:szCs w:val="22"/>
        </w:rPr>
        <w:t>El MoReq se constituye, por tanto, en el marco de referencia estratégico y operativo para la gestión documental electrónica de la Entidad,</w:t>
      </w:r>
      <w:r w:rsidR="00580283" w:rsidRPr="00A47E78">
        <w:rPr>
          <w:rFonts w:ascii="Verdana" w:hAnsi="Verdana" w:cs="Arial"/>
          <w:sz w:val="22"/>
          <w:szCs w:val="22"/>
        </w:rPr>
        <w:t xml:space="preserve"> </w:t>
      </w:r>
      <w:r w:rsidR="00D47BC9" w:rsidRPr="00A47E78">
        <w:rPr>
          <w:rFonts w:ascii="Verdana" w:hAnsi="Verdana" w:cs="Arial"/>
          <w:sz w:val="22"/>
          <w:szCs w:val="22"/>
        </w:rPr>
        <w:t>contribuyendo a:</w:t>
      </w:r>
    </w:p>
    <w:p w14:paraId="4AEDDCC3" w14:textId="77777777" w:rsidR="00052CC7" w:rsidRPr="00A47E78" w:rsidRDefault="00052CC7" w:rsidP="005C60D9">
      <w:pPr>
        <w:ind w:left="360"/>
        <w:jc w:val="both"/>
        <w:rPr>
          <w:rFonts w:ascii="Verdana" w:hAnsi="Verdana" w:cs="Arial"/>
          <w:color w:val="FF0000"/>
          <w:sz w:val="22"/>
          <w:szCs w:val="22"/>
        </w:rPr>
      </w:pPr>
    </w:p>
    <w:p w14:paraId="4CACC75F" w14:textId="77777777" w:rsidR="00052CC7" w:rsidRPr="00A47E78" w:rsidRDefault="00052CC7" w:rsidP="005C60D9">
      <w:pPr>
        <w:numPr>
          <w:ilvl w:val="0"/>
          <w:numId w:val="6"/>
        </w:numPr>
        <w:ind w:left="709" w:hanging="425"/>
        <w:jc w:val="both"/>
        <w:rPr>
          <w:rFonts w:ascii="Verdana" w:hAnsi="Verdana" w:cs="Arial"/>
          <w:sz w:val="22"/>
          <w:szCs w:val="22"/>
        </w:rPr>
      </w:pPr>
      <w:r w:rsidRPr="00A47E78">
        <w:rPr>
          <w:rFonts w:ascii="Verdana" w:hAnsi="Verdana" w:cs="Arial"/>
          <w:sz w:val="22"/>
          <w:szCs w:val="22"/>
        </w:rPr>
        <w:t>La autenticidad y confiabilidad de los documentos electrónicos.</w:t>
      </w:r>
    </w:p>
    <w:p w14:paraId="1FD0D340" w14:textId="77777777" w:rsidR="00052CC7" w:rsidRPr="00A47E78" w:rsidRDefault="00052CC7" w:rsidP="005C60D9">
      <w:pPr>
        <w:numPr>
          <w:ilvl w:val="0"/>
          <w:numId w:val="6"/>
        </w:numPr>
        <w:ind w:left="709" w:hanging="425"/>
        <w:jc w:val="both"/>
        <w:rPr>
          <w:rFonts w:ascii="Verdana" w:hAnsi="Verdana" w:cs="Arial"/>
          <w:sz w:val="22"/>
          <w:szCs w:val="22"/>
        </w:rPr>
      </w:pPr>
      <w:r w:rsidRPr="00A47E78">
        <w:rPr>
          <w:rFonts w:ascii="Verdana" w:hAnsi="Verdana" w:cs="Arial"/>
          <w:sz w:val="22"/>
          <w:szCs w:val="22"/>
        </w:rPr>
        <w:t>La integridad y trazabilidad de la información a lo largo de su ciclo de vida.</w:t>
      </w:r>
    </w:p>
    <w:p w14:paraId="78D19149" w14:textId="77777777" w:rsidR="00052CC7" w:rsidRPr="00A47E78" w:rsidRDefault="00052CC7" w:rsidP="005C60D9">
      <w:pPr>
        <w:numPr>
          <w:ilvl w:val="0"/>
          <w:numId w:val="6"/>
        </w:numPr>
        <w:ind w:left="709" w:hanging="425"/>
        <w:jc w:val="both"/>
        <w:rPr>
          <w:rFonts w:ascii="Verdana" w:hAnsi="Verdana" w:cs="Arial"/>
          <w:sz w:val="22"/>
          <w:szCs w:val="22"/>
        </w:rPr>
      </w:pPr>
      <w:r w:rsidRPr="00A47E78">
        <w:rPr>
          <w:rFonts w:ascii="Verdana" w:hAnsi="Verdana" w:cs="Arial"/>
          <w:sz w:val="22"/>
          <w:szCs w:val="22"/>
        </w:rPr>
        <w:t>La seguridad y protección de datos bajo estándares nacionales e internacionales.</w:t>
      </w:r>
    </w:p>
    <w:p w14:paraId="49E759DD" w14:textId="77777777" w:rsidR="00052CC7" w:rsidRPr="00A47E78" w:rsidRDefault="00052CC7" w:rsidP="00E73009">
      <w:pPr>
        <w:numPr>
          <w:ilvl w:val="0"/>
          <w:numId w:val="6"/>
        </w:numPr>
        <w:ind w:left="709" w:hanging="425"/>
        <w:jc w:val="both"/>
        <w:rPr>
          <w:rFonts w:ascii="Verdana" w:hAnsi="Verdana" w:cs="Arial"/>
          <w:sz w:val="22"/>
          <w:szCs w:val="22"/>
        </w:rPr>
      </w:pPr>
      <w:r w:rsidRPr="00A47E78">
        <w:rPr>
          <w:rFonts w:ascii="Verdana" w:hAnsi="Verdana" w:cs="Arial"/>
          <w:sz w:val="22"/>
          <w:szCs w:val="22"/>
        </w:rPr>
        <w:lastRenderedPageBreak/>
        <w:t>La preservación digital a largo plazo, asegurando la memoria institucional y el acceso futuro a la información pública.</w:t>
      </w:r>
    </w:p>
    <w:p w14:paraId="6CA5A493" w14:textId="77777777" w:rsidR="00CD5303" w:rsidRDefault="00CD5303" w:rsidP="00E73009">
      <w:pPr>
        <w:jc w:val="both"/>
        <w:rPr>
          <w:rFonts w:ascii="Verdana" w:hAnsi="Verdana" w:cs="Arial"/>
          <w:sz w:val="22"/>
          <w:szCs w:val="22"/>
        </w:rPr>
      </w:pPr>
    </w:p>
    <w:p w14:paraId="2632C1B6" w14:textId="08DD0C67" w:rsidR="00052CC7" w:rsidRDefault="00052CC7" w:rsidP="00E73009">
      <w:pPr>
        <w:jc w:val="both"/>
        <w:rPr>
          <w:rFonts w:ascii="Verdana" w:hAnsi="Verdana" w:cs="Arial"/>
          <w:sz w:val="22"/>
          <w:szCs w:val="22"/>
        </w:rPr>
      </w:pPr>
      <w:r w:rsidRPr="00CD5303">
        <w:rPr>
          <w:rFonts w:ascii="Verdana" w:hAnsi="Verdana" w:cs="Arial"/>
          <w:sz w:val="22"/>
          <w:szCs w:val="22"/>
        </w:rPr>
        <w:t xml:space="preserve">Con este documento, la Superintendencia de Sociedades reafirma su compromiso con la eficiencia administrativa, la transparencia, la rendición de cuentas y la </w:t>
      </w:r>
      <w:r w:rsidRPr="005B32D4">
        <w:rPr>
          <w:rFonts w:ascii="Verdana" w:hAnsi="Verdana" w:cs="Arial"/>
          <w:sz w:val="22"/>
          <w:szCs w:val="22"/>
        </w:rPr>
        <w:t>innovación tecnológica, posicionando la</w:t>
      </w:r>
      <w:r w:rsidRPr="00CD5303">
        <w:rPr>
          <w:rFonts w:ascii="Verdana" w:hAnsi="Verdana" w:cs="Arial"/>
          <w:sz w:val="22"/>
          <w:szCs w:val="22"/>
        </w:rPr>
        <w:t xml:space="preserve"> gestión documental como un eje transversal de su misión institucional</w:t>
      </w:r>
      <w:r w:rsidR="00B47543">
        <w:rPr>
          <w:rFonts w:ascii="Verdana" w:hAnsi="Verdana" w:cs="Arial"/>
          <w:sz w:val="22"/>
          <w:szCs w:val="22"/>
        </w:rPr>
        <w:t xml:space="preserve">, dando cumplimiento </w:t>
      </w:r>
      <w:r w:rsidR="00EA741F">
        <w:rPr>
          <w:rFonts w:ascii="Verdana" w:hAnsi="Verdana" w:cs="Arial"/>
          <w:sz w:val="22"/>
          <w:szCs w:val="22"/>
        </w:rPr>
        <w:t xml:space="preserve">a la normatividad vigente y </w:t>
      </w:r>
      <w:r w:rsidR="00B47543">
        <w:rPr>
          <w:rFonts w:ascii="Verdana" w:hAnsi="Verdana" w:cs="Arial"/>
          <w:sz w:val="22"/>
          <w:szCs w:val="22"/>
        </w:rPr>
        <w:t>a lo enmarcado en el</w:t>
      </w:r>
      <w:r w:rsidR="00E73009">
        <w:rPr>
          <w:rFonts w:ascii="Verdana" w:hAnsi="Verdana" w:cs="Arial"/>
          <w:sz w:val="22"/>
          <w:szCs w:val="22"/>
        </w:rPr>
        <w:t xml:space="preserve"> </w:t>
      </w:r>
      <w:r w:rsidR="00614CF6">
        <w:rPr>
          <w:rFonts w:ascii="Verdana" w:hAnsi="Verdana" w:cs="Arial"/>
          <w:sz w:val="22"/>
          <w:szCs w:val="22"/>
        </w:rPr>
        <w:t>Sistema de Gestión de Seguridad de la Información (SGSI).</w:t>
      </w:r>
    </w:p>
    <w:p w14:paraId="228B9BE9" w14:textId="77777777" w:rsidR="00134BD0" w:rsidRDefault="00134BD0" w:rsidP="00E73009">
      <w:pPr>
        <w:jc w:val="both"/>
        <w:rPr>
          <w:rFonts w:ascii="Verdana" w:hAnsi="Verdana" w:cs="Arial"/>
          <w:sz w:val="22"/>
          <w:szCs w:val="22"/>
        </w:rPr>
      </w:pPr>
    </w:p>
    <w:p w14:paraId="452EF840" w14:textId="3ADC6CDC" w:rsidR="00C029EE" w:rsidRDefault="00134BD0" w:rsidP="00E73009">
      <w:pPr>
        <w:jc w:val="both"/>
        <w:rPr>
          <w:rFonts w:ascii="Verdana" w:hAnsi="Verdana" w:cs="Arial"/>
          <w:b/>
          <w:bCs/>
          <w:sz w:val="22"/>
          <w:szCs w:val="22"/>
        </w:rPr>
      </w:pPr>
      <w:r w:rsidRPr="00134BD0">
        <w:rPr>
          <w:rFonts w:ascii="Verdana" w:hAnsi="Verdana" w:cs="Arial"/>
          <w:b/>
          <w:bCs/>
          <w:sz w:val="22"/>
          <w:szCs w:val="22"/>
        </w:rPr>
        <w:t>5</w:t>
      </w:r>
      <w:r w:rsidR="009303D0">
        <w:rPr>
          <w:rFonts w:ascii="Verdana" w:hAnsi="Verdana" w:cs="Arial"/>
          <w:b/>
          <w:bCs/>
          <w:sz w:val="22"/>
          <w:szCs w:val="22"/>
        </w:rPr>
        <w:t xml:space="preserve">.1.1. </w:t>
      </w:r>
      <w:r w:rsidR="00C029EE" w:rsidRPr="00CD5303">
        <w:rPr>
          <w:rFonts w:ascii="Verdana" w:hAnsi="Verdana" w:cs="Arial"/>
          <w:b/>
          <w:bCs/>
          <w:sz w:val="22"/>
          <w:szCs w:val="22"/>
        </w:rPr>
        <w:t>Marco Normativo</w:t>
      </w:r>
    </w:p>
    <w:p w14:paraId="403DA339" w14:textId="77777777" w:rsidR="004C0FA4" w:rsidRPr="00CD5303" w:rsidRDefault="004C0FA4" w:rsidP="00E73009">
      <w:pPr>
        <w:jc w:val="both"/>
        <w:rPr>
          <w:rFonts w:ascii="Verdana" w:hAnsi="Verdana" w:cs="Arial"/>
          <w:b/>
          <w:bCs/>
          <w:sz w:val="22"/>
          <w:szCs w:val="22"/>
        </w:rPr>
      </w:pPr>
    </w:p>
    <w:p w14:paraId="35F68B56" w14:textId="66CEB555" w:rsidR="00C029EE" w:rsidRPr="00CD5303" w:rsidRDefault="00C029EE" w:rsidP="00E73009">
      <w:pPr>
        <w:jc w:val="both"/>
        <w:rPr>
          <w:rFonts w:ascii="Verdana" w:hAnsi="Verdana" w:cs="Arial"/>
          <w:sz w:val="22"/>
          <w:szCs w:val="22"/>
        </w:rPr>
      </w:pPr>
      <w:r w:rsidRPr="00CD5303">
        <w:rPr>
          <w:rFonts w:ascii="Verdana" w:hAnsi="Verdana" w:cs="Arial"/>
          <w:sz w:val="22"/>
          <w:szCs w:val="22"/>
        </w:rPr>
        <w:t>El presente Modelo de Requisitos para la Gestión de Documentos Electrónicos de Archivo (MoReq) de la Superintendencia de Sociedades se enmarca en las disposiciones legales, reglamentarias y técnicas que regulan la gestión documental, la preservación digital, el gobierno de la información y la seguridad de los datos en el Estado colombiano.</w:t>
      </w:r>
    </w:p>
    <w:p w14:paraId="744322CE" w14:textId="77777777" w:rsidR="00AD4C7B" w:rsidRDefault="00AD4C7B" w:rsidP="00E73009">
      <w:pPr>
        <w:jc w:val="both"/>
        <w:rPr>
          <w:rFonts w:ascii="Verdana" w:hAnsi="Verdana" w:cs="Arial"/>
          <w:sz w:val="22"/>
          <w:szCs w:val="22"/>
        </w:rPr>
      </w:pPr>
    </w:p>
    <w:p w14:paraId="531AB8C0" w14:textId="77777777" w:rsidR="00DB0351" w:rsidRDefault="00DB0351" w:rsidP="00DB0351">
      <w:pPr>
        <w:jc w:val="both"/>
        <w:rPr>
          <w:rFonts w:ascii="Verdana" w:hAnsi="Verdana" w:cs="Arial"/>
          <w:b/>
          <w:bCs/>
          <w:sz w:val="22"/>
          <w:szCs w:val="22"/>
        </w:rPr>
      </w:pPr>
    </w:p>
    <w:p w14:paraId="53A449F0" w14:textId="0E157545" w:rsidR="006C20EE" w:rsidRPr="0040036F" w:rsidRDefault="009303D0" w:rsidP="0040036F">
      <w:pPr>
        <w:jc w:val="both"/>
        <w:rPr>
          <w:rFonts w:ascii="Verdana" w:hAnsi="Verdana" w:cs="Arial"/>
          <w:b/>
          <w:bCs/>
          <w:sz w:val="22"/>
          <w:szCs w:val="22"/>
        </w:rPr>
      </w:pPr>
      <w:r w:rsidRPr="0040036F">
        <w:rPr>
          <w:rFonts w:ascii="Verdana" w:hAnsi="Verdana" w:cs="Arial"/>
          <w:b/>
          <w:bCs/>
          <w:sz w:val="22"/>
          <w:szCs w:val="22"/>
        </w:rPr>
        <w:t>5.1.</w:t>
      </w:r>
      <w:r w:rsidR="00DA37BE" w:rsidRPr="0040036F">
        <w:rPr>
          <w:rFonts w:ascii="Verdana" w:hAnsi="Verdana" w:cs="Arial"/>
          <w:b/>
          <w:bCs/>
          <w:sz w:val="22"/>
          <w:szCs w:val="22"/>
        </w:rPr>
        <w:t>2</w:t>
      </w:r>
      <w:r w:rsidRPr="0040036F">
        <w:rPr>
          <w:rFonts w:ascii="Verdana" w:hAnsi="Verdana" w:cs="Arial"/>
          <w:b/>
          <w:bCs/>
          <w:sz w:val="22"/>
          <w:szCs w:val="22"/>
        </w:rPr>
        <w:t xml:space="preserve">. </w:t>
      </w:r>
      <w:r w:rsidR="006C20EE" w:rsidRPr="0040036F">
        <w:rPr>
          <w:rFonts w:ascii="Verdana" w:hAnsi="Verdana" w:cs="Arial"/>
          <w:b/>
          <w:bCs/>
          <w:sz w:val="22"/>
          <w:szCs w:val="22"/>
        </w:rPr>
        <w:t>Políticas y Guías Sectoriales</w:t>
      </w:r>
    </w:p>
    <w:p w14:paraId="3BCA13C3" w14:textId="77777777" w:rsidR="00906D3E" w:rsidRPr="0040036F" w:rsidRDefault="00906D3E" w:rsidP="0040036F">
      <w:pPr>
        <w:jc w:val="both"/>
        <w:rPr>
          <w:rFonts w:ascii="Verdana" w:hAnsi="Verdana" w:cs="Arial"/>
          <w:b/>
          <w:bCs/>
          <w:sz w:val="22"/>
          <w:szCs w:val="22"/>
        </w:rPr>
      </w:pPr>
    </w:p>
    <w:p w14:paraId="49F44323" w14:textId="77777777" w:rsidR="00904317" w:rsidRPr="0040036F" w:rsidRDefault="00904317" w:rsidP="0040036F">
      <w:pPr>
        <w:pStyle w:val="Prrafodelista"/>
        <w:numPr>
          <w:ilvl w:val="0"/>
          <w:numId w:val="24"/>
        </w:numPr>
        <w:contextualSpacing/>
        <w:jc w:val="both"/>
        <w:rPr>
          <w:rFonts w:ascii="Verdana" w:hAnsi="Verdana" w:cs="Arial"/>
          <w:sz w:val="22"/>
          <w:szCs w:val="22"/>
        </w:rPr>
      </w:pPr>
      <w:r w:rsidRPr="0040036F">
        <w:rPr>
          <w:rFonts w:ascii="Verdana" w:hAnsi="Verdana" w:cs="Arial"/>
          <w:b/>
          <w:bCs/>
          <w:sz w:val="22"/>
          <w:szCs w:val="22"/>
        </w:rPr>
        <w:t>Guía AGN de Interoperabilidad de Sistemas Archivísticos (2022)</w:t>
      </w:r>
      <w:r w:rsidRPr="0040036F">
        <w:rPr>
          <w:rFonts w:ascii="Verdana" w:hAnsi="Verdana" w:cs="Arial"/>
          <w:sz w:val="22"/>
          <w:szCs w:val="22"/>
        </w:rPr>
        <w:t xml:space="preserve"> – Define lineamientos para el intercambio seguro de información y la gestión de metadatos.</w:t>
      </w:r>
    </w:p>
    <w:p w14:paraId="01E67EE3" w14:textId="77777777" w:rsidR="00904317" w:rsidRPr="0040036F" w:rsidRDefault="00904317" w:rsidP="0040036F">
      <w:pPr>
        <w:pStyle w:val="Prrafodelista"/>
        <w:ind w:left="720"/>
        <w:contextualSpacing/>
        <w:jc w:val="both"/>
        <w:rPr>
          <w:rFonts w:ascii="Verdana" w:hAnsi="Verdana" w:cs="Arial"/>
          <w:sz w:val="22"/>
          <w:szCs w:val="22"/>
        </w:rPr>
      </w:pPr>
    </w:p>
    <w:p w14:paraId="12333C2E" w14:textId="77777777" w:rsidR="00904317" w:rsidRPr="0040036F" w:rsidRDefault="00904317" w:rsidP="0040036F">
      <w:pPr>
        <w:pStyle w:val="Prrafodelista"/>
        <w:numPr>
          <w:ilvl w:val="0"/>
          <w:numId w:val="24"/>
        </w:numPr>
        <w:contextualSpacing/>
        <w:jc w:val="both"/>
        <w:rPr>
          <w:rFonts w:ascii="Verdana" w:hAnsi="Verdana" w:cs="Arial"/>
          <w:sz w:val="22"/>
          <w:szCs w:val="22"/>
        </w:rPr>
      </w:pPr>
      <w:r w:rsidRPr="0040036F">
        <w:rPr>
          <w:rFonts w:ascii="Verdana" w:hAnsi="Verdana" w:cs="Arial"/>
          <w:b/>
          <w:bCs/>
          <w:sz w:val="22"/>
          <w:szCs w:val="22"/>
        </w:rPr>
        <w:t>Guía AGN de Conservación Preventiva (2022)</w:t>
      </w:r>
      <w:r w:rsidRPr="0040036F">
        <w:rPr>
          <w:rFonts w:ascii="Verdana" w:hAnsi="Verdana" w:cs="Arial"/>
          <w:sz w:val="22"/>
          <w:szCs w:val="22"/>
        </w:rPr>
        <w:t xml:space="preserve"> – Proporciona criterios técnicos para la protección física y digital de los documentos.</w:t>
      </w:r>
    </w:p>
    <w:p w14:paraId="1126CA29" w14:textId="77777777" w:rsidR="002D33BA" w:rsidRPr="0040036F" w:rsidRDefault="002D33BA" w:rsidP="0040036F">
      <w:pPr>
        <w:pStyle w:val="Prrafodelista"/>
        <w:ind w:left="720"/>
        <w:contextualSpacing/>
        <w:jc w:val="both"/>
        <w:rPr>
          <w:rFonts w:ascii="Verdana" w:hAnsi="Verdana" w:cs="Arial"/>
          <w:sz w:val="22"/>
          <w:szCs w:val="22"/>
        </w:rPr>
      </w:pPr>
    </w:p>
    <w:p w14:paraId="7662BE42" w14:textId="246398F0" w:rsidR="00EA3515" w:rsidRPr="0040036F" w:rsidRDefault="00EA3515" w:rsidP="0040036F">
      <w:pPr>
        <w:pStyle w:val="Prrafodelista"/>
        <w:numPr>
          <w:ilvl w:val="0"/>
          <w:numId w:val="8"/>
        </w:numPr>
        <w:contextualSpacing/>
        <w:jc w:val="both"/>
        <w:rPr>
          <w:rFonts w:ascii="Verdana" w:hAnsi="Verdana" w:cs="Arial"/>
          <w:sz w:val="22"/>
          <w:szCs w:val="22"/>
        </w:rPr>
      </w:pPr>
      <w:r w:rsidRPr="0040036F">
        <w:rPr>
          <w:rFonts w:ascii="Verdana" w:hAnsi="Verdana" w:cs="Arial"/>
          <w:b/>
          <w:bCs/>
          <w:sz w:val="22"/>
          <w:szCs w:val="22"/>
        </w:rPr>
        <w:t>G</w:t>
      </w:r>
      <w:r w:rsidR="00906D3E" w:rsidRPr="0040036F">
        <w:rPr>
          <w:rFonts w:ascii="Verdana" w:hAnsi="Verdana" w:cs="Arial"/>
          <w:b/>
          <w:bCs/>
          <w:sz w:val="22"/>
          <w:szCs w:val="22"/>
        </w:rPr>
        <w:t>uía MINTIC.</w:t>
      </w:r>
      <w:r w:rsidR="00906D3E" w:rsidRPr="0040036F">
        <w:rPr>
          <w:rFonts w:ascii="Verdana" w:hAnsi="Verdana" w:cs="Arial"/>
          <w:sz w:val="22"/>
          <w:szCs w:val="22"/>
        </w:rPr>
        <w:t xml:space="preserve"> </w:t>
      </w:r>
      <w:r w:rsidR="00906D3E" w:rsidRPr="0040036F">
        <w:rPr>
          <w:rFonts w:ascii="Verdana" w:hAnsi="Verdana" w:cs="Arial"/>
          <w:b/>
          <w:bCs/>
          <w:sz w:val="22"/>
          <w:szCs w:val="22"/>
        </w:rPr>
        <w:t>Dominio de Gestión de Información del Modelo de Gestión y Gobierno de TI (MGGTI) (2023)</w:t>
      </w:r>
      <w:r w:rsidRPr="0040036F">
        <w:rPr>
          <w:rFonts w:ascii="Verdana" w:hAnsi="Verdana" w:cs="Arial"/>
          <w:sz w:val="22"/>
          <w:szCs w:val="22"/>
        </w:rPr>
        <w:t>– Gobierno del Dato, promueve la gestión del dato como activo institucional y la trazabilidad mediante metadatos.</w:t>
      </w:r>
    </w:p>
    <w:p w14:paraId="0BDB5706" w14:textId="77777777" w:rsidR="002D33BA" w:rsidRPr="0040036F" w:rsidRDefault="002D33BA" w:rsidP="0040036F">
      <w:pPr>
        <w:pStyle w:val="Prrafodelista"/>
        <w:jc w:val="both"/>
        <w:rPr>
          <w:rFonts w:ascii="Verdana" w:hAnsi="Verdana" w:cs="Arial"/>
          <w:sz w:val="22"/>
          <w:szCs w:val="22"/>
        </w:rPr>
      </w:pPr>
    </w:p>
    <w:p w14:paraId="332B8FEB" w14:textId="77777777" w:rsidR="00906D3E" w:rsidRPr="0040036F" w:rsidRDefault="00906D3E" w:rsidP="0040036F">
      <w:pPr>
        <w:pStyle w:val="Prrafodelista"/>
        <w:jc w:val="both"/>
        <w:rPr>
          <w:rFonts w:ascii="Verdana" w:hAnsi="Verdana" w:cs="Arial"/>
          <w:sz w:val="22"/>
          <w:szCs w:val="22"/>
        </w:rPr>
      </w:pPr>
    </w:p>
    <w:p w14:paraId="00306FD8" w14:textId="56BD5237" w:rsidR="008F7E86" w:rsidRPr="0040036F" w:rsidRDefault="009303D0" w:rsidP="0040036F">
      <w:pPr>
        <w:jc w:val="both"/>
        <w:rPr>
          <w:rFonts w:ascii="Verdana" w:hAnsi="Verdana" w:cs="Arial"/>
          <w:b/>
          <w:bCs/>
          <w:sz w:val="22"/>
          <w:szCs w:val="22"/>
        </w:rPr>
      </w:pPr>
      <w:r w:rsidRPr="0040036F">
        <w:rPr>
          <w:rFonts w:ascii="Verdana" w:hAnsi="Verdana" w:cs="Arial"/>
          <w:b/>
          <w:bCs/>
          <w:sz w:val="22"/>
          <w:szCs w:val="22"/>
        </w:rPr>
        <w:t>5.1.</w:t>
      </w:r>
      <w:r w:rsidR="00E8229B" w:rsidRPr="0040036F">
        <w:rPr>
          <w:rFonts w:ascii="Verdana" w:hAnsi="Verdana" w:cs="Arial"/>
          <w:b/>
          <w:bCs/>
          <w:sz w:val="22"/>
          <w:szCs w:val="22"/>
        </w:rPr>
        <w:t>3</w:t>
      </w:r>
      <w:r w:rsidRPr="0040036F">
        <w:rPr>
          <w:rFonts w:ascii="Verdana" w:hAnsi="Verdana" w:cs="Arial"/>
          <w:b/>
          <w:bCs/>
          <w:sz w:val="22"/>
          <w:szCs w:val="22"/>
        </w:rPr>
        <w:t xml:space="preserve">. </w:t>
      </w:r>
      <w:r w:rsidR="008F7E86" w:rsidRPr="0040036F">
        <w:rPr>
          <w:rFonts w:ascii="Verdana" w:hAnsi="Verdana" w:cs="Arial"/>
          <w:b/>
          <w:bCs/>
          <w:sz w:val="22"/>
          <w:szCs w:val="22"/>
        </w:rPr>
        <w:t>Normas Técnicas Internacionales</w:t>
      </w:r>
    </w:p>
    <w:p w14:paraId="7D659F36" w14:textId="77777777" w:rsidR="00EA3515" w:rsidRPr="0040036F" w:rsidRDefault="00EA3515" w:rsidP="0040036F">
      <w:pPr>
        <w:contextualSpacing/>
        <w:jc w:val="both"/>
        <w:rPr>
          <w:rFonts w:ascii="Verdana" w:hAnsi="Verdana" w:cs="Arial"/>
          <w:sz w:val="22"/>
          <w:szCs w:val="22"/>
        </w:rPr>
      </w:pPr>
    </w:p>
    <w:p w14:paraId="042F3526" w14:textId="77777777" w:rsidR="008F7E86" w:rsidRPr="0040036F" w:rsidRDefault="008F7E86" w:rsidP="0040036F">
      <w:pPr>
        <w:pStyle w:val="Prrafodelista"/>
        <w:numPr>
          <w:ilvl w:val="0"/>
          <w:numId w:val="9"/>
        </w:numPr>
        <w:contextualSpacing/>
        <w:jc w:val="both"/>
        <w:rPr>
          <w:rFonts w:ascii="Verdana" w:hAnsi="Verdana" w:cs="Arial"/>
          <w:sz w:val="22"/>
          <w:szCs w:val="22"/>
        </w:rPr>
      </w:pPr>
      <w:r w:rsidRPr="0040036F">
        <w:rPr>
          <w:rFonts w:ascii="Verdana" w:hAnsi="Verdana" w:cs="Arial"/>
          <w:b/>
          <w:bCs/>
          <w:sz w:val="22"/>
          <w:szCs w:val="22"/>
        </w:rPr>
        <w:t>NTC ISO 15489-1:2016</w:t>
      </w:r>
      <w:r w:rsidRPr="0040036F">
        <w:rPr>
          <w:rFonts w:ascii="Verdana" w:hAnsi="Verdana" w:cs="Arial"/>
          <w:sz w:val="22"/>
          <w:szCs w:val="22"/>
        </w:rPr>
        <w:t xml:space="preserve"> – Gestión de Documentos – Conceptos y Principios, base de los requisitos funcionales del MoReq.</w:t>
      </w:r>
    </w:p>
    <w:p w14:paraId="2B4586A1" w14:textId="77777777" w:rsidR="00712368" w:rsidRPr="0040036F" w:rsidRDefault="00712368" w:rsidP="0040036F">
      <w:pPr>
        <w:pStyle w:val="Prrafodelista"/>
        <w:ind w:left="720"/>
        <w:contextualSpacing/>
        <w:jc w:val="both"/>
        <w:rPr>
          <w:rFonts w:ascii="Verdana" w:hAnsi="Verdana" w:cs="Arial"/>
          <w:sz w:val="22"/>
          <w:szCs w:val="22"/>
        </w:rPr>
      </w:pPr>
    </w:p>
    <w:p w14:paraId="22169AD2" w14:textId="77777777" w:rsidR="008F7E86" w:rsidRPr="0040036F" w:rsidRDefault="008F7E86" w:rsidP="0040036F">
      <w:pPr>
        <w:pStyle w:val="Prrafodelista"/>
        <w:numPr>
          <w:ilvl w:val="0"/>
          <w:numId w:val="9"/>
        </w:numPr>
        <w:contextualSpacing/>
        <w:jc w:val="both"/>
        <w:rPr>
          <w:rFonts w:ascii="Verdana" w:hAnsi="Verdana" w:cs="Arial"/>
          <w:sz w:val="22"/>
          <w:szCs w:val="22"/>
        </w:rPr>
      </w:pPr>
      <w:r w:rsidRPr="0040036F">
        <w:rPr>
          <w:rFonts w:ascii="Verdana" w:hAnsi="Verdana" w:cs="Arial"/>
          <w:b/>
          <w:bCs/>
          <w:sz w:val="22"/>
          <w:szCs w:val="22"/>
        </w:rPr>
        <w:t>NTC ISO 30301:2019</w:t>
      </w:r>
      <w:r w:rsidRPr="0040036F">
        <w:rPr>
          <w:rFonts w:ascii="Verdana" w:hAnsi="Verdana" w:cs="Arial"/>
          <w:sz w:val="22"/>
          <w:szCs w:val="22"/>
        </w:rPr>
        <w:t xml:space="preserve"> – Sistemas de Gestión para los Documentos – Requisitos, orienta la certificación de la gestión documental institucional.</w:t>
      </w:r>
    </w:p>
    <w:p w14:paraId="37D4A14A" w14:textId="77777777" w:rsidR="00712368" w:rsidRPr="0040036F" w:rsidRDefault="00712368" w:rsidP="0040036F">
      <w:pPr>
        <w:pStyle w:val="Prrafodelista"/>
        <w:jc w:val="both"/>
        <w:rPr>
          <w:rFonts w:ascii="Verdana" w:hAnsi="Verdana" w:cs="Arial"/>
          <w:sz w:val="22"/>
          <w:szCs w:val="22"/>
        </w:rPr>
      </w:pPr>
    </w:p>
    <w:p w14:paraId="583E1D9D" w14:textId="77777777" w:rsidR="008F7E86" w:rsidRPr="0040036F" w:rsidRDefault="008F7E86" w:rsidP="0040036F">
      <w:pPr>
        <w:pStyle w:val="Prrafodelista"/>
        <w:numPr>
          <w:ilvl w:val="0"/>
          <w:numId w:val="9"/>
        </w:numPr>
        <w:contextualSpacing/>
        <w:jc w:val="both"/>
        <w:rPr>
          <w:rFonts w:ascii="Verdana" w:hAnsi="Verdana" w:cs="Arial"/>
          <w:sz w:val="22"/>
          <w:szCs w:val="22"/>
        </w:rPr>
      </w:pPr>
      <w:r w:rsidRPr="0040036F">
        <w:rPr>
          <w:rFonts w:ascii="Verdana" w:hAnsi="Verdana" w:cs="Arial"/>
          <w:b/>
          <w:bCs/>
          <w:sz w:val="22"/>
          <w:szCs w:val="22"/>
        </w:rPr>
        <w:t>NTC ISO 16175-2:2020</w:t>
      </w:r>
      <w:r w:rsidRPr="0040036F">
        <w:rPr>
          <w:rFonts w:ascii="Verdana" w:hAnsi="Verdana" w:cs="Arial"/>
          <w:sz w:val="22"/>
          <w:szCs w:val="22"/>
        </w:rPr>
        <w:t xml:space="preserve"> – Requisitos funcionales y no funcionales para sistemas de gestión de documentos electrónicos de archivo.</w:t>
      </w:r>
    </w:p>
    <w:p w14:paraId="318FC7E8" w14:textId="77777777" w:rsidR="00712368" w:rsidRPr="002D33BA" w:rsidRDefault="00712368" w:rsidP="00155F22">
      <w:pPr>
        <w:pStyle w:val="Prrafodelista"/>
        <w:ind w:left="720"/>
        <w:contextualSpacing/>
        <w:jc w:val="both"/>
        <w:rPr>
          <w:rFonts w:ascii="Verdana" w:hAnsi="Verdana" w:cs="Arial"/>
          <w:sz w:val="22"/>
          <w:szCs w:val="22"/>
        </w:rPr>
      </w:pPr>
    </w:p>
    <w:p w14:paraId="6202FA22" w14:textId="77777777" w:rsidR="008F7E86" w:rsidRDefault="008F7E86" w:rsidP="0041757E">
      <w:pPr>
        <w:pStyle w:val="Prrafodelista"/>
        <w:numPr>
          <w:ilvl w:val="0"/>
          <w:numId w:val="9"/>
        </w:numPr>
        <w:contextualSpacing/>
        <w:jc w:val="both"/>
        <w:rPr>
          <w:rFonts w:ascii="Verdana" w:hAnsi="Verdana" w:cs="Arial"/>
          <w:sz w:val="22"/>
          <w:szCs w:val="22"/>
        </w:rPr>
      </w:pPr>
      <w:r w:rsidRPr="002D33BA">
        <w:rPr>
          <w:rFonts w:ascii="Verdana" w:hAnsi="Verdana" w:cs="Arial"/>
          <w:b/>
          <w:bCs/>
          <w:sz w:val="22"/>
          <w:szCs w:val="22"/>
        </w:rPr>
        <w:lastRenderedPageBreak/>
        <w:t>NTC ISO 23081-1:2017</w:t>
      </w:r>
      <w:r w:rsidRPr="002D33BA">
        <w:rPr>
          <w:rFonts w:ascii="Verdana" w:hAnsi="Verdana" w:cs="Arial"/>
          <w:sz w:val="22"/>
          <w:szCs w:val="22"/>
        </w:rPr>
        <w:t xml:space="preserve"> – Metadatos para la gestión de documentos electrónicos, sustento del componente de Gobierno del Dato.</w:t>
      </w:r>
    </w:p>
    <w:p w14:paraId="7C2025CA" w14:textId="77777777" w:rsidR="008E3C40" w:rsidRPr="00DE6A96" w:rsidRDefault="008E3C40" w:rsidP="0041757E">
      <w:pPr>
        <w:contextualSpacing/>
        <w:jc w:val="both"/>
        <w:rPr>
          <w:rFonts w:ascii="Verdana" w:hAnsi="Verdana" w:cs="Arial"/>
          <w:sz w:val="22"/>
          <w:szCs w:val="22"/>
        </w:rPr>
      </w:pPr>
    </w:p>
    <w:p w14:paraId="2742CBFC" w14:textId="77777777" w:rsidR="008F7E86" w:rsidRDefault="008F7E86" w:rsidP="0041757E">
      <w:pPr>
        <w:pStyle w:val="Prrafodelista"/>
        <w:numPr>
          <w:ilvl w:val="0"/>
          <w:numId w:val="9"/>
        </w:numPr>
        <w:ind w:left="714" w:hanging="357"/>
        <w:contextualSpacing/>
        <w:jc w:val="both"/>
        <w:rPr>
          <w:rFonts w:ascii="Verdana" w:hAnsi="Verdana" w:cs="Arial"/>
          <w:sz w:val="22"/>
          <w:szCs w:val="22"/>
        </w:rPr>
      </w:pPr>
      <w:r w:rsidRPr="002D33BA">
        <w:rPr>
          <w:rFonts w:ascii="Verdana" w:hAnsi="Verdana" w:cs="Arial"/>
          <w:b/>
          <w:bCs/>
          <w:sz w:val="22"/>
          <w:szCs w:val="22"/>
        </w:rPr>
        <w:t>NTC ISO 27001:2022</w:t>
      </w:r>
      <w:r w:rsidRPr="002D33BA">
        <w:rPr>
          <w:rFonts w:ascii="Verdana" w:hAnsi="Verdana" w:cs="Arial"/>
          <w:sz w:val="22"/>
          <w:szCs w:val="22"/>
        </w:rPr>
        <w:t xml:space="preserve"> – Seguridad de la información, ciberseguridad y protección de la privacidad, soporte del capítulo de Seguridad y Preservación Digital.</w:t>
      </w:r>
    </w:p>
    <w:p w14:paraId="1E014D92" w14:textId="77777777" w:rsidR="00712368" w:rsidRPr="002D33BA" w:rsidRDefault="00712368" w:rsidP="0041757E">
      <w:pPr>
        <w:pStyle w:val="Prrafodelista"/>
        <w:ind w:left="714"/>
        <w:contextualSpacing/>
        <w:jc w:val="both"/>
        <w:rPr>
          <w:rFonts w:ascii="Verdana" w:hAnsi="Verdana" w:cs="Arial"/>
          <w:sz w:val="22"/>
          <w:szCs w:val="22"/>
        </w:rPr>
      </w:pPr>
    </w:p>
    <w:p w14:paraId="48985006" w14:textId="5237F71D" w:rsidR="008F7E86" w:rsidRDefault="008F7E86" w:rsidP="0041757E">
      <w:pPr>
        <w:pStyle w:val="Prrafodelista"/>
        <w:numPr>
          <w:ilvl w:val="0"/>
          <w:numId w:val="9"/>
        </w:numPr>
        <w:ind w:left="714" w:hanging="357"/>
        <w:contextualSpacing/>
        <w:jc w:val="both"/>
        <w:rPr>
          <w:rFonts w:ascii="Verdana" w:hAnsi="Verdana" w:cs="Arial"/>
          <w:sz w:val="22"/>
          <w:szCs w:val="22"/>
        </w:rPr>
      </w:pPr>
      <w:r w:rsidRPr="002D33BA">
        <w:rPr>
          <w:rFonts w:ascii="Verdana" w:hAnsi="Verdana" w:cs="Arial"/>
          <w:b/>
          <w:bCs/>
          <w:sz w:val="22"/>
          <w:szCs w:val="22"/>
        </w:rPr>
        <w:t>NTC ISO 31000:2018</w:t>
      </w:r>
      <w:r w:rsidRPr="002D33BA">
        <w:rPr>
          <w:rFonts w:ascii="Verdana" w:hAnsi="Verdana" w:cs="Arial"/>
          <w:sz w:val="22"/>
          <w:szCs w:val="22"/>
        </w:rPr>
        <w:t xml:space="preserve"> – Gestión del Riesgo – Directrices, fundamento del Anexo 1 – Matriz de Riesgos y Plan de Mitigación.</w:t>
      </w:r>
    </w:p>
    <w:p w14:paraId="3344A303" w14:textId="77777777" w:rsidR="00E8229B" w:rsidRPr="00E8229B" w:rsidRDefault="00E8229B" w:rsidP="0041757E">
      <w:pPr>
        <w:pStyle w:val="Prrafodelista"/>
        <w:rPr>
          <w:rFonts w:ascii="Verdana" w:hAnsi="Verdana" w:cs="Arial"/>
          <w:sz w:val="22"/>
          <w:szCs w:val="22"/>
        </w:rPr>
      </w:pPr>
    </w:p>
    <w:p w14:paraId="0FE0846A" w14:textId="77777777" w:rsidR="00E8229B" w:rsidRPr="005F0497" w:rsidRDefault="00E8229B" w:rsidP="0041757E">
      <w:pPr>
        <w:contextualSpacing/>
        <w:jc w:val="both"/>
        <w:rPr>
          <w:rFonts w:ascii="Verdana" w:hAnsi="Verdana" w:cs="Arial"/>
          <w:sz w:val="22"/>
          <w:szCs w:val="22"/>
        </w:rPr>
      </w:pPr>
    </w:p>
    <w:p w14:paraId="5254D814" w14:textId="209F4617" w:rsidR="008E4BC1" w:rsidRDefault="00121FEA" w:rsidP="0041757E">
      <w:pPr>
        <w:jc w:val="both"/>
        <w:rPr>
          <w:rFonts w:ascii="Verdana" w:hAnsi="Verdana" w:cs="Arial"/>
          <w:b/>
          <w:bCs/>
          <w:sz w:val="22"/>
          <w:szCs w:val="22"/>
        </w:rPr>
      </w:pPr>
      <w:r>
        <w:rPr>
          <w:rFonts w:ascii="Verdana" w:hAnsi="Verdana" w:cs="Arial"/>
          <w:b/>
          <w:bCs/>
          <w:sz w:val="22"/>
          <w:szCs w:val="22"/>
        </w:rPr>
        <w:t>5.1.</w:t>
      </w:r>
      <w:r w:rsidR="00E97F9E">
        <w:rPr>
          <w:rFonts w:ascii="Verdana" w:hAnsi="Verdana" w:cs="Arial"/>
          <w:b/>
          <w:bCs/>
          <w:sz w:val="22"/>
          <w:szCs w:val="22"/>
        </w:rPr>
        <w:t>4</w:t>
      </w:r>
      <w:r>
        <w:rPr>
          <w:rFonts w:ascii="Verdana" w:hAnsi="Verdana" w:cs="Arial"/>
          <w:b/>
          <w:bCs/>
          <w:sz w:val="22"/>
          <w:szCs w:val="22"/>
        </w:rPr>
        <w:t xml:space="preserve">. </w:t>
      </w:r>
      <w:r w:rsidR="008E4BC1" w:rsidRPr="0002048A">
        <w:rPr>
          <w:rFonts w:ascii="Verdana" w:hAnsi="Verdana" w:cs="Arial"/>
          <w:b/>
          <w:bCs/>
          <w:sz w:val="22"/>
          <w:szCs w:val="22"/>
        </w:rPr>
        <w:t>Complementarios</w:t>
      </w:r>
    </w:p>
    <w:p w14:paraId="5E3FE095" w14:textId="77777777" w:rsidR="008E4BC1" w:rsidRPr="00746527" w:rsidRDefault="008E4BC1" w:rsidP="0041757E">
      <w:pPr>
        <w:jc w:val="both"/>
        <w:rPr>
          <w:rFonts w:ascii="Verdana" w:hAnsi="Verdana" w:cs="Arial"/>
          <w:b/>
          <w:bCs/>
          <w:sz w:val="22"/>
          <w:szCs w:val="22"/>
        </w:rPr>
      </w:pPr>
    </w:p>
    <w:p w14:paraId="1BF25215" w14:textId="77777777" w:rsidR="008E4BC1" w:rsidRDefault="008E4BC1" w:rsidP="0041757E">
      <w:pPr>
        <w:pStyle w:val="Prrafodelista"/>
        <w:numPr>
          <w:ilvl w:val="0"/>
          <w:numId w:val="10"/>
        </w:numPr>
        <w:contextualSpacing/>
        <w:jc w:val="both"/>
        <w:rPr>
          <w:rFonts w:ascii="Verdana" w:hAnsi="Verdana" w:cs="Arial"/>
          <w:sz w:val="22"/>
          <w:szCs w:val="22"/>
        </w:rPr>
      </w:pPr>
      <w:r w:rsidRPr="00746527">
        <w:rPr>
          <w:rFonts w:ascii="Verdana" w:hAnsi="Verdana" w:cs="Arial"/>
          <w:b/>
          <w:bCs/>
          <w:sz w:val="22"/>
          <w:szCs w:val="22"/>
        </w:rPr>
        <w:t>Modelo Integrado de Planeación y Gestión – MIPG (Decreto 612 de 2018)</w:t>
      </w:r>
      <w:r w:rsidRPr="00746527">
        <w:rPr>
          <w:rFonts w:ascii="Verdana" w:hAnsi="Verdana" w:cs="Arial"/>
          <w:sz w:val="22"/>
          <w:szCs w:val="22"/>
        </w:rPr>
        <w:t>: articula la gestión documental con la planeación institucional, control interno y mejora continua.</w:t>
      </w:r>
    </w:p>
    <w:p w14:paraId="68CD933B" w14:textId="77777777" w:rsidR="007F66E2" w:rsidRPr="005873A5" w:rsidRDefault="007F66E2" w:rsidP="0041757E">
      <w:pPr>
        <w:pStyle w:val="Prrafodelista"/>
        <w:ind w:left="720"/>
        <w:contextualSpacing/>
        <w:jc w:val="both"/>
        <w:rPr>
          <w:rFonts w:ascii="Verdana" w:hAnsi="Verdana" w:cs="Arial"/>
          <w:sz w:val="22"/>
          <w:szCs w:val="22"/>
        </w:rPr>
      </w:pPr>
    </w:p>
    <w:p w14:paraId="3A43A8CD" w14:textId="77777777" w:rsidR="008E4BC1" w:rsidRDefault="008E4BC1" w:rsidP="0041757E">
      <w:pPr>
        <w:pStyle w:val="Prrafodelista"/>
        <w:numPr>
          <w:ilvl w:val="0"/>
          <w:numId w:val="10"/>
        </w:numPr>
        <w:contextualSpacing/>
        <w:jc w:val="both"/>
        <w:rPr>
          <w:rFonts w:ascii="Verdana" w:hAnsi="Verdana" w:cs="Arial"/>
          <w:sz w:val="22"/>
          <w:szCs w:val="22"/>
        </w:rPr>
      </w:pPr>
      <w:r w:rsidRPr="00746527">
        <w:rPr>
          <w:rFonts w:ascii="Verdana" w:hAnsi="Verdana" w:cs="Arial"/>
          <w:b/>
          <w:bCs/>
          <w:sz w:val="22"/>
          <w:szCs w:val="22"/>
        </w:rPr>
        <w:t>Política de Gobierno Abierto y Datos Abiertos (MINTIC 2021)</w:t>
      </w:r>
      <w:r w:rsidRPr="005873A5">
        <w:rPr>
          <w:rFonts w:ascii="Verdana" w:hAnsi="Verdana" w:cs="Arial"/>
          <w:sz w:val="22"/>
          <w:szCs w:val="22"/>
        </w:rPr>
        <w:t>: promueve la reutilización y transparencia de la información pública.</w:t>
      </w:r>
    </w:p>
    <w:p w14:paraId="43DF5EC6" w14:textId="77777777" w:rsidR="00052CC7" w:rsidRDefault="00052CC7" w:rsidP="0041757E">
      <w:pPr>
        <w:jc w:val="both"/>
        <w:rPr>
          <w:rFonts w:ascii="Verdana" w:hAnsi="Verdana" w:cs="Arial"/>
          <w:color w:val="FF0000"/>
          <w:sz w:val="22"/>
          <w:szCs w:val="22"/>
        </w:rPr>
      </w:pPr>
    </w:p>
    <w:p w14:paraId="0E8A1331" w14:textId="77777777" w:rsidR="00E8229B" w:rsidRPr="00052CC7" w:rsidRDefault="00E8229B" w:rsidP="0041757E">
      <w:pPr>
        <w:jc w:val="both"/>
        <w:rPr>
          <w:rFonts w:ascii="Verdana" w:hAnsi="Verdana" w:cs="Arial"/>
          <w:color w:val="FF0000"/>
          <w:sz w:val="22"/>
          <w:szCs w:val="22"/>
        </w:rPr>
      </w:pPr>
    </w:p>
    <w:p w14:paraId="2F2EA1A8" w14:textId="1B6636D4" w:rsidR="00E8229B" w:rsidRPr="00E8229B" w:rsidRDefault="00121FEA" w:rsidP="0041757E">
      <w:pPr>
        <w:jc w:val="both"/>
        <w:rPr>
          <w:rFonts w:ascii="Verdana" w:hAnsi="Verdana" w:cs="Arial"/>
          <w:color w:val="FF0000"/>
          <w:sz w:val="22"/>
          <w:szCs w:val="22"/>
        </w:rPr>
      </w:pPr>
      <w:bookmarkStart w:id="3" w:name="_Toc213403764"/>
      <w:r>
        <w:rPr>
          <w:rFonts w:ascii="Verdana" w:hAnsi="Verdana" w:cs="Arial"/>
          <w:b/>
          <w:bCs/>
          <w:sz w:val="22"/>
          <w:szCs w:val="22"/>
        </w:rPr>
        <w:t xml:space="preserve">5.2. </w:t>
      </w:r>
      <w:bookmarkEnd w:id="3"/>
      <w:r w:rsidR="00E8229B" w:rsidRPr="00E8229B">
        <w:rPr>
          <w:rFonts w:ascii="Verdana" w:hAnsi="Verdana" w:cs="Arial"/>
          <w:b/>
          <w:bCs/>
          <w:sz w:val="22"/>
          <w:szCs w:val="22"/>
        </w:rPr>
        <w:t>Diagnóstico de la Gestión Documental Electrónica y sus Componentes</w:t>
      </w:r>
    </w:p>
    <w:p w14:paraId="595C1649" w14:textId="77777777" w:rsidR="00E8229B" w:rsidRDefault="00E8229B" w:rsidP="0041757E">
      <w:pPr>
        <w:ind w:left="360"/>
        <w:jc w:val="both"/>
        <w:rPr>
          <w:rFonts w:ascii="Verdana" w:hAnsi="Verdana" w:cs="Arial"/>
          <w:color w:val="FF0000"/>
          <w:sz w:val="22"/>
          <w:szCs w:val="22"/>
        </w:rPr>
      </w:pPr>
    </w:p>
    <w:p w14:paraId="06F095E2" w14:textId="58407840" w:rsidR="00052CC7" w:rsidRDefault="004571C8" w:rsidP="0041757E">
      <w:pPr>
        <w:jc w:val="both"/>
        <w:rPr>
          <w:rFonts w:ascii="Verdana" w:hAnsi="Verdana" w:cs="Arial"/>
          <w:sz w:val="22"/>
          <w:szCs w:val="22"/>
        </w:rPr>
      </w:pPr>
      <w:r w:rsidRPr="49946295">
        <w:rPr>
          <w:rFonts w:ascii="Verdana" w:hAnsi="Verdana" w:cs="Arial"/>
          <w:sz w:val="22"/>
          <w:szCs w:val="22"/>
        </w:rPr>
        <w:t>Se encuentra c</w:t>
      </w:r>
      <w:r w:rsidR="00C62B44" w:rsidRPr="49946295">
        <w:rPr>
          <w:rFonts w:ascii="Verdana" w:hAnsi="Verdana" w:cs="Arial"/>
          <w:sz w:val="22"/>
          <w:szCs w:val="22"/>
        </w:rPr>
        <w:t xml:space="preserve">ompuesto por un conjunto de </w:t>
      </w:r>
      <w:r w:rsidR="002A13D3" w:rsidRPr="49946295">
        <w:rPr>
          <w:rFonts w:ascii="Verdana" w:hAnsi="Verdana" w:cs="Arial"/>
          <w:sz w:val="22"/>
          <w:szCs w:val="22"/>
        </w:rPr>
        <w:t>sistemas,</w:t>
      </w:r>
      <w:r w:rsidR="00C62B44" w:rsidRPr="49946295">
        <w:rPr>
          <w:rFonts w:ascii="Verdana" w:hAnsi="Verdana" w:cs="Arial"/>
          <w:sz w:val="22"/>
          <w:szCs w:val="22"/>
        </w:rPr>
        <w:t xml:space="preserve"> aplicaciones e instrumentos de apoyo a la gestión, el ecosistema documental y tecnológico de la Superintendencia de Sociedades integra los documentos físicos y electrónicos a lo largo de su ciclo de vida. Este diagnóstico preliminar permite determinar el estado actual de dichos </w:t>
      </w:r>
      <w:r w:rsidR="002A13D3" w:rsidRPr="49946295">
        <w:rPr>
          <w:rFonts w:ascii="Verdana" w:hAnsi="Verdana" w:cs="Arial"/>
          <w:sz w:val="22"/>
          <w:szCs w:val="22"/>
        </w:rPr>
        <w:t>componentes,</w:t>
      </w:r>
      <w:r w:rsidR="00C62B44" w:rsidRPr="49946295">
        <w:rPr>
          <w:rFonts w:ascii="Verdana" w:hAnsi="Verdana" w:cs="Arial"/>
          <w:sz w:val="22"/>
          <w:szCs w:val="22"/>
        </w:rPr>
        <w:t> su grado de interoperabilidad y las dificultades administrativas que enfrenta la gestión documental electrónica. Según la Ley 594 de 2000, el Decreto 1080 de 2015, el Acuerdo 001 de 2024 del Archivo General de la Nación, y otros. Lineamientos del Modelo Integral de Gestión Documental y Archivos (MIGDA).</w:t>
      </w:r>
    </w:p>
    <w:p w14:paraId="68CD8A64" w14:textId="77777777" w:rsidR="00C62B44" w:rsidRDefault="00C62B44" w:rsidP="0041757E">
      <w:pPr>
        <w:ind w:left="360"/>
        <w:jc w:val="both"/>
        <w:rPr>
          <w:rFonts w:ascii="Verdana" w:hAnsi="Verdana" w:cs="Arial"/>
          <w:sz w:val="22"/>
          <w:szCs w:val="22"/>
        </w:rPr>
      </w:pPr>
    </w:p>
    <w:p w14:paraId="7B06B5EA" w14:textId="77777777" w:rsidR="009030FD" w:rsidRDefault="009030FD" w:rsidP="0041757E">
      <w:pPr>
        <w:jc w:val="both"/>
        <w:rPr>
          <w:rFonts w:ascii="Verdana" w:hAnsi="Verdana" w:cs="Arial"/>
          <w:b/>
          <w:bCs/>
          <w:sz w:val="22"/>
          <w:szCs w:val="22"/>
        </w:rPr>
      </w:pPr>
    </w:p>
    <w:p w14:paraId="17A6F3B9" w14:textId="740D1839" w:rsidR="00C62B44" w:rsidRDefault="00121FEA" w:rsidP="0041757E">
      <w:pPr>
        <w:jc w:val="both"/>
        <w:rPr>
          <w:rFonts w:ascii="Verdana" w:hAnsi="Verdana" w:cs="Arial"/>
          <w:b/>
          <w:bCs/>
          <w:sz w:val="22"/>
          <w:szCs w:val="22"/>
        </w:rPr>
      </w:pPr>
      <w:r>
        <w:rPr>
          <w:rFonts w:ascii="Verdana" w:hAnsi="Verdana" w:cs="Arial"/>
          <w:b/>
          <w:bCs/>
          <w:sz w:val="22"/>
          <w:szCs w:val="22"/>
        </w:rPr>
        <w:t xml:space="preserve">5.2.1. </w:t>
      </w:r>
      <w:r w:rsidR="00C62B44" w:rsidRPr="002A13D3">
        <w:rPr>
          <w:rFonts w:ascii="Verdana" w:hAnsi="Verdana" w:cs="Arial"/>
          <w:b/>
          <w:bCs/>
          <w:sz w:val="22"/>
          <w:szCs w:val="22"/>
        </w:rPr>
        <w:t>Descripción general del entorno tecnológico</w:t>
      </w:r>
    </w:p>
    <w:p w14:paraId="116A87B4" w14:textId="77777777" w:rsidR="00C62B44" w:rsidRDefault="00C62B44" w:rsidP="0041757E">
      <w:pPr>
        <w:jc w:val="both"/>
        <w:rPr>
          <w:rFonts w:ascii="Verdana" w:hAnsi="Verdana" w:cs="Arial"/>
          <w:sz w:val="22"/>
          <w:szCs w:val="22"/>
        </w:rPr>
      </w:pPr>
    </w:p>
    <w:p w14:paraId="59CF203C" w14:textId="01728545" w:rsidR="008A3F3E" w:rsidRDefault="00C62B44" w:rsidP="0041757E">
      <w:pPr>
        <w:jc w:val="both"/>
        <w:rPr>
          <w:rFonts w:ascii="Verdana" w:hAnsi="Verdana" w:cs="Arial"/>
          <w:sz w:val="22"/>
          <w:szCs w:val="22"/>
        </w:rPr>
      </w:pPr>
      <w:r w:rsidRPr="49946295">
        <w:rPr>
          <w:rFonts w:ascii="Verdana" w:hAnsi="Verdana" w:cs="Arial"/>
          <w:sz w:val="22"/>
          <w:szCs w:val="22"/>
        </w:rPr>
        <w:t xml:space="preserve">La Entidad dispone del Sistema de Gestión de Documentos Electrónicos de Archivo (SGDEA) </w:t>
      </w:r>
      <w:r w:rsidR="001951EF" w:rsidRPr="49946295">
        <w:rPr>
          <w:rFonts w:ascii="Verdana" w:hAnsi="Verdana" w:cs="Arial"/>
          <w:sz w:val="22"/>
          <w:szCs w:val="22"/>
        </w:rPr>
        <w:t>y lo gestiona a</w:t>
      </w:r>
      <w:r w:rsidR="009030FD" w:rsidRPr="49946295">
        <w:rPr>
          <w:rFonts w:ascii="Verdana" w:hAnsi="Verdana" w:cs="Arial"/>
          <w:sz w:val="22"/>
          <w:szCs w:val="22"/>
        </w:rPr>
        <w:t xml:space="preserve"> través de su </w:t>
      </w:r>
      <w:r w:rsidRPr="49946295">
        <w:rPr>
          <w:rFonts w:ascii="Verdana" w:hAnsi="Verdana" w:cs="Arial"/>
          <w:sz w:val="22"/>
          <w:szCs w:val="22"/>
        </w:rPr>
        <w:t>gestor documental in</w:t>
      </w:r>
      <w:r w:rsidR="009030FD" w:rsidRPr="49946295">
        <w:rPr>
          <w:rFonts w:ascii="Verdana" w:hAnsi="Verdana" w:cs="Arial"/>
          <w:sz w:val="22"/>
          <w:szCs w:val="22"/>
        </w:rPr>
        <w:t>terno</w:t>
      </w:r>
      <w:r w:rsidRPr="49946295">
        <w:rPr>
          <w:rFonts w:ascii="Verdana" w:hAnsi="Verdana" w:cs="Arial"/>
          <w:sz w:val="22"/>
          <w:szCs w:val="22"/>
        </w:rPr>
        <w:t>, plataforma que centraliza la radicación, clasificación, trámite, consulta y conservación digital de los documentos institucionales. Este sistema permite la gestión de expedientes electrónicos, la aplicación de metadatos según la ISO 23081 y la preservación a largo plazo mediante esquemas de respaldo y migración controlada</w:t>
      </w:r>
      <w:r w:rsidR="00761303" w:rsidRPr="49946295">
        <w:rPr>
          <w:rFonts w:ascii="Verdana" w:hAnsi="Verdana" w:cs="Arial"/>
          <w:sz w:val="22"/>
          <w:szCs w:val="22"/>
        </w:rPr>
        <w:t xml:space="preserve"> y d</w:t>
      </w:r>
      <w:r w:rsidR="00884EF8" w:rsidRPr="49946295">
        <w:rPr>
          <w:rFonts w:ascii="Verdana" w:hAnsi="Verdana" w:cs="Arial"/>
          <w:sz w:val="22"/>
          <w:szCs w:val="22"/>
        </w:rPr>
        <w:t xml:space="preserve">e manera complementaria y en un bajo nivel de consulta, la Superintendencia </w:t>
      </w:r>
      <w:r w:rsidR="0D0D8B10" w:rsidRPr="49946295">
        <w:rPr>
          <w:rFonts w:ascii="Verdana" w:hAnsi="Verdana" w:cs="Arial"/>
          <w:sz w:val="22"/>
          <w:szCs w:val="22"/>
        </w:rPr>
        <w:t xml:space="preserve">de Sociedades </w:t>
      </w:r>
      <w:r w:rsidR="00884EF8" w:rsidRPr="49946295">
        <w:rPr>
          <w:rFonts w:ascii="Verdana" w:hAnsi="Verdana" w:cs="Arial"/>
          <w:sz w:val="22"/>
          <w:szCs w:val="22"/>
        </w:rPr>
        <w:lastRenderedPageBreak/>
        <w:t xml:space="preserve">utiliza </w:t>
      </w:r>
      <w:r w:rsidR="008A3F3E" w:rsidRPr="49946295">
        <w:rPr>
          <w:rFonts w:ascii="Verdana" w:hAnsi="Verdana" w:cs="Arial"/>
          <w:sz w:val="22"/>
          <w:szCs w:val="22"/>
        </w:rPr>
        <w:t>como repositorio archivísitico y como herramienta de consulta su gestor documental anterior</w:t>
      </w:r>
      <w:r w:rsidR="0E9CB035" w:rsidRPr="49946295">
        <w:rPr>
          <w:rFonts w:ascii="Verdana" w:hAnsi="Verdana" w:cs="Arial"/>
          <w:sz w:val="22"/>
          <w:szCs w:val="22"/>
        </w:rPr>
        <w:t>:</w:t>
      </w:r>
    </w:p>
    <w:p w14:paraId="45C92C85" w14:textId="77777777" w:rsidR="00064C1A" w:rsidRDefault="00064C1A" w:rsidP="00155F22">
      <w:pPr>
        <w:jc w:val="both"/>
        <w:rPr>
          <w:rFonts w:ascii="Verdana" w:hAnsi="Verdana" w:cs="Arial"/>
          <w:sz w:val="22"/>
          <w:szCs w:val="22"/>
        </w:rPr>
      </w:pPr>
    </w:p>
    <w:p w14:paraId="1FA46B9D" w14:textId="683EF2A8" w:rsidR="00884EF8" w:rsidRPr="00823943" w:rsidRDefault="00884EF8" w:rsidP="00A27AA5">
      <w:pPr>
        <w:pStyle w:val="Prrafodelista"/>
        <w:numPr>
          <w:ilvl w:val="0"/>
          <w:numId w:val="26"/>
        </w:numPr>
        <w:jc w:val="both"/>
        <w:rPr>
          <w:rFonts w:ascii="Verdana" w:hAnsi="Verdana" w:cs="Arial"/>
          <w:b/>
          <w:bCs/>
          <w:sz w:val="22"/>
          <w:szCs w:val="22"/>
        </w:rPr>
      </w:pPr>
      <w:bookmarkStart w:id="4" w:name="_Hlk214368496"/>
      <w:r w:rsidRPr="00823943">
        <w:rPr>
          <w:rFonts w:ascii="Verdana" w:hAnsi="Verdana" w:cs="Arial"/>
          <w:b/>
          <w:bCs/>
          <w:sz w:val="22"/>
          <w:szCs w:val="22"/>
        </w:rPr>
        <w:t>Repositorios y arquitectura de información</w:t>
      </w:r>
      <w:bookmarkEnd w:id="4"/>
    </w:p>
    <w:p w14:paraId="01C12B0C" w14:textId="1D41E0FF" w:rsidR="00884EF8" w:rsidRPr="00004FCE" w:rsidRDefault="00884EF8" w:rsidP="00823943">
      <w:pPr>
        <w:ind w:left="709"/>
        <w:jc w:val="both"/>
        <w:rPr>
          <w:rFonts w:ascii="Verdana" w:hAnsi="Verdana" w:cs="Arial"/>
          <w:sz w:val="22"/>
          <w:szCs w:val="22"/>
        </w:rPr>
      </w:pPr>
      <w:r w:rsidRPr="00004FCE">
        <w:rPr>
          <w:rFonts w:ascii="Verdana" w:hAnsi="Verdana" w:cs="Arial"/>
          <w:sz w:val="22"/>
          <w:szCs w:val="22"/>
        </w:rPr>
        <w:t xml:space="preserve">El ecosistema documental cuenta con diferentes repositorios que concentran información administrativa, jurídica, contable y técnica, algunos de los cuales se encuentran integrados con el </w:t>
      </w:r>
      <w:r w:rsidR="003D4D6F">
        <w:rPr>
          <w:rFonts w:ascii="Verdana" w:hAnsi="Verdana" w:cs="Arial"/>
          <w:sz w:val="22"/>
          <w:szCs w:val="22"/>
        </w:rPr>
        <w:t>gestor documental</w:t>
      </w:r>
      <w:r w:rsidRPr="00004FCE">
        <w:rPr>
          <w:rFonts w:ascii="Verdana" w:hAnsi="Verdana" w:cs="Arial"/>
          <w:sz w:val="22"/>
          <w:szCs w:val="22"/>
        </w:rPr>
        <w:t>. Entre ellos se destacan:</w:t>
      </w:r>
    </w:p>
    <w:p w14:paraId="4A38D13B" w14:textId="77777777" w:rsidR="00884EF8" w:rsidRDefault="00884EF8" w:rsidP="00155F22">
      <w:pPr>
        <w:jc w:val="both"/>
        <w:rPr>
          <w:rFonts w:ascii="Verdana" w:hAnsi="Verdana" w:cs="Arial"/>
          <w:color w:val="FF0000"/>
          <w:sz w:val="22"/>
          <w:szCs w:val="22"/>
        </w:rPr>
      </w:pPr>
    </w:p>
    <w:p w14:paraId="009D8438" w14:textId="77777777" w:rsidR="00886C75" w:rsidRDefault="00886C75" w:rsidP="00A27AA5">
      <w:pPr>
        <w:pStyle w:val="Prrafodelista"/>
        <w:numPr>
          <w:ilvl w:val="0"/>
          <w:numId w:val="11"/>
        </w:numPr>
        <w:contextualSpacing/>
        <w:jc w:val="both"/>
        <w:rPr>
          <w:rFonts w:ascii="Verdana" w:hAnsi="Verdana" w:cs="Arial"/>
          <w:sz w:val="22"/>
          <w:szCs w:val="22"/>
        </w:rPr>
      </w:pPr>
      <w:r w:rsidRPr="00004FCE">
        <w:rPr>
          <w:rFonts w:ascii="Verdana" w:hAnsi="Verdana" w:cs="Arial"/>
          <w:b/>
          <w:bCs/>
          <w:sz w:val="22"/>
          <w:szCs w:val="22"/>
        </w:rPr>
        <w:t>Repositorio de expedientes electrónicos</w:t>
      </w:r>
      <w:r w:rsidRPr="00004FCE">
        <w:rPr>
          <w:rFonts w:ascii="Verdana" w:hAnsi="Verdana" w:cs="Arial"/>
          <w:sz w:val="22"/>
          <w:szCs w:val="22"/>
        </w:rPr>
        <w:t>: Almacena documentos clasificados bajo las Tablas de Retención Documental (TRD) y Tablas de Valoración Documental (TVD), garantizando autenticidad, integridad y trazabilidad.</w:t>
      </w:r>
    </w:p>
    <w:p w14:paraId="4BAD16F2" w14:textId="77777777" w:rsidR="00602B45" w:rsidRPr="00004FCE" w:rsidRDefault="00602B45" w:rsidP="00602B45">
      <w:pPr>
        <w:pStyle w:val="Prrafodelista"/>
        <w:spacing w:after="200"/>
        <w:ind w:left="720"/>
        <w:contextualSpacing/>
        <w:jc w:val="both"/>
        <w:rPr>
          <w:rFonts w:ascii="Verdana" w:hAnsi="Verdana" w:cs="Arial"/>
          <w:sz w:val="22"/>
          <w:szCs w:val="22"/>
        </w:rPr>
      </w:pPr>
    </w:p>
    <w:p w14:paraId="6FDE1633" w14:textId="77777777" w:rsidR="00886C75" w:rsidRPr="00B9330A" w:rsidRDefault="00886C75" w:rsidP="00A27AA5">
      <w:pPr>
        <w:pStyle w:val="Prrafodelista"/>
        <w:numPr>
          <w:ilvl w:val="0"/>
          <w:numId w:val="11"/>
        </w:numPr>
        <w:contextualSpacing/>
        <w:jc w:val="both"/>
        <w:rPr>
          <w:rFonts w:ascii="Verdana" w:hAnsi="Verdana" w:cs="Arial"/>
          <w:sz w:val="22"/>
          <w:szCs w:val="22"/>
        </w:rPr>
      </w:pPr>
      <w:r w:rsidRPr="00B9330A">
        <w:rPr>
          <w:rFonts w:ascii="Verdana" w:hAnsi="Verdana" w:cs="Arial"/>
          <w:b/>
          <w:bCs/>
          <w:sz w:val="22"/>
          <w:szCs w:val="22"/>
        </w:rPr>
        <w:t>Repositorio histórico y de consulta</w:t>
      </w:r>
      <w:r w:rsidRPr="00B9330A">
        <w:rPr>
          <w:rFonts w:ascii="Verdana" w:hAnsi="Verdana" w:cs="Arial"/>
          <w:sz w:val="22"/>
          <w:szCs w:val="22"/>
        </w:rPr>
        <w:t>: Custodia versiones digitalizadas de documentos análogos y microfilmados, con acceso controlado según las políticas del Sistema Integrado de Conservación (SIC).</w:t>
      </w:r>
    </w:p>
    <w:p w14:paraId="7C47DAE4" w14:textId="77777777" w:rsidR="00B9330A" w:rsidRPr="00B9330A" w:rsidRDefault="00B9330A" w:rsidP="00B9330A">
      <w:pPr>
        <w:pStyle w:val="Prrafodelista"/>
        <w:rPr>
          <w:rFonts w:ascii="Verdana" w:hAnsi="Verdana" w:cs="Arial"/>
          <w:sz w:val="22"/>
          <w:szCs w:val="22"/>
        </w:rPr>
      </w:pPr>
    </w:p>
    <w:p w14:paraId="10B29B85" w14:textId="77777777" w:rsidR="00886C75" w:rsidRPr="00B9330A" w:rsidRDefault="00886C75" w:rsidP="00A27AA5">
      <w:pPr>
        <w:pStyle w:val="Prrafodelista"/>
        <w:numPr>
          <w:ilvl w:val="0"/>
          <w:numId w:val="11"/>
        </w:numPr>
        <w:contextualSpacing/>
        <w:jc w:val="both"/>
        <w:rPr>
          <w:rFonts w:ascii="Verdana" w:hAnsi="Verdana" w:cs="Arial"/>
          <w:sz w:val="22"/>
          <w:szCs w:val="22"/>
        </w:rPr>
      </w:pPr>
      <w:r w:rsidRPr="00B9330A">
        <w:rPr>
          <w:rFonts w:ascii="Verdana" w:hAnsi="Verdana" w:cs="Arial"/>
          <w:b/>
          <w:bCs/>
          <w:sz w:val="22"/>
          <w:szCs w:val="22"/>
        </w:rPr>
        <w:t>Repositorio de respaldo y preservación</w:t>
      </w:r>
      <w:r w:rsidRPr="00B9330A">
        <w:rPr>
          <w:rFonts w:ascii="Verdana" w:hAnsi="Verdana" w:cs="Arial"/>
          <w:sz w:val="22"/>
          <w:szCs w:val="22"/>
        </w:rPr>
        <w:t>: Implementado bajo estrategias de copias de seguridad periódicas, cifrado y almacenamiento redundante, en cumplimiento de los principios OAIS (ISO 14721) y de la política institucional de preservación digital.</w:t>
      </w:r>
    </w:p>
    <w:p w14:paraId="4083448D" w14:textId="77777777" w:rsidR="00886C75" w:rsidRDefault="00886C75" w:rsidP="00155F22">
      <w:pPr>
        <w:ind w:left="360"/>
        <w:jc w:val="both"/>
        <w:rPr>
          <w:rFonts w:ascii="Verdana" w:hAnsi="Verdana" w:cs="Arial"/>
          <w:color w:val="FF0000"/>
          <w:sz w:val="22"/>
          <w:szCs w:val="22"/>
        </w:rPr>
      </w:pPr>
    </w:p>
    <w:p w14:paraId="5A963E24" w14:textId="438B99C2" w:rsidR="00886C75" w:rsidRPr="00004FCE" w:rsidRDefault="00886C75" w:rsidP="00155F22">
      <w:pPr>
        <w:jc w:val="both"/>
        <w:rPr>
          <w:rFonts w:ascii="Verdana" w:hAnsi="Verdana" w:cs="Arial"/>
          <w:sz w:val="22"/>
          <w:szCs w:val="22"/>
        </w:rPr>
      </w:pPr>
      <w:r w:rsidRPr="49946295">
        <w:rPr>
          <w:rFonts w:ascii="Verdana" w:hAnsi="Verdana" w:cs="Arial"/>
          <w:sz w:val="22"/>
          <w:szCs w:val="22"/>
        </w:rPr>
        <w:t>La arquitectura tecnológica implementada en el SGDEA</w:t>
      </w:r>
      <w:r w:rsidR="64A1C10E" w:rsidRPr="49946295">
        <w:rPr>
          <w:rFonts w:ascii="Verdana" w:hAnsi="Verdana" w:cs="Arial"/>
          <w:sz w:val="22"/>
          <w:szCs w:val="22"/>
        </w:rPr>
        <w:t xml:space="preserve"> – gestor documental </w:t>
      </w:r>
      <w:r w:rsidRPr="49946295">
        <w:rPr>
          <w:rFonts w:ascii="Verdana" w:hAnsi="Verdana" w:cs="Arial"/>
          <w:sz w:val="22"/>
          <w:szCs w:val="22"/>
        </w:rPr>
        <w:t>se basa en un esquema web modular, con componentes de gestión de usuarios, flujos documentales, versionamiento, auditoría, preservación y reportes. Su infraestructura permite operar en entornos de nube híbrida y garantizar la disponibilidad continua del servicio.</w:t>
      </w:r>
    </w:p>
    <w:p w14:paraId="01D02EF4" w14:textId="77777777" w:rsidR="00886C75" w:rsidRDefault="00886C75" w:rsidP="00155F22">
      <w:pPr>
        <w:jc w:val="both"/>
        <w:rPr>
          <w:rFonts w:ascii="Verdana" w:hAnsi="Verdana" w:cs="Arial"/>
          <w:color w:val="FF0000"/>
          <w:sz w:val="22"/>
          <w:szCs w:val="22"/>
        </w:rPr>
      </w:pPr>
    </w:p>
    <w:p w14:paraId="2B9598A0" w14:textId="77777777" w:rsidR="00E118F7" w:rsidRDefault="00E118F7" w:rsidP="00155F22">
      <w:pPr>
        <w:jc w:val="both"/>
        <w:rPr>
          <w:rFonts w:ascii="Verdana" w:hAnsi="Verdana" w:cs="Arial"/>
          <w:b/>
          <w:bCs/>
          <w:sz w:val="22"/>
          <w:szCs w:val="22"/>
        </w:rPr>
      </w:pPr>
    </w:p>
    <w:p w14:paraId="3A3A3C70" w14:textId="5A538FDA" w:rsidR="00886C75" w:rsidRDefault="00121FEA" w:rsidP="00E118F7">
      <w:pPr>
        <w:jc w:val="both"/>
        <w:rPr>
          <w:rFonts w:ascii="Verdana" w:hAnsi="Verdana" w:cs="Arial"/>
          <w:b/>
          <w:bCs/>
          <w:sz w:val="22"/>
          <w:szCs w:val="22"/>
        </w:rPr>
      </w:pPr>
      <w:r>
        <w:rPr>
          <w:rFonts w:ascii="Verdana" w:hAnsi="Verdana" w:cs="Arial"/>
          <w:b/>
          <w:bCs/>
          <w:sz w:val="22"/>
          <w:szCs w:val="22"/>
        </w:rPr>
        <w:t xml:space="preserve">5.2.2. </w:t>
      </w:r>
      <w:r w:rsidR="00D074BA" w:rsidRPr="00004FCE">
        <w:rPr>
          <w:rFonts w:ascii="Verdana" w:hAnsi="Verdana" w:cs="Arial"/>
          <w:b/>
          <w:bCs/>
          <w:sz w:val="22"/>
          <w:szCs w:val="22"/>
        </w:rPr>
        <w:t>Flujo documental e interoperabilidad</w:t>
      </w:r>
    </w:p>
    <w:p w14:paraId="5C7E3AB6" w14:textId="77777777" w:rsidR="00D074BA" w:rsidRDefault="00D074BA" w:rsidP="00E118F7">
      <w:pPr>
        <w:jc w:val="both"/>
        <w:rPr>
          <w:rFonts w:ascii="Verdana" w:hAnsi="Verdana" w:cs="Arial"/>
          <w:color w:val="FF0000"/>
          <w:sz w:val="22"/>
          <w:szCs w:val="22"/>
        </w:rPr>
      </w:pPr>
    </w:p>
    <w:p w14:paraId="41E1FC95" w14:textId="77777777" w:rsidR="00D074BA" w:rsidRDefault="00D074BA" w:rsidP="00E118F7">
      <w:pPr>
        <w:jc w:val="both"/>
        <w:rPr>
          <w:rFonts w:ascii="Verdana" w:hAnsi="Verdana" w:cs="Arial"/>
          <w:sz w:val="22"/>
          <w:szCs w:val="22"/>
        </w:rPr>
      </w:pPr>
      <w:r w:rsidRPr="00004FCE">
        <w:rPr>
          <w:rFonts w:ascii="Verdana" w:hAnsi="Verdana" w:cs="Arial"/>
          <w:sz w:val="22"/>
          <w:szCs w:val="22"/>
        </w:rPr>
        <w:t>El flujo documental institucional inicia con la radicación en los canales dispuestos (canales físico, electrónico o web), donde se genera el número único de registro. Posteriormente, la información se sincroniza con el SGDEA GeDeSS para su clasificación automática según la TRD y para la conformación de expedientes electrónicos con metadatos normalizados.</w:t>
      </w:r>
    </w:p>
    <w:p w14:paraId="64CED0C8" w14:textId="77777777" w:rsidR="00DC7001" w:rsidRPr="00004FCE" w:rsidRDefault="00DC7001" w:rsidP="00155F22">
      <w:pPr>
        <w:jc w:val="both"/>
        <w:rPr>
          <w:rFonts w:ascii="Verdana" w:hAnsi="Verdana" w:cs="Arial"/>
          <w:sz w:val="22"/>
          <w:szCs w:val="22"/>
        </w:rPr>
      </w:pPr>
    </w:p>
    <w:p w14:paraId="15A3B76C" w14:textId="55B5C4C9" w:rsidR="00D074BA" w:rsidRDefault="00D074BA" w:rsidP="00155F22">
      <w:pPr>
        <w:jc w:val="both"/>
        <w:rPr>
          <w:rFonts w:ascii="Verdana" w:hAnsi="Verdana" w:cs="Arial"/>
          <w:sz w:val="22"/>
          <w:szCs w:val="22"/>
        </w:rPr>
      </w:pPr>
      <w:r w:rsidRPr="00004FCE">
        <w:rPr>
          <w:rFonts w:ascii="Verdana" w:hAnsi="Verdana" w:cs="Arial"/>
          <w:sz w:val="22"/>
          <w:szCs w:val="22"/>
        </w:rPr>
        <w:t>El proceso continúa con el trámite electrónico, la firma digital o electrónica (estándares CADES, XADES o PADES), y la incorporación al repositorio archivístico. Los documentos permanecen disponibles para consulta, control de versiones y disposición final conforme a las T</w:t>
      </w:r>
      <w:r w:rsidR="00E118F7">
        <w:rPr>
          <w:rFonts w:ascii="Verdana" w:hAnsi="Verdana" w:cs="Arial"/>
          <w:sz w:val="22"/>
          <w:szCs w:val="22"/>
        </w:rPr>
        <w:t xml:space="preserve">ablas de </w:t>
      </w:r>
      <w:r w:rsidRPr="00004FCE">
        <w:rPr>
          <w:rFonts w:ascii="Verdana" w:hAnsi="Verdana" w:cs="Arial"/>
          <w:sz w:val="22"/>
          <w:szCs w:val="22"/>
        </w:rPr>
        <w:t>R</w:t>
      </w:r>
      <w:r w:rsidR="00E118F7">
        <w:rPr>
          <w:rFonts w:ascii="Verdana" w:hAnsi="Verdana" w:cs="Arial"/>
          <w:sz w:val="22"/>
          <w:szCs w:val="22"/>
        </w:rPr>
        <w:t xml:space="preserve">etención </w:t>
      </w:r>
      <w:r w:rsidRPr="00004FCE">
        <w:rPr>
          <w:rFonts w:ascii="Verdana" w:hAnsi="Verdana" w:cs="Arial"/>
          <w:sz w:val="22"/>
          <w:szCs w:val="22"/>
        </w:rPr>
        <w:t>D</w:t>
      </w:r>
      <w:r w:rsidR="00E118F7">
        <w:rPr>
          <w:rFonts w:ascii="Verdana" w:hAnsi="Verdana" w:cs="Arial"/>
          <w:sz w:val="22"/>
          <w:szCs w:val="22"/>
        </w:rPr>
        <w:t>ocumental (TRD) y Tablas de Valoración Documental (</w:t>
      </w:r>
      <w:r w:rsidRPr="00004FCE">
        <w:rPr>
          <w:rFonts w:ascii="Verdana" w:hAnsi="Verdana" w:cs="Arial"/>
          <w:sz w:val="22"/>
          <w:szCs w:val="22"/>
        </w:rPr>
        <w:t>TVD</w:t>
      </w:r>
      <w:r w:rsidR="00E118F7">
        <w:rPr>
          <w:rFonts w:ascii="Verdana" w:hAnsi="Verdana" w:cs="Arial"/>
          <w:sz w:val="22"/>
          <w:szCs w:val="22"/>
        </w:rPr>
        <w:t>)</w:t>
      </w:r>
      <w:r w:rsidRPr="00004FCE">
        <w:rPr>
          <w:rFonts w:ascii="Verdana" w:hAnsi="Verdana" w:cs="Arial"/>
          <w:sz w:val="22"/>
          <w:szCs w:val="22"/>
        </w:rPr>
        <w:t>, integrándose además con los Servicios Ciudadanos Digitales:</w:t>
      </w:r>
    </w:p>
    <w:p w14:paraId="18C497C2" w14:textId="77777777" w:rsidR="00A96F41" w:rsidRPr="00004FCE" w:rsidRDefault="00A96F41" w:rsidP="00155F22">
      <w:pPr>
        <w:jc w:val="both"/>
        <w:rPr>
          <w:rFonts w:ascii="Verdana" w:hAnsi="Verdana" w:cs="Arial"/>
          <w:sz w:val="22"/>
          <w:szCs w:val="22"/>
        </w:rPr>
      </w:pPr>
    </w:p>
    <w:p w14:paraId="44C0752A" w14:textId="77777777" w:rsidR="00D074BA" w:rsidRPr="002F2D1E" w:rsidRDefault="00D074BA" w:rsidP="00A27AA5">
      <w:pPr>
        <w:pStyle w:val="Prrafodelista"/>
        <w:numPr>
          <w:ilvl w:val="0"/>
          <w:numId w:val="22"/>
        </w:numPr>
        <w:contextualSpacing/>
        <w:jc w:val="both"/>
        <w:rPr>
          <w:rFonts w:ascii="Verdana" w:hAnsi="Verdana" w:cs="Arial"/>
          <w:sz w:val="22"/>
          <w:szCs w:val="22"/>
        </w:rPr>
      </w:pPr>
      <w:r w:rsidRPr="002F2D1E">
        <w:rPr>
          <w:rFonts w:ascii="Verdana" w:hAnsi="Verdana" w:cs="Arial"/>
          <w:sz w:val="22"/>
          <w:szCs w:val="22"/>
        </w:rPr>
        <w:lastRenderedPageBreak/>
        <w:t>Carpeta Ciudadana Digital (acceso del usuario final).</w:t>
      </w:r>
    </w:p>
    <w:p w14:paraId="265B9850" w14:textId="77777777" w:rsidR="00D074BA" w:rsidRPr="002F2D1E" w:rsidRDefault="00D074BA" w:rsidP="00A27AA5">
      <w:pPr>
        <w:pStyle w:val="Prrafodelista"/>
        <w:numPr>
          <w:ilvl w:val="0"/>
          <w:numId w:val="22"/>
        </w:numPr>
        <w:contextualSpacing/>
        <w:jc w:val="both"/>
        <w:rPr>
          <w:rFonts w:ascii="Verdana" w:hAnsi="Verdana" w:cs="Arial"/>
          <w:sz w:val="22"/>
          <w:szCs w:val="22"/>
        </w:rPr>
      </w:pPr>
      <w:r w:rsidRPr="002F2D1E">
        <w:rPr>
          <w:rFonts w:ascii="Verdana" w:hAnsi="Verdana" w:cs="Arial"/>
          <w:sz w:val="22"/>
          <w:szCs w:val="22"/>
        </w:rPr>
        <w:t>Servicio de Autenticación Digital (Gobierno Digital).</w:t>
      </w:r>
    </w:p>
    <w:p w14:paraId="22EEF68D" w14:textId="77777777" w:rsidR="00D074BA" w:rsidRDefault="00D074BA" w:rsidP="00A27AA5">
      <w:pPr>
        <w:pStyle w:val="Prrafodelista"/>
        <w:numPr>
          <w:ilvl w:val="0"/>
          <w:numId w:val="22"/>
        </w:numPr>
        <w:contextualSpacing/>
        <w:jc w:val="both"/>
        <w:rPr>
          <w:rFonts w:ascii="Verdana" w:hAnsi="Verdana" w:cs="Arial"/>
          <w:sz w:val="22"/>
          <w:szCs w:val="22"/>
        </w:rPr>
      </w:pPr>
      <w:r w:rsidRPr="002F2D1E">
        <w:rPr>
          <w:rFonts w:ascii="Verdana" w:hAnsi="Verdana" w:cs="Arial"/>
          <w:sz w:val="22"/>
          <w:szCs w:val="22"/>
        </w:rPr>
        <w:t>Plataforma de Interoperabilidad (para intercambios entre entidades)</w:t>
      </w:r>
    </w:p>
    <w:p w14:paraId="0F137C52" w14:textId="77777777" w:rsidR="00905701" w:rsidRPr="002F2D1E" w:rsidRDefault="00905701" w:rsidP="00905701">
      <w:pPr>
        <w:pStyle w:val="Prrafodelista"/>
        <w:ind w:left="720"/>
        <w:contextualSpacing/>
        <w:jc w:val="both"/>
        <w:rPr>
          <w:rFonts w:ascii="Verdana" w:hAnsi="Verdana" w:cs="Arial"/>
          <w:sz w:val="22"/>
          <w:szCs w:val="22"/>
        </w:rPr>
      </w:pPr>
    </w:p>
    <w:p w14:paraId="44754F9F" w14:textId="50AD2643" w:rsidR="00D074BA" w:rsidRDefault="00D074BA" w:rsidP="00155F22">
      <w:pPr>
        <w:jc w:val="both"/>
        <w:rPr>
          <w:rFonts w:ascii="Verdana" w:hAnsi="Verdana" w:cs="Arial"/>
          <w:sz w:val="22"/>
          <w:szCs w:val="22"/>
        </w:rPr>
      </w:pPr>
      <w:r w:rsidRPr="00004FCE">
        <w:rPr>
          <w:rFonts w:ascii="Verdana" w:hAnsi="Verdana" w:cs="Arial"/>
          <w:sz w:val="22"/>
          <w:szCs w:val="22"/>
        </w:rPr>
        <w:t xml:space="preserve">El flujo </w:t>
      </w:r>
      <w:r w:rsidR="00294EAB">
        <w:rPr>
          <w:rFonts w:ascii="Verdana" w:hAnsi="Verdana" w:cs="Arial"/>
          <w:sz w:val="22"/>
          <w:szCs w:val="22"/>
        </w:rPr>
        <w:t xml:space="preserve">se </w:t>
      </w:r>
      <w:r w:rsidRPr="00004FCE">
        <w:rPr>
          <w:rFonts w:ascii="Verdana" w:hAnsi="Verdana" w:cs="Arial"/>
          <w:sz w:val="22"/>
          <w:szCs w:val="22"/>
        </w:rPr>
        <w:t xml:space="preserve">cierra con la </w:t>
      </w:r>
      <w:r w:rsidRPr="00294EAB">
        <w:rPr>
          <w:rFonts w:ascii="Verdana" w:hAnsi="Verdana" w:cs="Arial"/>
          <w:sz w:val="22"/>
          <w:szCs w:val="22"/>
        </w:rPr>
        <w:t>preservación digital</w:t>
      </w:r>
      <w:r w:rsidRPr="00784533">
        <w:rPr>
          <w:rFonts w:ascii="Verdana" w:hAnsi="Verdana" w:cs="Arial"/>
          <w:sz w:val="22"/>
          <w:szCs w:val="22"/>
        </w:rPr>
        <w:t xml:space="preserve"> y la </w:t>
      </w:r>
      <w:r w:rsidRPr="00294EAB">
        <w:rPr>
          <w:rFonts w:ascii="Verdana" w:hAnsi="Verdana" w:cs="Arial"/>
          <w:sz w:val="22"/>
          <w:szCs w:val="22"/>
        </w:rPr>
        <w:t>transferencia electrónica</w:t>
      </w:r>
      <w:r w:rsidRPr="00784533">
        <w:rPr>
          <w:rFonts w:ascii="Verdana" w:hAnsi="Verdana" w:cs="Arial"/>
          <w:sz w:val="22"/>
          <w:szCs w:val="22"/>
        </w:rPr>
        <w:t xml:space="preserve"> al archivo</w:t>
      </w:r>
      <w:r w:rsidRPr="00004FCE">
        <w:rPr>
          <w:rFonts w:ascii="Verdana" w:hAnsi="Verdana" w:cs="Arial"/>
          <w:sz w:val="22"/>
          <w:szCs w:val="22"/>
        </w:rPr>
        <w:t xml:space="preserve"> central o histórico</w:t>
      </w:r>
      <w:r w:rsidR="00294EAB">
        <w:rPr>
          <w:rFonts w:ascii="Verdana" w:hAnsi="Verdana" w:cs="Arial"/>
          <w:sz w:val="22"/>
          <w:szCs w:val="22"/>
        </w:rPr>
        <w:t>.</w:t>
      </w:r>
      <w:r w:rsidRPr="00004FCE">
        <w:rPr>
          <w:rFonts w:ascii="Verdana" w:hAnsi="Verdana" w:cs="Arial"/>
          <w:sz w:val="22"/>
          <w:szCs w:val="22"/>
        </w:rPr>
        <w:t xml:space="preserve"> </w:t>
      </w:r>
    </w:p>
    <w:p w14:paraId="240267B1" w14:textId="77777777" w:rsidR="005112CE" w:rsidRPr="00004FCE" w:rsidRDefault="005112CE" w:rsidP="00155F22">
      <w:pPr>
        <w:jc w:val="both"/>
        <w:rPr>
          <w:rFonts w:ascii="Verdana" w:hAnsi="Verdana" w:cs="Arial"/>
          <w:sz w:val="22"/>
          <w:szCs w:val="22"/>
        </w:rPr>
      </w:pPr>
    </w:p>
    <w:p w14:paraId="193FDBDA" w14:textId="77777777" w:rsidR="00D074BA" w:rsidRDefault="00D074BA" w:rsidP="00155F22">
      <w:pPr>
        <w:jc w:val="both"/>
        <w:rPr>
          <w:rFonts w:ascii="Verdana" w:hAnsi="Verdana" w:cs="Arial"/>
          <w:color w:val="FF0000"/>
          <w:sz w:val="22"/>
          <w:szCs w:val="22"/>
        </w:rPr>
      </w:pPr>
    </w:p>
    <w:p w14:paraId="6AEA8BF4" w14:textId="75E28260" w:rsidR="00681452" w:rsidRPr="005112CE" w:rsidRDefault="00121FEA" w:rsidP="00155F22">
      <w:pPr>
        <w:jc w:val="both"/>
        <w:rPr>
          <w:rFonts w:ascii="Verdana" w:hAnsi="Verdana" w:cs="Arial"/>
          <w:b/>
          <w:bCs/>
          <w:sz w:val="22"/>
          <w:szCs w:val="22"/>
        </w:rPr>
      </w:pPr>
      <w:r w:rsidRPr="005112CE">
        <w:rPr>
          <w:rFonts w:ascii="Verdana" w:hAnsi="Verdana" w:cs="Arial"/>
          <w:b/>
          <w:bCs/>
          <w:sz w:val="22"/>
          <w:szCs w:val="22"/>
        </w:rPr>
        <w:t xml:space="preserve">5.2.3. </w:t>
      </w:r>
      <w:r w:rsidR="00681452" w:rsidRPr="005112CE">
        <w:rPr>
          <w:rFonts w:ascii="Verdana" w:hAnsi="Verdana" w:cs="Arial"/>
          <w:b/>
          <w:bCs/>
          <w:sz w:val="22"/>
          <w:szCs w:val="22"/>
        </w:rPr>
        <w:t>Principales hallazgos del diagnóstico</w:t>
      </w:r>
    </w:p>
    <w:p w14:paraId="6EEA4820" w14:textId="77777777" w:rsidR="00681452" w:rsidRDefault="00681452" w:rsidP="00155F22">
      <w:pPr>
        <w:jc w:val="both"/>
        <w:rPr>
          <w:rFonts w:ascii="Verdana" w:hAnsi="Verdana" w:cs="Arial"/>
          <w:b/>
          <w:bCs/>
          <w:sz w:val="22"/>
          <w:szCs w:val="22"/>
        </w:rPr>
      </w:pPr>
    </w:p>
    <w:p w14:paraId="131C1D93" w14:textId="41D6BA44" w:rsidR="00681452" w:rsidRPr="00681452" w:rsidRDefault="00681452" w:rsidP="00155F22">
      <w:pPr>
        <w:jc w:val="both"/>
        <w:rPr>
          <w:rFonts w:ascii="Verdana" w:hAnsi="Verdana" w:cs="Arial"/>
          <w:sz w:val="22"/>
          <w:szCs w:val="22"/>
        </w:rPr>
      </w:pPr>
      <w:r w:rsidRPr="49946295">
        <w:rPr>
          <w:rFonts w:ascii="Verdana" w:hAnsi="Verdana" w:cs="Arial"/>
          <w:sz w:val="22"/>
          <w:szCs w:val="22"/>
        </w:rPr>
        <w:t>El análisis técnico realizado durante 202</w:t>
      </w:r>
      <w:r w:rsidR="00233FCB" w:rsidRPr="49946295">
        <w:rPr>
          <w:rFonts w:ascii="Verdana" w:hAnsi="Verdana" w:cs="Arial"/>
          <w:sz w:val="22"/>
          <w:szCs w:val="22"/>
        </w:rPr>
        <w:t>5</w:t>
      </w:r>
      <w:r w:rsidRPr="49946295">
        <w:rPr>
          <w:rFonts w:ascii="Verdana" w:hAnsi="Verdana" w:cs="Arial"/>
          <w:sz w:val="22"/>
          <w:szCs w:val="22"/>
        </w:rPr>
        <w:t xml:space="preserve"> evidenció los siguientes aspectos relevantes</w:t>
      </w:r>
      <w:r w:rsidR="53FCCE41" w:rsidRPr="49946295">
        <w:rPr>
          <w:rFonts w:ascii="Verdana" w:hAnsi="Verdana" w:cs="Arial"/>
          <w:sz w:val="22"/>
          <w:szCs w:val="22"/>
        </w:rPr>
        <w:t>:</w:t>
      </w:r>
    </w:p>
    <w:p w14:paraId="24828772" w14:textId="3402C808" w:rsidR="00634196" w:rsidRPr="00634196" w:rsidRDefault="008B75C1" w:rsidP="00634196">
      <w:pPr>
        <w:jc w:val="both"/>
        <w:rPr>
          <w:rFonts w:ascii="Verdana" w:hAnsi="Verdana" w:cs="Arial"/>
          <w:sz w:val="22"/>
          <w:szCs w:val="22"/>
        </w:rPr>
      </w:pPr>
      <w:r>
        <w:rPr>
          <w:rFonts w:ascii="Verdana" w:hAnsi="Verdana" w:cs="Arial"/>
          <w:sz w:val="22"/>
          <w:szCs w:val="22"/>
        </w:rPr>
        <w:t xml:space="preserve">Respalda </w:t>
      </w:r>
      <w:r w:rsidR="00634196" w:rsidRPr="49946295">
        <w:rPr>
          <w:rFonts w:ascii="Verdana" w:hAnsi="Verdana" w:cs="Arial"/>
          <w:sz w:val="22"/>
          <w:szCs w:val="22"/>
        </w:rPr>
        <w:t xml:space="preserve">los mecanismos de </w:t>
      </w:r>
      <w:r w:rsidR="1965B0C2" w:rsidRPr="49946295">
        <w:rPr>
          <w:rFonts w:ascii="Verdana" w:hAnsi="Verdana" w:cs="Arial"/>
          <w:sz w:val="22"/>
          <w:szCs w:val="22"/>
        </w:rPr>
        <w:t>auditorías</w:t>
      </w:r>
      <w:r w:rsidR="00634196" w:rsidRPr="49946295">
        <w:rPr>
          <w:rFonts w:ascii="Verdana" w:hAnsi="Verdana" w:cs="Arial"/>
          <w:sz w:val="22"/>
          <w:szCs w:val="22"/>
        </w:rPr>
        <w:t xml:space="preserve"> y control de accesos dados asegurando lo enmarcado en la Guía de Gestión de la configuración (código GTI-GU-004) en cumplimiento de la Resolución 2277 de 2025 y la ISO 27001 sobre seguridad de la información.</w:t>
      </w:r>
    </w:p>
    <w:p w14:paraId="7DA6FEF7" w14:textId="77777777" w:rsidR="00634196" w:rsidRPr="00634196" w:rsidRDefault="00634196" w:rsidP="00155F22">
      <w:pPr>
        <w:jc w:val="both"/>
        <w:rPr>
          <w:rFonts w:ascii="Verdana" w:hAnsi="Verdana" w:cs="Arial"/>
          <w:color w:val="FF0000"/>
          <w:sz w:val="22"/>
          <w:szCs w:val="22"/>
          <w:lang w:val="es-CO"/>
        </w:rPr>
      </w:pPr>
    </w:p>
    <w:p w14:paraId="380BA56A" w14:textId="751D0658" w:rsidR="00681452" w:rsidRDefault="00681452" w:rsidP="00D9459C">
      <w:pPr>
        <w:jc w:val="both"/>
        <w:rPr>
          <w:rFonts w:ascii="Verdana" w:hAnsi="Verdana" w:cs="Arial"/>
          <w:sz w:val="22"/>
          <w:szCs w:val="22"/>
        </w:rPr>
      </w:pPr>
      <w:r w:rsidRPr="00957766">
        <w:rPr>
          <w:rFonts w:ascii="Verdana" w:hAnsi="Verdana" w:cs="Arial"/>
          <w:sz w:val="22"/>
          <w:szCs w:val="22"/>
        </w:rPr>
        <w:t xml:space="preserve">El diagnóstico </w:t>
      </w:r>
      <w:r w:rsidRPr="0090246B">
        <w:rPr>
          <w:rFonts w:ascii="Verdana" w:hAnsi="Verdana" w:cs="Arial"/>
          <w:sz w:val="22"/>
          <w:szCs w:val="22"/>
        </w:rPr>
        <w:t xml:space="preserve">del </w:t>
      </w:r>
      <w:r w:rsidR="009A799D" w:rsidRPr="0090246B">
        <w:rPr>
          <w:rFonts w:ascii="Verdana" w:hAnsi="Verdana" w:cs="Arial"/>
          <w:sz w:val="22"/>
          <w:szCs w:val="22"/>
        </w:rPr>
        <w:t>Sistema de Información Documental</w:t>
      </w:r>
      <w:r w:rsidRPr="0090246B">
        <w:rPr>
          <w:rFonts w:ascii="Verdana" w:hAnsi="Verdana" w:cs="Arial"/>
          <w:sz w:val="22"/>
          <w:szCs w:val="22"/>
        </w:rPr>
        <w:t xml:space="preserve"> </w:t>
      </w:r>
      <w:r w:rsidRPr="00957766">
        <w:rPr>
          <w:rFonts w:ascii="Verdana" w:hAnsi="Verdana" w:cs="Arial"/>
          <w:sz w:val="22"/>
          <w:szCs w:val="22"/>
        </w:rPr>
        <w:t xml:space="preserve">de la Superintendencia de Sociedades permite establecer que la Entidad cuenta con una base sólida para la consolidación de su gestión documental electrónica, pero requiere </w:t>
      </w:r>
      <w:r w:rsidR="00F503D6" w:rsidRPr="00F503D6">
        <w:rPr>
          <w:rFonts w:ascii="Verdana" w:hAnsi="Verdana" w:cs="Arial"/>
          <w:sz w:val="22"/>
          <w:szCs w:val="22"/>
        </w:rPr>
        <w:t xml:space="preserve">Robustecer lo indicado en el MODELO DE GOBIERNO DE DATOS DE LA SUPERINTENDENCIA DE SOCIEDADES </w:t>
      </w:r>
      <w:r w:rsidR="00846F95">
        <w:rPr>
          <w:rFonts w:ascii="Verdana" w:hAnsi="Verdana" w:cs="Arial"/>
          <w:sz w:val="22"/>
          <w:szCs w:val="22"/>
        </w:rPr>
        <w:t xml:space="preserve">Código </w:t>
      </w:r>
      <w:r w:rsidR="00F503D6" w:rsidRPr="00F503D6">
        <w:rPr>
          <w:rFonts w:ascii="Verdana" w:hAnsi="Verdana" w:cs="Arial"/>
          <w:sz w:val="22"/>
          <w:szCs w:val="22"/>
        </w:rPr>
        <w:t>GTI-MA-001 - mediante la definición de factores potenciales que permitirán orientar a la entidad de manera holística en la toma de decisiones en el marco de la gestión de los datos y la información.</w:t>
      </w:r>
    </w:p>
    <w:p w14:paraId="016C4443" w14:textId="77777777" w:rsidR="00681452" w:rsidRPr="00957766" w:rsidRDefault="00681452" w:rsidP="00D9459C">
      <w:pPr>
        <w:jc w:val="both"/>
        <w:rPr>
          <w:rFonts w:ascii="Verdana" w:hAnsi="Verdana" w:cs="Arial"/>
          <w:sz w:val="22"/>
          <w:szCs w:val="22"/>
        </w:rPr>
      </w:pPr>
    </w:p>
    <w:p w14:paraId="31D5A901" w14:textId="26A16C35" w:rsidR="00681452" w:rsidRPr="00957766" w:rsidRDefault="00681452" w:rsidP="00D9459C">
      <w:pPr>
        <w:jc w:val="both"/>
        <w:rPr>
          <w:rFonts w:ascii="Verdana" w:hAnsi="Verdana" w:cs="Arial"/>
          <w:sz w:val="22"/>
          <w:szCs w:val="22"/>
        </w:rPr>
      </w:pPr>
      <w:r w:rsidRPr="00957766">
        <w:rPr>
          <w:rFonts w:ascii="Verdana" w:hAnsi="Verdana" w:cs="Arial"/>
          <w:sz w:val="22"/>
          <w:szCs w:val="22"/>
        </w:rPr>
        <w:t>Estos resultados orientan las acciones que se desarrollan en el presente Modelo de Requisitos,</w:t>
      </w:r>
      <w:r w:rsidR="00A04338">
        <w:rPr>
          <w:rFonts w:ascii="Verdana" w:hAnsi="Verdana" w:cs="Arial"/>
          <w:sz w:val="22"/>
          <w:szCs w:val="22"/>
        </w:rPr>
        <w:t xml:space="preserve"> garantizar</w:t>
      </w:r>
      <w:r w:rsidRPr="00957766">
        <w:rPr>
          <w:rFonts w:ascii="Verdana" w:hAnsi="Verdana" w:cs="Arial"/>
          <w:sz w:val="22"/>
          <w:szCs w:val="22"/>
        </w:rPr>
        <w:t xml:space="preserve"> el cumplimiento del marco normativo vigente y la modernización continua de los procesos archivísticos.</w:t>
      </w:r>
    </w:p>
    <w:p w14:paraId="4C24BA4B" w14:textId="77777777" w:rsidR="00681452" w:rsidRPr="00681452" w:rsidRDefault="00681452" w:rsidP="00D9459C">
      <w:pPr>
        <w:jc w:val="both"/>
        <w:rPr>
          <w:rFonts w:ascii="Verdana" w:hAnsi="Verdana" w:cs="Arial"/>
          <w:color w:val="FF0000"/>
          <w:sz w:val="22"/>
          <w:szCs w:val="22"/>
        </w:rPr>
      </w:pPr>
    </w:p>
    <w:p w14:paraId="712105EA" w14:textId="77777777" w:rsidR="00052CC7" w:rsidRDefault="00052CC7" w:rsidP="00D9459C">
      <w:pPr>
        <w:ind w:left="360"/>
        <w:jc w:val="both"/>
        <w:rPr>
          <w:rFonts w:ascii="Verdana" w:hAnsi="Verdana" w:cs="Arial"/>
          <w:color w:val="FF0000"/>
          <w:sz w:val="22"/>
          <w:szCs w:val="22"/>
        </w:rPr>
      </w:pPr>
    </w:p>
    <w:p w14:paraId="31DE480F" w14:textId="0A824164" w:rsidR="005C5BE0" w:rsidRDefault="00C0258E" w:rsidP="00D9459C">
      <w:pPr>
        <w:pStyle w:val="Ttulo1"/>
        <w:spacing w:line="240" w:lineRule="auto"/>
        <w:jc w:val="left"/>
        <w:rPr>
          <w:rFonts w:ascii="Verdana" w:hAnsi="Verdana"/>
          <w:sz w:val="22"/>
          <w:szCs w:val="22"/>
        </w:rPr>
      </w:pPr>
      <w:bookmarkStart w:id="5" w:name="_Toc213403765"/>
      <w:r>
        <w:rPr>
          <w:rFonts w:ascii="Verdana" w:hAnsi="Verdana"/>
          <w:sz w:val="22"/>
          <w:szCs w:val="22"/>
        </w:rPr>
        <w:t xml:space="preserve">5.3. </w:t>
      </w:r>
      <w:r w:rsidR="005C5BE0" w:rsidRPr="00957766">
        <w:rPr>
          <w:rFonts w:ascii="Verdana" w:hAnsi="Verdana"/>
          <w:sz w:val="22"/>
          <w:szCs w:val="22"/>
        </w:rPr>
        <w:t>Conceptualización del Modelo de Requisitos – MoReq</w:t>
      </w:r>
      <w:bookmarkEnd w:id="5"/>
    </w:p>
    <w:p w14:paraId="62D9F2D2" w14:textId="77777777" w:rsidR="00C0258E" w:rsidRPr="00C0258E" w:rsidRDefault="00C0258E" w:rsidP="00C0258E">
      <w:pPr>
        <w:rPr>
          <w:lang w:val="es-MX"/>
        </w:rPr>
      </w:pPr>
    </w:p>
    <w:p w14:paraId="2895E299" w14:textId="3BF17771" w:rsidR="00C32916" w:rsidRPr="00BD3B21" w:rsidRDefault="00C32916" w:rsidP="00455C3F">
      <w:pPr>
        <w:jc w:val="both"/>
        <w:rPr>
          <w:rFonts w:ascii="Verdana" w:eastAsiaTheme="majorEastAsia" w:hAnsi="Verdana" w:cs="Arial"/>
          <w:sz w:val="22"/>
          <w:szCs w:val="22"/>
        </w:rPr>
      </w:pPr>
      <w:r w:rsidRPr="00BD3B21">
        <w:rPr>
          <w:rFonts w:ascii="Verdana" w:eastAsiaTheme="majorEastAsia" w:hAnsi="Verdana" w:cs="Arial"/>
          <w:sz w:val="22"/>
          <w:szCs w:val="22"/>
        </w:rPr>
        <w:t>El Modelo de Requisitos para la Gestión de Documentos Electrónicos de Archivo (MoReq) de la Superintendencia de Sociedades se concibe como un marco normativo, técnico y funcional que define los estándares mínimos que deben cumplir los sistemas y aplicativos de la Entidad en materia de gestión documental electrónica. Su propósito es garantizar que los documentos electrónicos generados, recibidos y gestionados por la Superintendencia conserven en todo momento sus atributos de autenticidad, integridad</w:t>
      </w:r>
      <w:r w:rsidR="00C66FE1" w:rsidRPr="00BD3B21">
        <w:rPr>
          <w:rFonts w:ascii="Verdana" w:eastAsiaTheme="majorEastAsia" w:hAnsi="Verdana" w:cs="Arial"/>
          <w:sz w:val="22"/>
          <w:szCs w:val="22"/>
        </w:rPr>
        <w:t>, confidencialidad</w:t>
      </w:r>
      <w:r w:rsidR="0098050D" w:rsidRPr="00BD3B21">
        <w:rPr>
          <w:rFonts w:ascii="Verdana" w:eastAsiaTheme="majorEastAsia" w:hAnsi="Verdana" w:cs="Arial"/>
          <w:sz w:val="22"/>
          <w:szCs w:val="22"/>
        </w:rPr>
        <w:t>, disponibilidad</w:t>
      </w:r>
      <w:r w:rsidRPr="00BD3B21">
        <w:rPr>
          <w:rFonts w:ascii="Verdana" w:eastAsiaTheme="majorEastAsia" w:hAnsi="Verdana" w:cs="Arial"/>
          <w:sz w:val="22"/>
          <w:szCs w:val="22"/>
        </w:rPr>
        <w:t>, trazabilidad, seguridad, accesibilidad y preservación a largo plazo, asegurando su valor jurídico, administrativo y probatorio.</w:t>
      </w:r>
    </w:p>
    <w:p w14:paraId="5282CF8F" w14:textId="77777777" w:rsidR="00A313B9" w:rsidRPr="00BD3B21" w:rsidRDefault="00A313B9" w:rsidP="00155F22">
      <w:pPr>
        <w:jc w:val="both"/>
        <w:rPr>
          <w:rFonts w:ascii="Verdana" w:hAnsi="Verdana" w:cs="Arial"/>
          <w:color w:val="FF0000"/>
          <w:sz w:val="22"/>
          <w:szCs w:val="22"/>
        </w:rPr>
      </w:pPr>
    </w:p>
    <w:p w14:paraId="5B86702D" w14:textId="77777777" w:rsidR="00F2157E" w:rsidRDefault="00F2157E" w:rsidP="00155F22">
      <w:pPr>
        <w:jc w:val="both"/>
        <w:rPr>
          <w:rFonts w:ascii="Verdana" w:eastAsiaTheme="majorEastAsia" w:hAnsi="Verdana" w:cs="Arial"/>
          <w:sz w:val="22"/>
          <w:szCs w:val="22"/>
        </w:rPr>
      </w:pPr>
    </w:p>
    <w:p w14:paraId="164B28B5" w14:textId="77777777" w:rsidR="00F2157E" w:rsidRDefault="00F2157E" w:rsidP="00155F22">
      <w:pPr>
        <w:jc w:val="both"/>
        <w:rPr>
          <w:rFonts w:ascii="Verdana" w:eastAsiaTheme="majorEastAsia" w:hAnsi="Verdana" w:cs="Arial"/>
          <w:sz w:val="22"/>
          <w:szCs w:val="22"/>
        </w:rPr>
      </w:pPr>
    </w:p>
    <w:p w14:paraId="13216688" w14:textId="01257D79" w:rsidR="00C32916" w:rsidRPr="00BD3B21" w:rsidRDefault="00C32916" w:rsidP="00155F22">
      <w:pPr>
        <w:jc w:val="both"/>
        <w:rPr>
          <w:rFonts w:ascii="Verdana" w:eastAsiaTheme="majorEastAsia" w:hAnsi="Verdana" w:cs="Arial"/>
          <w:sz w:val="22"/>
          <w:szCs w:val="22"/>
        </w:rPr>
      </w:pPr>
      <w:r w:rsidRPr="00BD3B21">
        <w:rPr>
          <w:rFonts w:ascii="Verdana" w:eastAsiaTheme="majorEastAsia" w:hAnsi="Verdana" w:cs="Arial"/>
          <w:sz w:val="22"/>
          <w:szCs w:val="22"/>
        </w:rPr>
        <w:lastRenderedPageBreak/>
        <w:t>Este modelo se estructura en dos grandes dimensiones:</w:t>
      </w:r>
    </w:p>
    <w:p w14:paraId="7E12554F" w14:textId="77777777" w:rsidR="00455C3F" w:rsidRPr="00957766" w:rsidRDefault="00455C3F" w:rsidP="00155F22">
      <w:pPr>
        <w:jc w:val="both"/>
        <w:rPr>
          <w:rFonts w:ascii="Verdana" w:eastAsiaTheme="majorEastAsia" w:hAnsi="Verdana" w:cs="Arial"/>
          <w:sz w:val="22"/>
          <w:szCs w:val="22"/>
        </w:rPr>
      </w:pPr>
    </w:p>
    <w:p w14:paraId="6154A461" w14:textId="77777777" w:rsidR="00C32916" w:rsidRDefault="00C32916" w:rsidP="00A27AA5">
      <w:pPr>
        <w:numPr>
          <w:ilvl w:val="0"/>
          <w:numId w:val="12"/>
        </w:numPr>
        <w:jc w:val="both"/>
        <w:rPr>
          <w:rFonts w:ascii="Verdana" w:eastAsiaTheme="majorEastAsia" w:hAnsi="Verdana" w:cs="Arial"/>
          <w:sz w:val="22"/>
          <w:szCs w:val="22"/>
        </w:rPr>
      </w:pPr>
      <w:r w:rsidRPr="00957766">
        <w:rPr>
          <w:rFonts w:ascii="Verdana" w:eastAsiaTheme="majorEastAsia" w:hAnsi="Verdana" w:cs="Arial"/>
          <w:sz w:val="22"/>
          <w:szCs w:val="22"/>
        </w:rPr>
        <w:t xml:space="preserve">Requisitos Funcionales (RF): describen </w:t>
      </w:r>
      <w:r w:rsidRPr="00957766">
        <w:rPr>
          <w:rFonts w:ascii="Verdana" w:eastAsiaTheme="majorEastAsia" w:hAnsi="Verdana" w:cs="Arial"/>
          <w:i/>
          <w:iCs/>
          <w:sz w:val="22"/>
          <w:szCs w:val="22"/>
        </w:rPr>
        <w:t>qué debe hacer el sistema</w:t>
      </w:r>
      <w:r w:rsidRPr="00957766">
        <w:rPr>
          <w:rFonts w:ascii="Verdana" w:eastAsiaTheme="majorEastAsia" w:hAnsi="Verdana" w:cs="Arial"/>
          <w:sz w:val="22"/>
          <w:szCs w:val="22"/>
        </w:rPr>
        <w:t>, abarcando la captura documental multicanal, clasificación automática con base en TRD/TVD, administración de metadatos (ISO 23081), conformación de expedientes electrónicos, versionamiento, flujos de trabajo, firma digital y electrónica, interoperabilidad con servicios ciudadanos digitales y alertas de disposición final.</w:t>
      </w:r>
    </w:p>
    <w:p w14:paraId="7C9AC5DD" w14:textId="77777777" w:rsidR="0043496B" w:rsidRPr="00957766" w:rsidRDefault="0043496B" w:rsidP="0043496B">
      <w:pPr>
        <w:ind w:left="720"/>
        <w:jc w:val="both"/>
        <w:rPr>
          <w:rFonts w:ascii="Verdana" w:eastAsiaTheme="majorEastAsia" w:hAnsi="Verdana" w:cs="Arial"/>
          <w:sz w:val="22"/>
          <w:szCs w:val="22"/>
        </w:rPr>
      </w:pPr>
    </w:p>
    <w:p w14:paraId="04DFB369" w14:textId="77777777" w:rsidR="00C32916" w:rsidRDefault="00C32916" w:rsidP="00A27AA5">
      <w:pPr>
        <w:numPr>
          <w:ilvl w:val="0"/>
          <w:numId w:val="12"/>
        </w:numPr>
        <w:jc w:val="both"/>
        <w:rPr>
          <w:rFonts w:ascii="Verdana" w:eastAsiaTheme="majorEastAsia" w:hAnsi="Verdana" w:cs="Arial"/>
          <w:sz w:val="22"/>
          <w:szCs w:val="22"/>
        </w:rPr>
      </w:pPr>
      <w:r w:rsidRPr="00957766">
        <w:rPr>
          <w:rFonts w:ascii="Verdana" w:eastAsiaTheme="majorEastAsia" w:hAnsi="Verdana" w:cs="Arial"/>
          <w:sz w:val="22"/>
          <w:szCs w:val="22"/>
        </w:rPr>
        <w:t xml:space="preserve">Requisitos No Funcionales (RNF): precisan </w:t>
      </w:r>
      <w:r w:rsidRPr="00957766">
        <w:rPr>
          <w:rFonts w:ascii="Verdana" w:eastAsiaTheme="majorEastAsia" w:hAnsi="Verdana" w:cs="Arial"/>
          <w:i/>
          <w:iCs/>
          <w:sz w:val="22"/>
          <w:szCs w:val="22"/>
        </w:rPr>
        <w:t>cómo debe hacerlo</w:t>
      </w:r>
      <w:r w:rsidRPr="00957766">
        <w:rPr>
          <w:rFonts w:ascii="Verdana" w:eastAsiaTheme="majorEastAsia" w:hAnsi="Verdana" w:cs="Arial"/>
          <w:sz w:val="22"/>
          <w:szCs w:val="22"/>
        </w:rPr>
        <w:t>, estableciendo parámetros de calidad, seguridad, rendimiento, escalabilidad, usabilidad, accesibilidad, interoperabilidad y preservación digital (alineados con normas como ISO 27001, ISO 14721 – OAIS y WCAG 2.1).</w:t>
      </w:r>
    </w:p>
    <w:p w14:paraId="3628860A" w14:textId="77777777" w:rsidR="002F20AD" w:rsidRDefault="002F20AD" w:rsidP="002F20AD">
      <w:pPr>
        <w:ind w:left="720"/>
        <w:jc w:val="both"/>
        <w:rPr>
          <w:rFonts w:ascii="Verdana" w:eastAsiaTheme="majorEastAsia" w:hAnsi="Verdana" w:cs="Arial"/>
          <w:sz w:val="22"/>
          <w:szCs w:val="22"/>
        </w:rPr>
      </w:pPr>
    </w:p>
    <w:p w14:paraId="1D234C72" w14:textId="523EF170" w:rsidR="00FB6B19" w:rsidRDefault="00FB6B19" w:rsidP="00155F22">
      <w:pPr>
        <w:jc w:val="both"/>
        <w:rPr>
          <w:rFonts w:ascii="Verdana" w:eastAsiaTheme="majorEastAsia" w:hAnsi="Verdana" w:cs="Arial"/>
          <w:sz w:val="22"/>
          <w:szCs w:val="22"/>
        </w:rPr>
      </w:pPr>
      <w:r w:rsidRPr="00957766">
        <w:rPr>
          <w:rFonts w:ascii="Verdana" w:eastAsiaTheme="majorEastAsia" w:hAnsi="Verdana" w:cs="Arial"/>
          <w:sz w:val="22"/>
          <w:szCs w:val="22"/>
        </w:rPr>
        <w:t>El MoReq de la Superintendencia de Sociedades se articula directamente con los instrumentos archivísticos institucionales —TRD, TVD, PINAR, Sistema Integrado de Conservación (SIC) y Manual del Sistema de Información Documental (SID)— y con los lineamientos de Gobierno Digital y el Modelo Integrado de Planeación y Gestión (MIPG).</w:t>
      </w:r>
    </w:p>
    <w:p w14:paraId="777187EF" w14:textId="77777777" w:rsidR="00155F22" w:rsidRPr="00957766" w:rsidRDefault="00155F22" w:rsidP="00155F22">
      <w:pPr>
        <w:jc w:val="both"/>
        <w:rPr>
          <w:rFonts w:ascii="Verdana" w:eastAsiaTheme="majorEastAsia" w:hAnsi="Verdana" w:cs="Arial"/>
          <w:sz w:val="22"/>
          <w:szCs w:val="22"/>
        </w:rPr>
      </w:pPr>
    </w:p>
    <w:p w14:paraId="6E386FD4" w14:textId="77777777" w:rsidR="00FB6B19" w:rsidRPr="00957766" w:rsidRDefault="00FB6B19" w:rsidP="00155F22">
      <w:pPr>
        <w:jc w:val="both"/>
        <w:rPr>
          <w:rFonts w:ascii="Verdana" w:eastAsiaTheme="majorEastAsia" w:hAnsi="Verdana" w:cs="Arial"/>
          <w:sz w:val="22"/>
          <w:szCs w:val="22"/>
        </w:rPr>
      </w:pPr>
      <w:r w:rsidRPr="00957766">
        <w:rPr>
          <w:rFonts w:ascii="Verdana" w:eastAsiaTheme="majorEastAsia" w:hAnsi="Verdana" w:cs="Arial"/>
          <w:sz w:val="22"/>
          <w:szCs w:val="22"/>
        </w:rPr>
        <w:t>En este sentido, el MoReq no es un simple compendio de requerimientos técnicos, sino un instrumento estratégico que habilita la transformación digital, la modernización administrativa y la transparencia institucional, consolidando un ecosistema documental electrónico confiable y alineado con la normatividad vigente del Archivo General de la Nación y con estándares internacionales de gestión documental y seguridad de la información.</w:t>
      </w:r>
    </w:p>
    <w:p w14:paraId="1952AE8C" w14:textId="77777777" w:rsidR="00FB6B19" w:rsidRDefault="00FB6B19" w:rsidP="00EF6B1A">
      <w:pPr>
        <w:jc w:val="both"/>
        <w:rPr>
          <w:rFonts w:ascii="Verdana" w:hAnsi="Verdana" w:cs="Arial"/>
          <w:color w:val="FF0000"/>
          <w:sz w:val="22"/>
          <w:szCs w:val="22"/>
        </w:rPr>
      </w:pPr>
    </w:p>
    <w:p w14:paraId="03D07C63" w14:textId="201C0D83" w:rsidR="00FB6B19" w:rsidRPr="00155F22" w:rsidRDefault="00C0258E" w:rsidP="00155F22">
      <w:pPr>
        <w:jc w:val="both"/>
        <w:rPr>
          <w:rFonts w:ascii="Verdana" w:hAnsi="Verdana" w:cs="Arial"/>
          <w:b/>
          <w:bCs/>
          <w:sz w:val="22"/>
          <w:szCs w:val="22"/>
        </w:rPr>
      </w:pPr>
      <w:r>
        <w:rPr>
          <w:rFonts w:ascii="Verdana" w:hAnsi="Verdana" w:cs="Arial"/>
          <w:b/>
          <w:bCs/>
          <w:sz w:val="22"/>
          <w:szCs w:val="22"/>
        </w:rPr>
        <w:t xml:space="preserve">5.4. </w:t>
      </w:r>
      <w:r w:rsidR="00246B0F" w:rsidRPr="00155F22">
        <w:rPr>
          <w:rFonts w:ascii="Verdana" w:hAnsi="Verdana" w:cs="Arial"/>
          <w:b/>
          <w:bCs/>
          <w:sz w:val="22"/>
          <w:szCs w:val="22"/>
        </w:rPr>
        <w:t>Principios Rectores</w:t>
      </w:r>
    </w:p>
    <w:p w14:paraId="2DA0EF0C" w14:textId="77777777" w:rsidR="00F257A1" w:rsidRDefault="00F257A1" w:rsidP="00155F22">
      <w:pPr>
        <w:jc w:val="both"/>
        <w:rPr>
          <w:rFonts w:ascii="Verdana" w:hAnsi="Verdana" w:cs="Arial"/>
          <w:sz w:val="22"/>
          <w:szCs w:val="22"/>
        </w:rPr>
      </w:pPr>
    </w:p>
    <w:p w14:paraId="0F9499D1" w14:textId="4AE2319F" w:rsidR="00F257A1" w:rsidRPr="00C0258E" w:rsidRDefault="00246B0F" w:rsidP="00A27AA5">
      <w:pPr>
        <w:pStyle w:val="Prrafodelista"/>
        <w:numPr>
          <w:ilvl w:val="0"/>
          <w:numId w:val="29"/>
        </w:numPr>
        <w:jc w:val="both"/>
        <w:rPr>
          <w:rFonts w:ascii="Verdana" w:hAnsi="Verdana" w:cs="Arial"/>
          <w:b/>
          <w:bCs/>
          <w:sz w:val="22"/>
          <w:szCs w:val="22"/>
        </w:rPr>
      </w:pPr>
      <w:r w:rsidRPr="00C0258E">
        <w:rPr>
          <w:rFonts w:ascii="Verdana" w:hAnsi="Verdana" w:cs="Arial"/>
          <w:b/>
          <w:bCs/>
          <w:sz w:val="22"/>
          <w:szCs w:val="22"/>
        </w:rPr>
        <w:t>Legalidad y cumplimiento normativo</w:t>
      </w:r>
    </w:p>
    <w:p w14:paraId="57389C1F" w14:textId="77777777" w:rsidR="00246B0F" w:rsidRPr="00957766" w:rsidRDefault="00246B0F" w:rsidP="00155F22">
      <w:pPr>
        <w:jc w:val="both"/>
        <w:rPr>
          <w:rFonts w:ascii="Verdana" w:hAnsi="Verdana" w:cs="Arial"/>
          <w:sz w:val="22"/>
          <w:szCs w:val="22"/>
        </w:rPr>
      </w:pPr>
      <w:r w:rsidRPr="00957766">
        <w:rPr>
          <w:rFonts w:ascii="Verdana" w:hAnsi="Verdana" w:cs="Arial"/>
          <w:sz w:val="22"/>
          <w:szCs w:val="22"/>
        </w:rPr>
        <w:t>Todas las actividades relacionadas con la gestión documental se desarrollan en estricto apego a la Ley General de Archivos (Ley 594 de 2000), al Acuerdo 001 de 2024 del Archivo General de la Nación, al Decreto 620 de 2020, y demás normas nacionales e internacionales aplicables. Esto garantiza que la documentación electrónica tenga plena validez jurídica, probatoria y administrativa.</w:t>
      </w:r>
    </w:p>
    <w:p w14:paraId="60BE764A" w14:textId="77777777" w:rsidR="00246B0F" w:rsidRDefault="00246B0F" w:rsidP="00155F22">
      <w:pPr>
        <w:jc w:val="both"/>
        <w:rPr>
          <w:rFonts w:ascii="Verdana" w:hAnsi="Verdana" w:cs="Arial"/>
          <w:sz w:val="22"/>
          <w:szCs w:val="22"/>
        </w:rPr>
      </w:pPr>
    </w:p>
    <w:p w14:paraId="03494654" w14:textId="1A4C0A03" w:rsidR="00246B0F" w:rsidRPr="00C0258E" w:rsidRDefault="00246B0F" w:rsidP="00A27AA5">
      <w:pPr>
        <w:pStyle w:val="Prrafodelista"/>
        <w:numPr>
          <w:ilvl w:val="0"/>
          <w:numId w:val="29"/>
        </w:numPr>
        <w:jc w:val="both"/>
        <w:rPr>
          <w:rFonts w:ascii="Verdana" w:hAnsi="Verdana" w:cs="Arial"/>
          <w:b/>
          <w:bCs/>
          <w:sz w:val="22"/>
          <w:szCs w:val="22"/>
        </w:rPr>
      </w:pPr>
      <w:r w:rsidRPr="00C0258E">
        <w:rPr>
          <w:rFonts w:ascii="Verdana" w:hAnsi="Verdana" w:cs="Arial"/>
          <w:b/>
          <w:bCs/>
          <w:sz w:val="22"/>
          <w:szCs w:val="22"/>
        </w:rPr>
        <w:t>Transparencia y acceso a la información:</w:t>
      </w:r>
    </w:p>
    <w:p w14:paraId="51A7BF4B" w14:textId="77777777" w:rsidR="00246B0F" w:rsidRDefault="00246B0F" w:rsidP="00155F22">
      <w:pPr>
        <w:jc w:val="both"/>
        <w:rPr>
          <w:rFonts w:ascii="Verdana" w:hAnsi="Verdana" w:cs="Arial"/>
          <w:sz w:val="22"/>
          <w:szCs w:val="22"/>
        </w:rPr>
      </w:pPr>
      <w:r w:rsidRPr="007F2346">
        <w:rPr>
          <w:rFonts w:ascii="Verdana" w:hAnsi="Verdana" w:cs="Arial"/>
          <w:sz w:val="22"/>
          <w:szCs w:val="22"/>
        </w:rPr>
        <w:t>La gestión documental debe facilitar el acceso ágil, oportuno y confiable a la información pública, en concordancia con la Ley 1712 de 2014 (Ley de Transparencia) y con las políticas de Gobierno Abierto y Gobierno Digital. Este principio fortalece la rendición de cuentas y la confianza de la ciudadanía en la Entidad.</w:t>
      </w:r>
    </w:p>
    <w:p w14:paraId="021ABD74" w14:textId="77777777" w:rsidR="00F2157E" w:rsidRDefault="00F2157E" w:rsidP="00155F22">
      <w:pPr>
        <w:jc w:val="both"/>
        <w:rPr>
          <w:rFonts w:ascii="Verdana" w:hAnsi="Verdana" w:cs="Arial"/>
          <w:sz w:val="22"/>
          <w:szCs w:val="22"/>
        </w:rPr>
      </w:pPr>
    </w:p>
    <w:p w14:paraId="548187AC" w14:textId="77777777" w:rsidR="00FA09D8" w:rsidRPr="007F2346" w:rsidRDefault="00FA09D8" w:rsidP="00155F22">
      <w:pPr>
        <w:jc w:val="both"/>
        <w:rPr>
          <w:rFonts w:ascii="Verdana" w:hAnsi="Verdana" w:cs="Arial"/>
          <w:sz w:val="22"/>
          <w:szCs w:val="22"/>
        </w:rPr>
      </w:pPr>
    </w:p>
    <w:p w14:paraId="3EF486C4" w14:textId="77777777" w:rsidR="00246B0F" w:rsidRDefault="00246B0F" w:rsidP="00155F22">
      <w:pPr>
        <w:jc w:val="both"/>
        <w:rPr>
          <w:rFonts w:ascii="Verdana" w:hAnsi="Verdana" w:cs="Arial"/>
          <w:sz w:val="22"/>
          <w:szCs w:val="22"/>
        </w:rPr>
      </w:pPr>
    </w:p>
    <w:p w14:paraId="22144374" w14:textId="1EDF5F5E" w:rsidR="00246B0F" w:rsidRPr="00C0258E" w:rsidRDefault="00246B0F" w:rsidP="00A27AA5">
      <w:pPr>
        <w:pStyle w:val="Prrafodelista"/>
        <w:numPr>
          <w:ilvl w:val="0"/>
          <w:numId w:val="29"/>
        </w:numPr>
        <w:jc w:val="both"/>
        <w:rPr>
          <w:rFonts w:ascii="Verdana" w:hAnsi="Verdana" w:cs="Arial"/>
          <w:sz w:val="22"/>
          <w:szCs w:val="22"/>
        </w:rPr>
      </w:pPr>
      <w:r w:rsidRPr="00C0258E">
        <w:rPr>
          <w:rFonts w:ascii="Verdana" w:hAnsi="Verdana" w:cs="Arial"/>
          <w:b/>
          <w:bCs/>
          <w:sz w:val="22"/>
          <w:szCs w:val="22"/>
        </w:rPr>
        <w:lastRenderedPageBreak/>
        <w:t>Autenticidad, integridad y trazabilidad documental</w:t>
      </w:r>
      <w:r w:rsidRPr="00C0258E">
        <w:rPr>
          <w:rFonts w:ascii="Verdana" w:hAnsi="Verdana" w:cs="Arial"/>
          <w:sz w:val="22"/>
          <w:szCs w:val="22"/>
        </w:rPr>
        <w:t>.</w:t>
      </w:r>
    </w:p>
    <w:p w14:paraId="1B0D1B8E" w14:textId="77777777" w:rsidR="00246B0F" w:rsidRPr="00BD3B21" w:rsidRDefault="00246B0F" w:rsidP="00155F22">
      <w:pPr>
        <w:jc w:val="both"/>
        <w:rPr>
          <w:rFonts w:ascii="Verdana" w:hAnsi="Verdana" w:cs="Arial"/>
          <w:sz w:val="22"/>
          <w:szCs w:val="22"/>
        </w:rPr>
      </w:pPr>
      <w:r w:rsidRPr="007F2346">
        <w:rPr>
          <w:rFonts w:ascii="Verdana" w:hAnsi="Verdana" w:cs="Arial"/>
          <w:sz w:val="22"/>
          <w:szCs w:val="22"/>
        </w:rPr>
        <w:t xml:space="preserve">Los documentos electrónicos deben conservar evidencias verificables de su origen, estructura y contexto, asegurando que su contenido no haya sido alterado. Cada acción </w:t>
      </w:r>
      <w:r w:rsidRPr="00BD3B21">
        <w:rPr>
          <w:rFonts w:ascii="Verdana" w:hAnsi="Verdana" w:cs="Arial"/>
          <w:sz w:val="22"/>
          <w:szCs w:val="22"/>
        </w:rPr>
        <w:t>sobre los documentos debe quedar registrada en pistas de auditoría inalterables, garantizando la trazabilidad a lo largo de todo su ciclo de vida.</w:t>
      </w:r>
    </w:p>
    <w:p w14:paraId="784564BF" w14:textId="77777777" w:rsidR="00246B0F" w:rsidRPr="00BD3B21" w:rsidRDefault="00246B0F" w:rsidP="00155F22">
      <w:pPr>
        <w:jc w:val="both"/>
        <w:rPr>
          <w:rFonts w:ascii="Verdana" w:hAnsi="Verdana" w:cs="Arial"/>
          <w:sz w:val="22"/>
          <w:szCs w:val="22"/>
        </w:rPr>
      </w:pPr>
    </w:p>
    <w:p w14:paraId="5BEC8320" w14:textId="77777777" w:rsidR="008A6BA7" w:rsidRPr="00D6575C" w:rsidRDefault="008A6BA7" w:rsidP="00A27AA5">
      <w:pPr>
        <w:pStyle w:val="Prrafodelista"/>
        <w:numPr>
          <w:ilvl w:val="0"/>
          <w:numId w:val="29"/>
        </w:numPr>
        <w:jc w:val="both"/>
        <w:rPr>
          <w:rFonts w:ascii="Verdana" w:hAnsi="Verdana" w:cs="Arial"/>
          <w:sz w:val="22"/>
          <w:szCs w:val="22"/>
        </w:rPr>
      </w:pPr>
      <w:r w:rsidRPr="00D6575C">
        <w:rPr>
          <w:rFonts w:ascii="Verdana" w:hAnsi="Verdana" w:cs="Arial"/>
          <w:b/>
          <w:bCs/>
          <w:sz w:val="22"/>
          <w:szCs w:val="22"/>
        </w:rPr>
        <w:t>Seguridad y confidencialidad de la Información</w:t>
      </w:r>
      <w:r w:rsidRPr="00D6575C">
        <w:rPr>
          <w:rFonts w:ascii="Verdana" w:hAnsi="Verdana" w:cs="Arial"/>
          <w:sz w:val="22"/>
          <w:szCs w:val="22"/>
        </w:rPr>
        <w:t>:</w:t>
      </w:r>
    </w:p>
    <w:p w14:paraId="4C4353C3" w14:textId="46A9060B" w:rsidR="008D63E0" w:rsidRPr="00D6575C" w:rsidRDefault="008A6BA7" w:rsidP="00D73563">
      <w:pPr>
        <w:jc w:val="both"/>
        <w:rPr>
          <w:rFonts w:ascii="Verdana" w:hAnsi="Verdana" w:cs="Arial"/>
          <w:sz w:val="22"/>
          <w:szCs w:val="22"/>
        </w:rPr>
      </w:pPr>
      <w:r w:rsidRPr="00D6575C">
        <w:rPr>
          <w:rFonts w:ascii="Verdana" w:hAnsi="Verdana" w:cs="Arial"/>
          <w:sz w:val="22"/>
          <w:szCs w:val="22"/>
        </w:rPr>
        <w:t>Se deben aplicar mecanismos de seguridad física, lógica y administrativa que protejan la información contra accesos no autorizados, pérdida, manipulación o destrucción. Esto incluye el cumplimiento</w:t>
      </w:r>
      <w:r w:rsidR="00F3735E" w:rsidRPr="00D6575C">
        <w:rPr>
          <w:rFonts w:ascii="Verdana" w:hAnsi="Verdana" w:cs="Arial"/>
          <w:sz w:val="22"/>
          <w:szCs w:val="22"/>
        </w:rPr>
        <w:t xml:space="preserve"> de los lineamientos establecidos </w:t>
      </w:r>
      <w:r w:rsidR="00551EF8" w:rsidRPr="00D6575C">
        <w:rPr>
          <w:rFonts w:ascii="Verdana" w:hAnsi="Verdana" w:cs="Arial"/>
          <w:sz w:val="22"/>
          <w:szCs w:val="22"/>
        </w:rPr>
        <w:t xml:space="preserve">en cuanto a </w:t>
      </w:r>
      <w:r w:rsidR="00BC1024" w:rsidRPr="00D6575C">
        <w:rPr>
          <w:rFonts w:ascii="Verdana" w:hAnsi="Verdana" w:cs="Arial"/>
          <w:sz w:val="22"/>
          <w:szCs w:val="22"/>
        </w:rPr>
        <w:t>seguridad, confidencialidad</w:t>
      </w:r>
      <w:r w:rsidR="00551EF8" w:rsidRPr="00D6575C">
        <w:rPr>
          <w:rFonts w:ascii="Verdana" w:hAnsi="Verdana" w:cs="Arial"/>
          <w:sz w:val="22"/>
          <w:szCs w:val="22"/>
        </w:rPr>
        <w:t xml:space="preserve"> y protección de datos personales, establecidos en </w:t>
      </w:r>
      <w:r w:rsidRPr="00D6575C">
        <w:rPr>
          <w:rFonts w:ascii="Verdana" w:hAnsi="Verdana" w:cs="Arial"/>
          <w:sz w:val="22"/>
          <w:szCs w:val="22"/>
        </w:rPr>
        <w:t>estándares internacionales de seguridad y la aplicación de políticas de confidencialidad y protección de datos personales</w:t>
      </w:r>
      <w:r w:rsidR="004B67B5" w:rsidRPr="00D6575C">
        <w:rPr>
          <w:rFonts w:ascii="Verdana" w:hAnsi="Verdana" w:cs="Arial"/>
          <w:sz w:val="22"/>
          <w:szCs w:val="22"/>
        </w:rPr>
        <w:t xml:space="preserve">, en cumplimiento de la </w:t>
      </w:r>
      <w:r w:rsidR="00F3735E" w:rsidRPr="00D6575C">
        <w:rPr>
          <w:rFonts w:ascii="Verdana" w:hAnsi="Verdana" w:cs="Arial"/>
          <w:sz w:val="22"/>
          <w:szCs w:val="22"/>
        </w:rPr>
        <w:t>Política de Gobierno Digital</w:t>
      </w:r>
      <w:r w:rsidR="008D63E0" w:rsidRPr="00D6575C">
        <w:rPr>
          <w:rFonts w:ascii="Verdana" w:hAnsi="Verdana" w:cs="Arial"/>
          <w:sz w:val="22"/>
          <w:szCs w:val="22"/>
        </w:rPr>
        <w:t xml:space="preserve"> enmarcada</w:t>
      </w:r>
      <w:r w:rsidR="00F3735E" w:rsidRPr="00D6575C">
        <w:rPr>
          <w:rFonts w:ascii="Verdana" w:hAnsi="Verdana" w:cs="Arial"/>
          <w:sz w:val="22"/>
          <w:szCs w:val="22"/>
        </w:rPr>
        <w:t xml:space="preserve"> </w:t>
      </w:r>
      <w:r w:rsidR="008D63E0" w:rsidRPr="00D6575C">
        <w:rPr>
          <w:rFonts w:ascii="Verdana" w:hAnsi="Verdana" w:cs="Arial"/>
          <w:sz w:val="22"/>
          <w:szCs w:val="22"/>
        </w:rPr>
        <w:t xml:space="preserve">bajo el Decreto 767 de 2022, la resolución 500 de 2021 de Mintic, </w:t>
      </w:r>
      <w:r w:rsidR="00F3735E" w:rsidRPr="00D6575C">
        <w:rPr>
          <w:rFonts w:ascii="Verdana" w:hAnsi="Verdana" w:cs="Arial"/>
          <w:sz w:val="22"/>
          <w:szCs w:val="22"/>
        </w:rPr>
        <w:t xml:space="preserve"> y la actualización del</w:t>
      </w:r>
      <w:hyperlink r:id="rId12" w:history="1">
        <w:r w:rsidR="00F3735E" w:rsidRPr="00D6575C">
          <w:rPr>
            <w:rFonts w:ascii="Verdana" w:hAnsi="Verdana"/>
            <w:sz w:val="22"/>
            <w:szCs w:val="22"/>
          </w:rPr>
          <w:t> </w:t>
        </w:r>
        <w:r w:rsidR="00BB1827" w:rsidRPr="00D6575C">
          <w:rPr>
            <w:rFonts w:ascii="Verdana" w:hAnsi="Verdana" w:cs="Arial"/>
            <w:sz w:val="22"/>
            <w:szCs w:val="22"/>
          </w:rPr>
          <w:t>Modelo de Seguridad y Privacidad de la Información</w:t>
        </w:r>
        <w:r w:rsidR="008D63E0" w:rsidRPr="00D6575C">
          <w:rPr>
            <w:rFonts w:ascii="Verdana" w:hAnsi="Verdana" w:cs="Arial"/>
            <w:sz w:val="22"/>
            <w:szCs w:val="22"/>
          </w:rPr>
          <w:t xml:space="preserve"> </w:t>
        </w:r>
        <w:r w:rsidR="00F3735E" w:rsidRPr="00D6575C">
          <w:rPr>
            <w:rFonts w:ascii="Verdana" w:hAnsi="Verdana"/>
            <w:sz w:val="22"/>
            <w:szCs w:val="22"/>
          </w:rPr>
          <w:t xml:space="preserve"> mediante la Resolución 2277 de 2025</w:t>
        </w:r>
      </w:hyperlink>
      <w:r w:rsidR="00F3735E" w:rsidRPr="00D6575C">
        <w:rPr>
          <w:rFonts w:ascii="Verdana" w:hAnsi="Verdana" w:cs="Arial"/>
          <w:sz w:val="22"/>
          <w:szCs w:val="22"/>
        </w:rPr>
        <w:t> , alineado con la</w:t>
      </w:r>
      <w:hyperlink r:id="rId13" w:history="1">
        <w:r w:rsidR="00F3735E" w:rsidRPr="00D6575C">
          <w:rPr>
            <w:rFonts w:ascii="Verdana" w:hAnsi="Verdana"/>
            <w:sz w:val="22"/>
            <w:szCs w:val="22"/>
          </w:rPr>
          <w:t> Resolución 1519 de 2020</w:t>
        </w:r>
      </w:hyperlink>
      <w:r w:rsidR="00F3735E" w:rsidRPr="00D6575C">
        <w:rPr>
          <w:rFonts w:ascii="Verdana" w:hAnsi="Verdana" w:cs="Arial"/>
          <w:sz w:val="22"/>
          <w:szCs w:val="22"/>
        </w:rPr>
        <w:t xml:space="preserve"> para la transparencia y accesibilidad. </w:t>
      </w:r>
    </w:p>
    <w:p w14:paraId="38E2C988" w14:textId="77777777" w:rsidR="008D63E0" w:rsidRPr="00BD3B21" w:rsidRDefault="008D63E0" w:rsidP="00D73563">
      <w:pPr>
        <w:jc w:val="both"/>
        <w:rPr>
          <w:rFonts w:ascii="Verdana" w:hAnsi="Verdana" w:cs="Arial"/>
          <w:sz w:val="22"/>
          <w:szCs w:val="22"/>
          <w:u w:val="single"/>
        </w:rPr>
      </w:pPr>
    </w:p>
    <w:p w14:paraId="1A465B2A" w14:textId="3A66DA2F" w:rsidR="008A6BA7" w:rsidRPr="00BD3B21" w:rsidRDefault="008A6BA7" w:rsidP="00A27AA5">
      <w:pPr>
        <w:pStyle w:val="Prrafodelista"/>
        <w:numPr>
          <w:ilvl w:val="0"/>
          <w:numId w:val="29"/>
        </w:numPr>
        <w:jc w:val="both"/>
        <w:rPr>
          <w:rFonts w:ascii="Verdana" w:hAnsi="Verdana" w:cs="Arial"/>
          <w:sz w:val="22"/>
          <w:szCs w:val="22"/>
        </w:rPr>
      </w:pPr>
      <w:r w:rsidRPr="00BD3B21">
        <w:rPr>
          <w:rFonts w:ascii="Verdana" w:hAnsi="Verdana" w:cs="Arial"/>
          <w:b/>
          <w:bCs/>
          <w:sz w:val="22"/>
          <w:szCs w:val="22"/>
        </w:rPr>
        <w:t>Interoperabilidad y estandarización</w:t>
      </w:r>
      <w:r w:rsidRPr="00BD3B21">
        <w:rPr>
          <w:rFonts w:ascii="Verdana" w:hAnsi="Verdana" w:cs="Arial"/>
          <w:sz w:val="22"/>
          <w:szCs w:val="22"/>
        </w:rPr>
        <w:t>:</w:t>
      </w:r>
    </w:p>
    <w:p w14:paraId="18242830" w14:textId="77777777" w:rsidR="008A6BA7" w:rsidRPr="00BD3B21" w:rsidRDefault="008A6BA7" w:rsidP="00D73563">
      <w:pPr>
        <w:jc w:val="both"/>
        <w:rPr>
          <w:rFonts w:ascii="Verdana" w:hAnsi="Verdana" w:cs="Arial"/>
          <w:sz w:val="22"/>
          <w:szCs w:val="22"/>
        </w:rPr>
      </w:pPr>
      <w:r w:rsidRPr="00BD3B21">
        <w:rPr>
          <w:rFonts w:ascii="Verdana" w:hAnsi="Verdana" w:cs="Arial"/>
          <w:sz w:val="22"/>
          <w:szCs w:val="22"/>
        </w:rPr>
        <w:t>El modelo promueve el uso de estándares abiertos y reconocidos internacionalmente (como ISO 15489, ISO 30300, MoReq, OAIS, PREMIS), garantizando que los sistemas documentales de la Entidad se comuniquen entre sí y con otras plataformas gubernamentales de forma transparente, segura y eficiente.</w:t>
      </w:r>
    </w:p>
    <w:p w14:paraId="6B79819E" w14:textId="77777777" w:rsidR="00246B0F" w:rsidRPr="00BD3B21" w:rsidRDefault="00246B0F" w:rsidP="00155F22">
      <w:pPr>
        <w:jc w:val="both"/>
        <w:rPr>
          <w:rFonts w:ascii="Verdana" w:hAnsi="Verdana" w:cs="Arial"/>
          <w:sz w:val="22"/>
          <w:szCs w:val="22"/>
        </w:rPr>
      </w:pPr>
    </w:p>
    <w:p w14:paraId="3942E4B1" w14:textId="7A7780F0" w:rsidR="00950362" w:rsidRPr="00BD3B21" w:rsidRDefault="00950362" w:rsidP="00A27AA5">
      <w:pPr>
        <w:pStyle w:val="Prrafodelista"/>
        <w:numPr>
          <w:ilvl w:val="0"/>
          <w:numId w:val="29"/>
        </w:numPr>
        <w:jc w:val="both"/>
        <w:rPr>
          <w:rFonts w:ascii="Verdana" w:hAnsi="Verdana" w:cs="Arial"/>
          <w:b/>
          <w:bCs/>
          <w:sz w:val="22"/>
          <w:szCs w:val="22"/>
        </w:rPr>
      </w:pPr>
      <w:r w:rsidRPr="00BD3B21">
        <w:rPr>
          <w:rFonts w:ascii="Verdana" w:hAnsi="Verdana" w:cs="Arial"/>
          <w:b/>
          <w:bCs/>
          <w:sz w:val="22"/>
          <w:szCs w:val="22"/>
        </w:rPr>
        <w:t>Preservación digital a largo plazo:</w:t>
      </w:r>
    </w:p>
    <w:p w14:paraId="564C1AF6" w14:textId="77777777" w:rsidR="00950362" w:rsidRPr="00BD3B21" w:rsidRDefault="00950362" w:rsidP="00155F22">
      <w:pPr>
        <w:jc w:val="both"/>
        <w:rPr>
          <w:rFonts w:ascii="Verdana" w:hAnsi="Verdana" w:cs="Arial"/>
          <w:sz w:val="22"/>
          <w:szCs w:val="22"/>
        </w:rPr>
      </w:pPr>
      <w:r w:rsidRPr="00BD3B21">
        <w:rPr>
          <w:rFonts w:ascii="Verdana" w:hAnsi="Verdana" w:cs="Arial"/>
          <w:sz w:val="22"/>
          <w:szCs w:val="22"/>
        </w:rPr>
        <w:t>Todo documento electrónico debe ser gestionado con la finalidad de asegurar su conservación, legibilidad y accesibilidad en el tiempo, independientemente de la obsolescencia tecnológica. Este principio responde al mandato de garantizar la memoria institucional y el acceso futuro a la información pública.</w:t>
      </w:r>
    </w:p>
    <w:p w14:paraId="516DD2E7" w14:textId="77777777" w:rsidR="00905977" w:rsidRPr="00BD3B21" w:rsidRDefault="00905977" w:rsidP="00155F22">
      <w:pPr>
        <w:jc w:val="both"/>
        <w:rPr>
          <w:rFonts w:ascii="Verdana" w:hAnsi="Verdana" w:cs="Arial"/>
          <w:b/>
          <w:bCs/>
          <w:sz w:val="22"/>
          <w:szCs w:val="22"/>
        </w:rPr>
      </w:pPr>
    </w:p>
    <w:p w14:paraId="40B34634" w14:textId="122FDE3F" w:rsidR="00950362" w:rsidRPr="00BD3B21" w:rsidRDefault="00950362" w:rsidP="00A27AA5">
      <w:pPr>
        <w:pStyle w:val="Prrafodelista"/>
        <w:numPr>
          <w:ilvl w:val="0"/>
          <w:numId w:val="29"/>
        </w:numPr>
        <w:jc w:val="both"/>
        <w:rPr>
          <w:rFonts w:ascii="Verdana" w:hAnsi="Verdana" w:cs="Arial"/>
          <w:b/>
          <w:bCs/>
          <w:sz w:val="22"/>
          <w:szCs w:val="22"/>
        </w:rPr>
      </w:pPr>
      <w:r w:rsidRPr="00BD3B21">
        <w:rPr>
          <w:rFonts w:ascii="Verdana" w:hAnsi="Verdana" w:cs="Arial"/>
          <w:b/>
          <w:bCs/>
          <w:sz w:val="22"/>
          <w:szCs w:val="22"/>
        </w:rPr>
        <w:t>Mejora continua y gestión del cambio:</w:t>
      </w:r>
    </w:p>
    <w:p w14:paraId="389915E1" w14:textId="77777777" w:rsidR="00950362" w:rsidRPr="00BD3B21" w:rsidRDefault="00950362" w:rsidP="00155F22">
      <w:pPr>
        <w:jc w:val="both"/>
        <w:rPr>
          <w:rFonts w:ascii="Verdana" w:hAnsi="Verdana" w:cs="Arial"/>
          <w:sz w:val="22"/>
          <w:szCs w:val="22"/>
        </w:rPr>
      </w:pPr>
      <w:r w:rsidRPr="00BD3B21">
        <w:rPr>
          <w:rFonts w:ascii="Verdana" w:hAnsi="Verdana" w:cs="Arial"/>
          <w:sz w:val="22"/>
          <w:szCs w:val="22"/>
        </w:rPr>
        <w:t>La gestión documental debe adaptarse de manera dinámica a los avances tecnológicos, a los cambios normativos y a las nuevas demandas ciudadanas. El MoReq se concibe como un instrumento vivo y evolutivo, sujeto a procesos de evaluación, retroalimentación y actualización permanente, fomentando la innovación y la eficiencia en la Entidad.</w:t>
      </w:r>
    </w:p>
    <w:p w14:paraId="6144D8B9" w14:textId="77777777" w:rsidR="0033287A" w:rsidRPr="00BD3B21" w:rsidRDefault="0033287A" w:rsidP="00155F22">
      <w:pPr>
        <w:jc w:val="both"/>
        <w:rPr>
          <w:rFonts w:ascii="Verdana" w:hAnsi="Verdana" w:cs="Arial"/>
          <w:sz w:val="22"/>
          <w:szCs w:val="22"/>
        </w:rPr>
      </w:pPr>
    </w:p>
    <w:p w14:paraId="7FE29B4F" w14:textId="7CFF1CDC" w:rsidR="00052CC7" w:rsidRPr="00BD3B21" w:rsidRDefault="00C0258E" w:rsidP="00155F22">
      <w:pPr>
        <w:jc w:val="both"/>
        <w:rPr>
          <w:rFonts w:ascii="Verdana" w:hAnsi="Verdana" w:cs="Arial"/>
          <w:b/>
          <w:bCs/>
          <w:sz w:val="22"/>
          <w:szCs w:val="22"/>
        </w:rPr>
      </w:pPr>
      <w:r w:rsidRPr="00BD3B21">
        <w:rPr>
          <w:rFonts w:ascii="Verdana" w:hAnsi="Verdana" w:cs="Arial"/>
          <w:b/>
          <w:bCs/>
          <w:sz w:val="22"/>
          <w:szCs w:val="22"/>
        </w:rPr>
        <w:t xml:space="preserve">5.5. </w:t>
      </w:r>
      <w:r w:rsidR="00176690" w:rsidRPr="00BD3B21">
        <w:rPr>
          <w:rFonts w:ascii="Verdana" w:hAnsi="Verdana" w:cs="Arial"/>
          <w:b/>
          <w:bCs/>
          <w:sz w:val="22"/>
          <w:szCs w:val="22"/>
        </w:rPr>
        <w:t>Metodología de Formulación del Modelo</w:t>
      </w:r>
    </w:p>
    <w:p w14:paraId="5F250DFC" w14:textId="14975A6D" w:rsidR="00176690" w:rsidRPr="00BD3B21" w:rsidRDefault="00176690" w:rsidP="00155F22">
      <w:pPr>
        <w:jc w:val="both"/>
        <w:rPr>
          <w:rFonts w:ascii="Verdana" w:hAnsi="Verdana" w:cs="Arial"/>
          <w:sz w:val="22"/>
          <w:szCs w:val="22"/>
        </w:rPr>
      </w:pPr>
      <w:r w:rsidRPr="00BD3B21">
        <w:rPr>
          <w:rFonts w:ascii="Verdana" w:hAnsi="Verdana" w:cs="Arial"/>
          <w:sz w:val="22"/>
          <w:szCs w:val="22"/>
        </w:rPr>
        <w:t xml:space="preserve">La formulación del Modelo de Requisitos para la Gestión de Documentos Electrónicos de Archivo (MoReq) 2025 de la Superintendencia de Sociedades se desarrolló bajo un enfoque técnico, normativo y metodológico alineado con la ISO 16175-2 (2020), la Guía del Archivo General de la Nación sobre el Modelo de Requisitos SGDEA </w:t>
      </w:r>
      <w:r w:rsidR="006F1097" w:rsidRPr="00BD3B21">
        <w:rPr>
          <w:rFonts w:ascii="Verdana" w:hAnsi="Verdana" w:cs="Arial"/>
          <w:sz w:val="22"/>
          <w:szCs w:val="22"/>
        </w:rPr>
        <w:t>(</w:t>
      </w:r>
      <w:r w:rsidRPr="00BD3B21">
        <w:rPr>
          <w:rFonts w:ascii="Verdana" w:hAnsi="Verdana" w:cs="Arial"/>
          <w:sz w:val="22"/>
          <w:szCs w:val="22"/>
        </w:rPr>
        <w:t xml:space="preserve">2019), el </w:t>
      </w:r>
      <w:r w:rsidRPr="00BD3B21">
        <w:rPr>
          <w:rFonts w:ascii="Verdana" w:hAnsi="Verdana" w:cs="Arial"/>
          <w:sz w:val="22"/>
          <w:szCs w:val="22"/>
        </w:rPr>
        <w:lastRenderedPageBreak/>
        <w:t>Acuerdo 001 de 2024, y los lineamientos del Modelo Integral de Gestión Documental y Archivos – MIGDA.</w:t>
      </w:r>
    </w:p>
    <w:p w14:paraId="71CFC125" w14:textId="77777777" w:rsidR="0060254F" w:rsidRPr="001108F8" w:rsidRDefault="0060254F" w:rsidP="00155F22">
      <w:pPr>
        <w:jc w:val="both"/>
        <w:rPr>
          <w:rFonts w:ascii="Verdana" w:hAnsi="Verdana" w:cs="Arial"/>
          <w:sz w:val="22"/>
          <w:szCs w:val="22"/>
        </w:rPr>
      </w:pPr>
    </w:p>
    <w:p w14:paraId="127B16A5" w14:textId="6205C5FE" w:rsidR="00176690" w:rsidRDefault="00C0258E" w:rsidP="00155F22">
      <w:pPr>
        <w:jc w:val="both"/>
        <w:rPr>
          <w:rFonts w:ascii="Verdana" w:hAnsi="Verdana" w:cs="Arial"/>
          <w:b/>
          <w:bCs/>
          <w:sz w:val="22"/>
          <w:szCs w:val="22"/>
        </w:rPr>
      </w:pPr>
      <w:r>
        <w:rPr>
          <w:rFonts w:ascii="Verdana" w:hAnsi="Verdana" w:cs="Arial"/>
          <w:b/>
          <w:bCs/>
          <w:sz w:val="22"/>
          <w:szCs w:val="22"/>
        </w:rPr>
        <w:t xml:space="preserve">5.5.1. </w:t>
      </w:r>
      <w:r w:rsidR="00842FDF" w:rsidRPr="001108F8">
        <w:rPr>
          <w:rFonts w:ascii="Verdana" w:hAnsi="Verdana" w:cs="Arial"/>
          <w:b/>
          <w:bCs/>
          <w:sz w:val="22"/>
          <w:szCs w:val="22"/>
        </w:rPr>
        <w:t>Fases de formulación</w:t>
      </w:r>
    </w:p>
    <w:p w14:paraId="4C156C1A" w14:textId="77777777" w:rsidR="00842FDF" w:rsidRDefault="00842FDF" w:rsidP="00155F22">
      <w:pPr>
        <w:jc w:val="both"/>
        <w:rPr>
          <w:rFonts w:ascii="Verdana" w:hAnsi="Verdana" w:cs="Arial"/>
          <w:b/>
          <w:bCs/>
          <w:sz w:val="22"/>
          <w:szCs w:val="22"/>
        </w:rPr>
      </w:pPr>
    </w:p>
    <w:p w14:paraId="45D63DE5" w14:textId="77777777" w:rsidR="00842FDF" w:rsidRPr="007A6090" w:rsidRDefault="00842FDF" w:rsidP="00A27AA5">
      <w:pPr>
        <w:pStyle w:val="Prrafodelista"/>
        <w:numPr>
          <w:ilvl w:val="0"/>
          <w:numId w:val="29"/>
        </w:numPr>
        <w:jc w:val="both"/>
        <w:rPr>
          <w:rFonts w:ascii="Verdana" w:hAnsi="Verdana" w:cs="Arial"/>
          <w:sz w:val="22"/>
          <w:szCs w:val="22"/>
        </w:rPr>
      </w:pPr>
      <w:r w:rsidRPr="007A6090">
        <w:rPr>
          <w:rFonts w:ascii="Verdana" w:hAnsi="Verdana" w:cs="Arial"/>
          <w:b/>
          <w:bCs/>
          <w:sz w:val="22"/>
          <w:szCs w:val="22"/>
        </w:rPr>
        <w:t>Levantamiento de información institucional y revisión de instrumentos archivísticos</w:t>
      </w:r>
    </w:p>
    <w:p w14:paraId="0C8E02C8" w14:textId="77777777" w:rsidR="00842FDF" w:rsidRPr="00842FDF" w:rsidRDefault="00842FDF" w:rsidP="00155F22">
      <w:pPr>
        <w:jc w:val="both"/>
      </w:pPr>
    </w:p>
    <w:p w14:paraId="16AA89D6" w14:textId="77777777" w:rsidR="00B66F54" w:rsidRDefault="00B66F54" w:rsidP="00155F22">
      <w:pPr>
        <w:jc w:val="both"/>
        <w:rPr>
          <w:rFonts w:ascii="Verdana" w:hAnsi="Verdana" w:cs="Arial"/>
          <w:sz w:val="22"/>
          <w:szCs w:val="22"/>
        </w:rPr>
      </w:pPr>
      <w:r w:rsidRPr="001108F8">
        <w:rPr>
          <w:rFonts w:ascii="Verdana" w:hAnsi="Verdana" w:cs="Arial"/>
          <w:sz w:val="22"/>
          <w:szCs w:val="22"/>
        </w:rPr>
        <w:t>Se inició con la recopilación y análisis de las Tablas de Retención Documental (TRD), Tablas de Valoración Documental (TVD) y el Plan Institucional de Archivos (PINAR 2025-2028), con el fin de identificar los procesos generadores de documentos electrónicos, su clasificación y los puntos críticos del ciclo de vida documental.</w:t>
      </w:r>
    </w:p>
    <w:p w14:paraId="252CF1C5" w14:textId="77777777" w:rsidR="001108F8" w:rsidRPr="001108F8" w:rsidRDefault="001108F8" w:rsidP="00FB4033">
      <w:pPr>
        <w:jc w:val="both"/>
        <w:rPr>
          <w:rFonts w:ascii="Verdana" w:hAnsi="Verdana" w:cs="Arial"/>
          <w:sz w:val="22"/>
          <w:szCs w:val="22"/>
        </w:rPr>
      </w:pPr>
    </w:p>
    <w:p w14:paraId="27769323" w14:textId="1E4DD2AC" w:rsidR="00B66F54" w:rsidRDefault="00B66F54" w:rsidP="00155F22">
      <w:pPr>
        <w:jc w:val="both"/>
        <w:rPr>
          <w:rFonts w:ascii="Verdana" w:hAnsi="Verdana" w:cs="Arial"/>
          <w:sz w:val="22"/>
          <w:szCs w:val="22"/>
        </w:rPr>
      </w:pPr>
      <w:r w:rsidRPr="001108F8">
        <w:rPr>
          <w:rFonts w:ascii="Verdana" w:hAnsi="Verdana" w:cs="Arial"/>
          <w:sz w:val="22"/>
          <w:szCs w:val="22"/>
        </w:rPr>
        <w:t>Este levantamiento permitió definir los flujos de producción, trámite, preservación y disposición final, así como los requerimientos técnicos del SGDEA GeDeSS y su interoperabilidad</w:t>
      </w:r>
      <w:r w:rsidR="00F503D6">
        <w:rPr>
          <w:rFonts w:ascii="Verdana" w:hAnsi="Verdana" w:cs="Arial"/>
          <w:sz w:val="22"/>
          <w:szCs w:val="22"/>
        </w:rPr>
        <w:t xml:space="preserve"> con otras aplicaciones.</w:t>
      </w:r>
    </w:p>
    <w:p w14:paraId="29C940C0" w14:textId="77777777" w:rsidR="00B66F54" w:rsidRDefault="00B66F54" w:rsidP="00C94CA4">
      <w:pPr>
        <w:jc w:val="both"/>
        <w:rPr>
          <w:rFonts w:ascii="Verdana" w:hAnsi="Verdana" w:cs="Arial"/>
          <w:color w:val="FF0000"/>
          <w:sz w:val="22"/>
          <w:szCs w:val="22"/>
        </w:rPr>
      </w:pPr>
    </w:p>
    <w:p w14:paraId="52158ED5" w14:textId="77777777" w:rsidR="00F503D6" w:rsidRDefault="00F503D6" w:rsidP="00C94CA4">
      <w:pPr>
        <w:jc w:val="both"/>
        <w:rPr>
          <w:rFonts w:ascii="Verdana" w:hAnsi="Verdana" w:cs="Arial"/>
          <w:color w:val="FF0000"/>
          <w:sz w:val="22"/>
          <w:szCs w:val="22"/>
          <w:lang w:val="es-ES_tradnl"/>
        </w:rPr>
      </w:pPr>
    </w:p>
    <w:p w14:paraId="20CE229D" w14:textId="59D185EE" w:rsidR="00CA6361" w:rsidRDefault="00914278" w:rsidP="00155F22">
      <w:pPr>
        <w:jc w:val="both"/>
        <w:rPr>
          <w:rFonts w:ascii="Verdana" w:hAnsi="Verdana" w:cs="Arial"/>
          <w:b/>
          <w:bCs/>
          <w:sz w:val="22"/>
          <w:szCs w:val="22"/>
        </w:rPr>
      </w:pPr>
      <w:r>
        <w:rPr>
          <w:rFonts w:ascii="Verdana" w:hAnsi="Verdana" w:cs="Arial"/>
          <w:b/>
          <w:bCs/>
          <w:sz w:val="22"/>
          <w:szCs w:val="22"/>
        </w:rPr>
        <w:t>5.5.</w:t>
      </w:r>
      <w:r w:rsidR="00446BE1">
        <w:rPr>
          <w:rFonts w:ascii="Verdana" w:hAnsi="Verdana" w:cs="Arial"/>
          <w:b/>
          <w:bCs/>
          <w:sz w:val="22"/>
          <w:szCs w:val="22"/>
        </w:rPr>
        <w:t>2</w:t>
      </w:r>
      <w:r>
        <w:rPr>
          <w:rFonts w:ascii="Verdana" w:hAnsi="Verdana" w:cs="Arial"/>
          <w:b/>
          <w:bCs/>
          <w:sz w:val="22"/>
          <w:szCs w:val="22"/>
        </w:rPr>
        <w:t xml:space="preserve">. </w:t>
      </w:r>
      <w:r w:rsidR="00CA6361" w:rsidRPr="00FA1FD2">
        <w:rPr>
          <w:rFonts w:ascii="Verdana" w:hAnsi="Verdana" w:cs="Arial"/>
          <w:b/>
          <w:bCs/>
          <w:sz w:val="22"/>
          <w:szCs w:val="22"/>
        </w:rPr>
        <w:t>Principios orientadores de la metodología</w:t>
      </w:r>
    </w:p>
    <w:p w14:paraId="0BEA9CF9" w14:textId="77777777" w:rsidR="00CA6361" w:rsidRDefault="00CA6361" w:rsidP="00155F22">
      <w:pPr>
        <w:jc w:val="both"/>
        <w:rPr>
          <w:rFonts w:ascii="Verdana" w:hAnsi="Verdana" w:cs="Arial"/>
          <w:b/>
          <w:bCs/>
          <w:sz w:val="22"/>
          <w:szCs w:val="22"/>
        </w:rPr>
      </w:pPr>
    </w:p>
    <w:p w14:paraId="25363356" w14:textId="77777777" w:rsidR="00CA6361" w:rsidRPr="00FA1FD2" w:rsidRDefault="00CA6361" w:rsidP="00A27AA5">
      <w:pPr>
        <w:pStyle w:val="Prrafodelista"/>
        <w:numPr>
          <w:ilvl w:val="0"/>
          <w:numId w:val="15"/>
        </w:numPr>
        <w:contextualSpacing/>
        <w:jc w:val="both"/>
        <w:rPr>
          <w:rFonts w:ascii="Verdana" w:hAnsi="Verdana" w:cs="Arial"/>
          <w:sz w:val="22"/>
          <w:szCs w:val="22"/>
        </w:rPr>
      </w:pPr>
      <w:r w:rsidRPr="00FA1FD2">
        <w:rPr>
          <w:rFonts w:ascii="Verdana" w:hAnsi="Verdana" w:cs="Arial"/>
          <w:b/>
          <w:bCs/>
          <w:sz w:val="22"/>
          <w:szCs w:val="22"/>
        </w:rPr>
        <w:t>Alineación normativa:</w:t>
      </w:r>
      <w:r w:rsidRPr="00FA1FD2">
        <w:rPr>
          <w:rFonts w:ascii="Verdana" w:hAnsi="Verdana" w:cs="Arial"/>
          <w:sz w:val="22"/>
          <w:szCs w:val="22"/>
        </w:rPr>
        <w:t xml:space="preserve"> Cumplimiento de los instrumentos y guías del AGN y MINTIC.</w:t>
      </w:r>
    </w:p>
    <w:p w14:paraId="49C8727D" w14:textId="77777777" w:rsidR="00CA6361" w:rsidRPr="00FA1FD2" w:rsidRDefault="00CA6361" w:rsidP="00A27AA5">
      <w:pPr>
        <w:pStyle w:val="Prrafodelista"/>
        <w:numPr>
          <w:ilvl w:val="0"/>
          <w:numId w:val="15"/>
        </w:numPr>
        <w:contextualSpacing/>
        <w:jc w:val="both"/>
        <w:rPr>
          <w:rFonts w:ascii="Verdana" w:hAnsi="Verdana" w:cs="Arial"/>
          <w:sz w:val="22"/>
          <w:szCs w:val="22"/>
        </w:rPr>
      </w:pPr>
      <w:r w:rsidRPr="00FA1FD2">
        <w:rPr>
          <w:rFonts w:ascii="Verdana" w:hAnsi="Verdana" w:cs="Arial"/>
          <w:b/>
          <w:bCs/>
          <w:sz w:val="22"/>
          <w:szCs w:val="22"/>
        </w:rPr>
        <w:t>Estandarización técnica:</w:t>
      </w:r>
      <w:r w:rsidRPr="00FA1FD2">
        <w:rPr>
          <w:rFonts w:ascii="Verdana" w:hAnsi="Verdana" w:cs="Arial"/>
          <w:sz w:val="22"/>
          <w:szCs w:val="22"/>
        </w:rPr>
        <w:t xml:space="preserve"> Adopción de la ISO 16175-2 como marco de referencia principal.</w:t>
      </w:r>
    </w:p>
    <w:p w14:paraId="1A1DAE19" w14:textId="77777777" w:rsidR="00CA6361" w:rsidRPr="00FA1FD2" w:rsidRDefault="00CA6361" w:rsidP="00A27AA5">
      <w:pPr>
        <w:pStyle w:val="Prrafodelista"/>
        <w:numPr>
          <w:ilvl w:val="0"/>
          <w:numId w:val="15"/>
        </w:numPr>
        <w:contextualSpacing/>
        <w:jc w:val="both"/>
        <w:rPr>
          <w:rFonts w:ascii="Verdana" w:hAnsi="Verdana" w:cs="Arial"/>
          <w:sz w:val="22"/>
          <w:szCs w:val="22"/>
        </w:rPr>
      </w:pPr>
      <w:r w:rsidRPr="00FA1FD2">
        <w:rPr>
          <w:rFonts w:ascii="Verdana" w:hAnsi="Verdana" w:cs="Arial"/>
          <w:b/>
          <w:bCs/>
          <w:sz w:val="22"/>
          <w:szCs w:val="22"/>
        </w:rPr>
        <w:t>Participación institucional:</w:t>
      </w:r>
      <w:r w:rsidRPr="00FA1FD2">
        <w:rPr>
          <w:rFonts w:ascii="Verdana" w:hAnsi="Verdana" w:cs="Arial"/>
          <w:sz w:val="22"/>
          <w:szCs w:val="22"/>
        </w:rPr>
        <w:t xml:space="preserve"> Involucramiento de todas las dependencias productoras de información.</w:t>
      </w:r>
    </w:p>
    <w:p w14:paraId="1C676FD4" w14:textId="77777777" w:rsidR="00CA6361" w:rsidRPr="00FA1FD2" w:rsidRDefault="00CA6361" w:rsidP="00A27AA5">
      <w:pPr>
        <w:pStyle w:val="Prrafodelista"/>
        <w:numPr>
          <w:ilvl w:val="0"/>
          <w:numId w:val="15"/>
        </w:numPr>
        <w:contextualSpacing/>
        <w:jc w:val="both"/>
        <w:rPr>
          <w:rFonts w:ascii="Verdana" w:hAnsi="Verdana" w:cs="Arial"/>
          <w:sz w:val="22"/>
          <w:szCs w:val="22"/>
        </w:rPr>
      </w:pPr>
      <w:r w:rsidRPr="00FA1FD2">
        <w:rPr>
          <w:rFonts w:ascii="Verdana" w:hAnsi="Verdana" w:cs="Arial"/>
          <w:b/>
          <w:bCs/>
          <w:sz w:val="22"/>
          <w:szCs w:val="22"/>
        </w:rPr>
        <w:t>Trazabilidad verificable:</w:t>
      </w:r>
      <w:r w:rsidRPr="00FA1FD2">
        <w:rPr>
          <w:rFonts w:ascii="Verdana" w:hAnsi="Verdana" w:cs="Arial"/>
          <w:sz w:val="22"/>
          <w:szCs w:val="22"/>
        </w:rPr>
        <w:t xml:space="preserve"> Documentación de cada fase mediante evidencias técnicas.</w:t>
      </w:r>
    </w:p>
    <w:p w14:paraId="37203CFD" w14:textId="4AA3D122" w:rsidR="00CA6361" w:rsidRDefault="00CA6361" w:rsidP="00A27AA5">
      <w:pPr>
        <w:pStyle w:val="Prrafodelista"/>
        <w:numPr>
          <w:ilvl w:val="0"/>
          <w:numId w:val="15"/>
        </w:numPr>
        <w:contextualSpacing/>
        <w:jc w:val="both"/>
        <w:rPr>
          <w:rFonts w:ascii="Verdana" w:hAnsi="Verdana" w:cs="Arial"/>
          <w:sz w:val="22"/>
          <w:szCs w:val="22"/>
        </w:rPr>
      </w:pPr>
      <w:r w:rsidRPr="00FA1FD2">
        <w:rPr>
          <w:rFonts w:ascii="Verdana" w:hAnsi="Verdana" w:cs="Arial"/>
          <w:b/>
          <w:bCs/>
          <w:sz w:val="22"/>
          <w:szCs w:val="22"/>
        </w:rPr>
        <w:t>Mejora continua:</w:t>
      </w:r>
      <w:r w:rsidRPr="00FA1FD2">
        <w:rPr>
          <w:rFonts w:ascii="Verdana" w:hAnsi="Verdana" w:cs="Arial"/>
          <w:sz w:val="22"/>
          <w:szCs w:val="22"/>
        </w:rPr>
        <w:t xml:space="preserve"> Revisión y actualización periódica del modelo conforme a la evolución tecnológica y normativa.</w:t>
      </w:r>
    </w:p>
    <w:p w14:paraId="296B1F63" w14:textId="77777777" w:rsidR="00C94CA4" w:rsidRDefault="00C94CA4" w:rsidP="00155F22">
      <w:pPr>
        <w:pStyle w:val="Prrafodelista"/>
        <w:ind w:left="720"/>
        <w:contextualSpacing/>
        <w:jc w:val="both"/>
        <w:rPr>
          <w:rFonts w:ascii="Verdana" w:hAnsi="Verdana" w:cs="Arial"/>
          <w:sz w:val="22"/>
          <w:szCs w:val="22"/>
        </w:rPr>
      </w:pPr>
    </w:p>
    <w:p w14:paraId="1CB07BE2" w14:textId="63DF3AAF" w:rsidR="00CA6361" w:rsidRDefault="00CA6361" w:rsidP="00155F22">
      <w:pPr>
        <w:jc w:val="both"/>
        <w:rPr>
          <w:rFonts w:ascii="Verdana" w:hAnsi="Verdana" w:cs="Arial"/>
          <w:sz w:val="22"/>
          <w:szCs w:val="22"/>
        </w:rPr>
      </w:pPr>
      <w:r w:rsidRPr="005406DA">
        <w:rPr>
          <w:rFonts w:ascii="Verdana" w:hAnsi="Verdana" w:cs="Arial"/>
          <w:sz w:val="22"/>
          <w:szCs w:val="22"/>
        </w:rPr>
        <w:t xml:space="preserve">Con esta metodología, la Superintendencia de Sociedades asegura que el MoReq </w:t>
      </w:r>
      <w:r w:rsidRPr="00761E38">
        <w:rPr>
          <w:rFonts w:ascii="Verdana" w:hAnsi="Verdana" w:cs="Arial"/>
          <w:sz w:val="22"/>
          <w:szCs w:val="22"/>
        </w:rPr>
        <w:t>202</w:t>
      </w:r>
      <w:r w:rsidR="00761E38" w:rsidRPr="00761E38">
        <w:rPr>
          <w:rFonts w:ascii="Verdana" w:hAnsi="Verdana" w:cs="Arial"/>
          <w:sz w:val="22"/>
          <w:szCs w:val="22"/>
        </w:rPr>
        <w:t>6</w:t>
      </w:r>
      <w:r w:rsidRPr="00761E38">
        <w:rPr>
          <w:rFonts w:ascii="Verdana" w:hAnsi="Verdana" w:cs="Arial"/>
          <w:sz w:val="22"/>
          <w:szCs w:val="22"/>
        </w:rPr>
        <w:t xml:space="preserve"> </w:t>
      </w:r>
      <w:r w:rsidRPr="005406DA">
        <w:rPr>
          <w:rFonts w:ascii="Verdana" w:hAnsi="Verdana" w:cs="Arial"/>
          <w:sz w:val="22"/>
          <w:szCs w:val="22"/>
        </w:rPr>
        <w:t>sea un instrumento dinámico, verificable y alineado con los más altos estándares nacionales e internacionales de gestión documental electrónica, fortaleciendo la eficiencia administrativa, la transparencia institucional y la preservación digital de la memoria corporativa.</w:t>
      </w:r>
    </w:p>
    <w:p w14:paraId="548A909E" w14:textId="77777777" w:rsidR="00FA3754" w:rsidRDefault="00FA3754" w:rsidP="00155F22">
      <w:pPr>
        <w:ind w:left="360"/>
        <w:jc w:val="both"/>
        <w:rPr>
          <w:rFonts w:ascii="Verdana" w:hAnsi="Verdana" w:cs="Arial"/>
          <w:sz w:val="22"/>
          <w:szCs w:val="22"/>
        </w:rPr>
      </w:pPr>
    </w:p>
    <w:p w14:paraId="7FD0B8B8" w14:textId="3F330886" w:rsidR="00FA3754" w:rsidRDefault="00914278" w:rsidP="00155F22">
      <w:pPr>
        <w:jc w:val="both"/>
        <w:rPr>
          <w:rFonts w:ascii="Verdana" w:hAnsi="Verdana" w:cs="Arial"/>
          <w:b/>
          <w:bCs/>
          <w:sz w:val="22"/>
          <w:szCs w:val="22"/>
        </w:rPr>
      </w:pPr>
      <w:r>
        <w:rPr>
          <w:rFonts w:ascii="Verdana" w:hAnsi="Verdana" w:cs="Arial"/>
          <w:b/>
          <w:bCs/>
          <w:sz w:val="22"/>
          <w:szCs w:val="22"/>
        </w:rPr>
        <w:t>5.</w:t>
      </w:r>
      <w:r w:rsidR="00446BE1">
        <w:rPr>
          <w:rFonts w:ascii="Verdana" w:hAnsi="Verdana" w:cs="Arial"/>
          <w:b/>
          <w:bCs/>
          <w:sz w:val="22"/>
          <w:szCs w:val="22"/>
        </w:rPr>
        <w:t>6</w:t>
      </w:r>
      <w:r w:rsidR="00566743">
        <w:rPr>
          <w:rFonts w:ascii="Verdana" w:hAnsi="Verdana" w:cs="Arial"/>
          <w:b/>
          <w:bCs/>
          <w:sz w:val="22"/>
          <w:szCs w:val="22"/>
        </w:rPr>
        <w:t>.</w:t>
      </w:r>
      <w:r>
        <w:rPr>
          <w:rFonts w:ascii="Verdana" w:hAnsi="Verdana" w:cs="Arial"/>
          <w:b/>
          <w:bCs/>
          <w:sz w:val="22"/>
          <w:szCs w:val="22"/>
        </w:rPr>
        <w:t xml:space="preserve"> </w:t>
      </w:r>
      <w:r w:rsidR="00FA3754" w:rsidRPr="00134A86">
        <w:rPr>
          <w:rFonts w:ascii="Verdana" w:hAnsi="Verdana" w:cs="Arial"/>
          <w:b/>
          <w:bCs/>
          <w:sz w:val="22"/>
          <w:szCs w:val="22"/>
        </w:rPr>
        <w:t>Requisitos Funcionales</w:t>
      </w:r>
    </w:p>
    <w:p w14:paraId="53FD51CA" w14:textId="77777777" w:rsidR="00914278" w:rsidRPr="00134A86" w:rsidRDefault="00914278" w:rsidP="00155F22">
      <w:pPr>
        <w:jc w:val="both"/>
        <w:rPr>
          <w:rFonts w:ascii="Verdana" w:hAnsi="Verdana" w:cs="Arial"/>
          <w:b/>
          <w:bCs/>
          <w:sz w:val="22"/>
          <w:szCs w:val="22"/>
        </w:rPr>
      </w:pPr>
    </w:p>
    <w:p w14:paraId="3936396F" w14:textId="2C664435" w:rsidR="008B0A10" w:rsidRDefault="00FA3754" w:rsidP="009A3433">
      <w:pPr>
        <w:jc w:val="both"/>
        <w:rPr>
          <w:rFonts w:ascii="Verdana" w:hAnsi="Verdana" w:cs="Arial"/>
          <w:sz w:val="22"/>
          <w:szCs w:val="22"/>
        </w:rPr>
      </w:pPr>
      <w:r w:rsidRPr="005406DA">
        <w:rPr>
          <w:rFonts w:ascii="Verdana" w:hAnsi="Verdana" w:cs="Arial"/>
          <w:sz w:val="22"/>
          <w:szCs w:val="22"/>
        </w:rPr>
        <w:t xml:space="preserve">El Modelo de Requisitos para la Gestión de Documentos Electrónicos de Archivo (MoReq) de la Superintendencia de Sociedades, en cumplimiento de la normatividad archivística vigente y de los lineamientos del Archivo General de la Nación, ha definido un conjunto </w:t>
      </w:r>
      <w:r w:rsidRPr="005406DA">
        <w:rPr>
          <w:rFonts w:ascii="Verdana" w:hAnsi="Verdana" w:cs="Arial"/>
          <w:sz w:val="22"/>
          <w:szCs w:val="22"/>
        </w:rPr>
        <w:lastRenderedPageBreak/>
        <w:t xml:space="preserve">de requisitos funcionales esenciales para garantizar la gestión integral de los documentos electrónicos a lo largo de su ciclo de vida. Estos requisitos buscan asegurar la autenticidad, integridad, trazabilidad, disponibilidad y preservación digital de la información, incorporando estándares internacionales y mecanismos tecnológicos avanzados. En este sentido, el modelo contempla desde la captura documental multicanal con tecnologías OCR/ICR, hasta la clasificación automática bajo TRD/TVD, la gestión de metadatos conforme a la ISO 23081, la constitución de expedientes electrónicos completos, el versionamiento y la auditoría permanente, así como flujos de trabajo electrónicos parametrizables que optimizan los trámites institucionales. De igual manera, se establecen mecanismos de acceso controlado por perfiles, la integración de firmas digitales y electrónicas en estándares CADES, XADES y PADES, la activación de </w:t>
      </w:r>
      <w:r w:rsidRPr="00F74D75">
        <w:rPr>
          <w:rFonts w:ascii="Verdana" w:hAnsi="Verdana" w:cs="Arial"/>
          <w:sz w:val="22"/>
          <w:szCs w:val="22"/>
        </w:rPr>
        <w:t>alertas de disposición final según</w:t>
      </w:r>
      <w:r w:rsidR="0024034B">
        <w:rPr>
          <w:rFonts w:ascii="Verdana" w:hAnsi="Verdana" w:cs="Arial"/>
          <w:sz w:val="22"/>
          <w:szCs w:val="22"/>
        </w:rPr>
        <w:t xml:space="preserve"> las </w:t>
      </w:r>
      <w:r w:rsidRPr="00F74D75">
        <w:rPr>
          <w:rFonts w:ascii="Verdana" w:hAnsi="Verdana" w:cs="Arial"/>
          <w:sz w:val="22"/>
          <w:szCs w:val="22"/>
        </w:rPr>
        <w:t>T</w:t>
      </w:r>
      <w:r w:rsidR="0024034B">
        <w:rPr>
          <w:rFonts w:ascii="Verdana" w:hAnsi="Verdana" w:cs="Arial"/>
          <w:sz w:val="22"/>
          <w:szCs w:val="22"/>
        </w:rPr>
        <w:t xml:space="preserve">ablas de </w:t>
      </w:r>
      <w:r w:rsidRPr="00F74D75">
        <w:rPr>
          <w:rFonts w:ascii="Verdana" w:hAnsi="Verdana" w:cs="Arial"/>
          <w:sz w:val="22"/>
          <w:szCs w:val="22"/>
        </w:rPr>
        <w:t>R</w:t>
      </w:r>
      <w:r w:rsidR="0024034B">
        <w:rPr>
          <w:rFonts w:ascii="Verdana" w:hAnsi="Verdana" w:cs="Arial"/>
          <w:sz w:val="22"/>
          <w:szCs w:val="22"/>
        </w:rPr>
        <w:t xml:space="preserve">etención </w:t>
      </w:r>
      <w:r w:rsidRPr="00F74D75">
        <w:rPr>
          <w:rFonts w:ascii="Verdana" w:hAnsi="Verdana" w:cs="Arial"/>
          <w:sz w:val="22"/>
          <w:szCs w:val="22"/>
        </w:rPr>
        <w:t>D</w:t>
      </w:r>
      <w:r w:rsidR="0024034B">
        <w:rPr>
          <w:rFonts w:ascii="Verdana" w:hAnsi="Verdana" w:cs="Arial"/>
          <w:sz w:val="22"/>
          <w:szCs w:val="22"/>
        </w:rPr>
        <w:t>ocumental (TRD) y las Tablas de Valoración Documental (</w:t>
      </w:r>
      <w:r w:rsidRPr="00F74D75">
        <w:rPr>
          <w:rFonts w:ascii="Verdana" w:hAnsi="Verdana" w:cs="Arial"/>
          <w:sz w:val="22"/>
          <w:szCs w:val="22"/>
        </w:rPr>
        <w:t>TVD</w:t>
      </w:r>
      <w:r w:rsidR="00F503D6">
        <w:rPr>
          <w:rFonts w:ascii="Verdana" w:hAnsi="Verdana" w:cs="Arial"/>
          <w:sz w:val="22"/>
          <w:szCs w:val="22"/>
        </w:rPr>
        <w:t>).</w:t>
      </w:r>
    </w:p>
    <w:p w14:paraId="3DF32776" w14:textId="77777777" w:rsidR="00134A86" w:rsidRPr="00F74D75" w:rsidRDefault="00134A86" w:rsidP="009A3433">
      <w:pPr>
        <w:jc w:val="both"/>
        <w:rPr>
          <w:rFonts w:ascii="Verdana" w:hAnsi="Verdana" w:cs="Arial"/>
          <w:sz w:val="22"/>
          <w:szCs w:val="22"/>
        </w:rPr>
      </w:pPr>
    </w:p>
    <w:p w14:paraId="10D7E170" w14:textId="6505A886" w:rsidR="008B0A10" w:rsidRPr="00F74D75" w:rsidRDefault="008B0A10" w:rsidP="00A27AA5">
      <w:pPr>
        <w:pStyle w:val="Prrafodelista"/>
        <w:numPr>
          <w:ilvl w:val="0"/>
          <w:numId w:val="16"/>
        </w:numPr>
        <w:ind w:left="714" w:hanging="357"/>
        <w:jc w:val="both"/>
        <w:rPr>
          <w:rFonts w:ascii="Verdana" w:hAnsi="Verdana" w:cs="Arial"/>
          <w:sz w:val="22"/>
          <w:szCs w:val="22"/>
        </w:rPr>
      </w:pPr>
      <w:r w:rsidRPr="00F74D75">
        <w:rPr>
          <w:rFonts w:ascii="Verdana" w:hAnsi="Verdana" w:cs="Arial"/>
          <w:sz w:val="22"/>
          <w:szCs w:val="22"/>
        </w:rPr>
        <w:t>Captura documental desde múltiples canales, co</w:t>
      </w:r>
      <w:r w:rsidR="00F503D6">
        <w:rPr>
          <w:rFonts w:ascii="Verdana" w:hAnsi="Verdana" w:cs="Arial"/>
          <w:sz w:val="22"/>
          <w:szCs w:val="22"/>
        </w:rPr>
        <w:t>mo</w:t>
      </w:r>
      <w:r w:rsidRPr="00F74D75">
        <w:rPr>
          <w:rFonts w:ascii="Verdana" w:hAnsi="Verdana" w:cs="Arial"/>
          <w:sz w:val="22"/>
          <w:szCs w:val="22"/>
        </w:rPr>
        <w:t xml:space="preserve"> OCR </w:t>
      </w:r>
    </w:p>
    <w:p w14:paraId="310A16D2" w14:textId="77777777" w:rsidR="008B0A10" w:rsidRPr="00F74D75" w:rsidRDefault="008B0A10" w:rsidP="00A27AA5">
      <w:pPr>
        <w:pStyle w:val="Prrafodelista"/>
        <w:numPr>
          <w:ilvl w:val="0"/>
          <w:numId w:val="16"/>
        </w:numPr>
        <w:ind w:left="714" w:hanging="357"/>
        <w:jc w:val="both"/>
        <w:rPr>
          <w:rFonts w:ascii="Verdana" w:hAnsi="Verdana" w:cs="Arial"/>
          <w:sz w:val="22"/>
          <w:szCs w:val="22"/>
        </w:rPr>
      </w:pPr>
      <w:r w:rsidRPr="00F74D75">
        <w:rPr>
          <w:rFonts w:ascii="Verdana" w:hAnsi="Verdana" w:cs="Arial"/>
          <w:sz w:val="22"/>
          <w:szCs w:val="22"/>
        </w:rPr>
        <w:t>Registro y clasificación automática basada en TRD/TVD</w:t>
      </w:r>
    </w:p>
    <w:p w14:paraId="72C4A58F" w14:textId="77777777" w:rsidR="008B0A10" w:rsidRPr="00F74D75" w:rsidRDefault="008B0A10" w:rsidP="00A27AA5">
      <w:pPr>
        <w:pStyle w:val="Prrafodelista"/>
        <w:numPr>
          <w:ilvl w:val="0"/>
          <w:numId w:val="16"/>
        </w:numPr>
        <w:ind w:left="714" w:hanging="357"/>
        <w:jc w:val="both"/>
        <w:rPr>
          <w:rFonts w:ascii="Verdana" w:hAnsi="Verdana" w:cs="Arial"/>
          <w:sz w:val="22"/>
          <w:szCs w:val="22"/>
        </w:rPr>
      </w:pPr>
      <w:r w:rsidRPr="00F74D75">
        <w:rPr>
          <w:rFonts w:ascii="Verdana" w:hAnsi="Verdana" w:cs="Arial"/>
          <w:sz w:val="22"/>
          <w:szCs w:val="22"/>
        </w:rPr>
        <w:t>Administración de metadatos conforme a ISO 23081.</w:t>
      </w:r>
    </w:p>
    <w:p w14:paraId="18760FD9" w14:textId="77777777" w:rsidR="008B0A10" w:rsidRPr="00F74D75" w:rsidRDefault="008B0A10" w:rsidP="00A27AA5">
      <w:pPr>
        <w:pStyle w:val="Prrafodelista"/>
        <w:numPr>
          <w:ilvl w:val="0"/>
          <w:numId w:val="16"/>
        </w:numPr>
        <w:ind w:left="714" w:hanging="357"/>
        <w:jc w:val="both"/>
        <w:rPr>
          <w:rFonts w:ascii="Verdana" w:hAnsi="Verdana" w:cs="Arial"/>
          <w:sz w:val="22"/>
          <w:szCs w:val="22"/>
        </w:rPr>
      </w:pPr>
      <w:r w:rsidRPr="00F74D75">
        <w:rPr>
          <w:rFonts w:ascii="Verdana" w:hAnsi="Verdana" w:cs="Arial"/>
          <w:sz w:val="22"/>
          <w:szCs w:val="22"/>
        </w:rPr>
        <w:t>Expedientes electrónicos completos, con foliado, cierre y trazabilidad.</w:t>
      </w:r>
    </w:p>
    <w:p w14:paraId="5747C115" w14:textId="77777777" w:rsidR="008B0A10" w:rsidRPr="00F74D75" w:rsidRDefault="008B0A10" w:rsidP="00A27AA5">
      <w:pPr>
        <w:pStyle w:val="Prrafodelista"/>
        <w:numPr>
          <w:ilvl w:val="0"/>
          <w:numId w:val="16"/>
        </w:numPr>
        <w:ind w:left="714" w:hanging="357"/>
        <w:jc w:val="both"/>
        <w:rPr>
          <w:rFonts w:ascii="Verdana" w:hAnsi="Verdana" w:cs="Arial"/>
          <w:sz w:val="22"/>
          <w:szCs w:val="22"/>
        </w:rPr>
      </w:pPr>
      <w:r w:rsidRPr="00F74D75">
        <w:rPr>
          <w:rFonts w:ascii="Verdana" w:hAnsi="Verdana" w:cs="Arial"/>
          <w:sz w:val="22"/>
          <w:szCs w:val="22"/>
        </w:rPr>
        <w:t>Versionamiento y auditoría de documentos.</w:t>
      </w:r>
    </w:p>
    <w:p w14:paraId="5FE0E450" w14:textId="77777777" w:rsidR="008B0A10" w:rsidRPr="00F74D75" w:rsidRDefault="008B0A10" w:rsidP="00A27AA5">
      <w:pPr>
        <w:pStyle w:val="Prrafodelista"/>
        <w:numPr>
          <w:ilvl w:val="0"/>
          <w:numId w:val="16"/>
        </w:numPr>
        <w:ind w:left="714" w:hanging="357"/>
        <w:jc w:val="both"/>
        <w:rPr>
          <w:rFonts w:ascii="Verdana" w:hAnsi="Verdana" w:cs="Arial"/>
          <w:sz w:val="22"/>
          <w:szCs w:val="22"/>
        </w:rPr>
      </w:pPr>
      <w:r w:rsidRPr="00F74D75">
        <w:rPr>
          <w:rFonts w:ascii="Verdana" w:hAnsi="Verdana" w:cs="Arial"/>
          <w:sz w:val="22"/>
          <w:szCs w:val="22"/>
        </w:rPr>
        <w:t>Flujos de trabajo electrónicos parametrizables.</w:t>
      </w:r>
    </w:p>
    <w:p w14:paraId="50B20F7E" w14:textId="77777777" w:rsidR="008B0A10" w:rsidRPr="00F74D75" w:rsidRDefault="008B0A10" w:rsidP="00A27AA5">
      <w:pPr>
        <w:pStyle w:val="Prrafodelista"/>
        <w:numPr>
          <w:ilvl w:val="0"/>
          <w:numId w:val="16"/>
        </w:numPr>
        <w:ind w:left="714" w:hanging="357"/>
        <w:jc w:val="both"/>
        <w:rPr>
          <w:rFonts w:ascii="Verdana" w:hAnsi="Verdana" w:cs="Arial"/>
          <w:sz w:val="22"/>
          <w:szCs w:val="22"/>
        </w:rPr>
      </w:pPr>
      <w:r w:rsidRPr="00F74D75">
        <w:rPr>
          <w:rFonts w:ascii="Verdana" w:hAnsi="Verdana" w:cs="Arial"/>
          <w:sz w:val="22"/>
          <w:szCs w:val="22"/>
        </w:rPr>
        <w:t>Acceso controlado con perfiles definidos.</w:t>
      </w:r>
    </w:p>
    <w:p w14:paraId="646A0C7F" w14:textId="1665DB6A" w:rsidR="008B0A10" w:rsidRPr="00F74D75" w:rsidRDefault="008B0A10" w:rsidP="00A27AA5">
      <w:pPr>
        <w:pStyle w:val="Prrafodelista"/>
        <w:numPr>
          <w:ilvl w:val="0"/>
          <w:numId w:val="16"/>
        </w:numPr>
        <w:ind w:left="714" w:hanging="357"/>
        <w:jc w:val="both"/>
        <w:rPr>
          <w:rFonts w:ascii="Verdana" w:hAnsi="Verdana" w:cs="Arial"/>
          <w:sz w:val="22"/>
          <w:szCs w:val="22"/>
        </w:rPr>
      </w:pPr>
      <w:r w:rsidRPr="00F74D75">
        <w:rPr>
          <w:rFonts w:ascii="Verdana" w:hAnsi="Verdana" w:cs="Arial"/>
          <w:sz w:val="22"/>
          <w:szCs w:val="22"/>
        </w:rPr>
        <w:t xml:space="preserve">Firma digital y electrónica </w:t>
      </w:r>
      <w:r w:rsidR="00F503D6">
        <w:rPr>
          <w:rFonts w:ascii="Verdana" w:hAnsi="Verdana" w:cs="Arial"/>
          <w:sz w:val="22"/>
          <w:szCs w:val="22"/>
        </w:rPr>
        <w:t>certificada</w:t>
      </w:r>
    </w:p>
    <w:p w14:paraId="2F686E5B" w14:textId="2B3C7417" w:rsidR="00EC34AB" w:rsidRPr="00EC34AB" w:rsidRDefault="008B0A10" w:rsidP="00EC34AB">
      <w:pPr>
        <w:pStyle w:val="Prrafodelista"/>
        <w:numPr>
          <w:ilvl w:val="0"/>
          <w:numId w:val="16"/>
        </w:numPr>
        <w:ind w:left="714" w:hanging="357"/>
        <w:jc w:val="both"/>
        <w:rPr>
          <w:rFonts w:ascii="Verdana" w:hAnsi="Verdana" w:cs="Arial"/>
          <w:sz w:val="22"/>
          <w:szCs w:val="22"/>
        </w:rPr>
      </w:pPr>
      <w:r w:rsidRPr="00F74D75">
        <w:rPr>
          <w:rFonts w:ascii="Verdana" w:hAnsi="Verdana" w:cs="Arial"/>
          <w:sz w:val="22"/>
          <w:szCs w:val="22"/>
        </w:rPr>
        <w:t>Alertas automáticas de disposición final según TRD/TVD.</w:t>
      </w:r>
    </w:p>
    <w:p w14:paraId="420D49F2" w14:textId="77777777" w:rsidR="00EC34AB" w:rsidRDefault="00EC34AB" w:rsidP="00385057">
      <w:pPr>
        <w:jc w:val="both"/>
        <w:rPr>
          <w:rFonts w:ascii="Verdana" w:hAnsi="Verdana" w:cs="Arial"/>
          <w:sz w:val="22"/>
          <w:szCs w:val="22"/>
        </w:rPr>
      </w:pPr>
    </w:p>
    <w:p w14:paraId="773DC51C" w14:textId="5E035CD5" w:rsidR="003B2049" w:rsidRDefault="003B2049" w:rsidP="00385057">
      <w:pPr>
        <w:jc w:val="both"/>
        <w:rPr>
          <w:rFonts w:ascii="Verdana" w:hAnsi="Verdana" w:cs="Arial"/>
          <w:sz w:val="22"/>
          <w:szCs w:val="22"/>
        </w:rPr>
      </w:pPr>
      <w:r w:rsidRPr="00ED24DB">
        <w:rPr>
          <w:rFonts w:ascii="Verdana" w:hAnsi="Verdana" w:cs="Arial"/>
          <w:sz w:val="22"/>
          <w:szCs w:val="22"/>
        </w:rPr>
        <w:t xml:space="preserve">Además, como soporte transversal, el sistema </w:t>
      </w:r>
      <w:r w:rsidR="000F5DCD">
        <w:rPr>
          <w:rFonts w:ascii="Verdana" w:hAnsi="Verdana" w:cs="Arial"/>
          <w:sz w:val="22"/>
          <w:szCs w:val="22"/>
        </w:rPr>
        <w:t>incluye</w:t>
      </w:r>
      <w:r w:rsidRPr="00ED24DB">
        <w:rPr>
          <w:rFonts w:ascii="Verdana" w:hAnsi="Verdana" w:cs="Arial"/>
          <w:sz w:val="22"/>
          <w:szCs w:val="22"/>
        </w:rPr>
        <w:t>:</w:t>
      </w:r>
    </w:p>
    <w:p w14:paraId="61211F79" w14:textId="77777777" w:rsidR="00962E56" w:rsidRPr="00ED24DB" w:rsidRDefault="00962E56" w:rsidP="00385057">
      <w:pPr>
        <w:jc w:val="both"/>
        <w:rPr>
          <w:rFonts w:ascii="Verdana" w:hAnsi="Verdana" w:cs="Arial"/>
          <w:sz w:val="22"/>
          <w:szCs w:val="22"/>
        </w:rPr>
      </w:pPr>
    </w:p>
    <w:p w14:paraId="17BFB49E" w14:textId="77777777" w:rsidR="003B2049" w:rsidRPr="005055C2" w:rsidRDefault="003B2049" w:rsidP="00385057">
      <w:pPr>
        <w:pStyle w:val="Prrafodelista"/>
        <w:numPr>
          <w:ilvl w:val="0"/>
          <w:numId w:val="23"/>
        </w:numPr>
        <w:contextualSpacing/>
        <w:jc w:val="both"/>
        <w:rPr>
          <w:rFonts w:ascii="Verdana" w:hAnsi="Verdana" w:cs="Arial"/>
          <w:sz w:val="22"/>
          <w:szCs w:val="22"/>
        </w:rPr>
      </w:pPr>
      <w:r w:rsidRPr="005055C2">
        <w:rPr>
          <w:rFonts w:ascii="Verdana" w:hAnsi="Verdana" w:cs="Arial"/>
          <w:sz w:val="22"/>
          <w:szCs w:val="22"/>
        </w:rPr>
        <w:t>Captura documental multicanal (correo electrónico, formularios web, radicación presencial/digital), con OCR e ICR para reconocimiento de caracteres.</w:t>
      </w:r>
    </w:p>
    <w:p w14:paraId="3080C52D" w14:textId="77777777" w:rsidR="003B2049" w:rsidRPr="005055C2" w:rsidRDefault="003B2049" w:rsidP="00385057">
      <w:pPr>
        <w:pStyle w:val="Prrafodelista"/>
        <w:numPr>
          <w:ilvl w:val="0"/>
          <w:numId w:val="23"/>
        </w:numPr>
        <w:contextualSpacing/>
        <w:jc w:val="both"/>
        <w:rPr>
          <w:rFonts w:ascii="Verdana" w:hAnsi="Verdana" w:cs="Arial"/>
          <w:sz w:val="22"/>
          <w:szCs w:val="22"/>
        </w:rPr>
      </w:pPr>
      <w:r w:rsidRPr="005055C2">
        <w:rPr>
          <w:rFonts w:ascii="Verdana" w:hAnsi="Verdana" w:cs="Arial"/>
          <w:sz w:val="22"/>
          <w:szCs w:val="22"/>
        </w:rPr>
        <w:t>Flujos de trabajo electrónicos parametrizables, con alertas y semáforos de gestión documental.</w:t>
      </w:r>
    </w:p>
    <w:p w14:paraId="57191687" w14:textId="77777777" w:rsidR="003B2049" w:rsidRDefault="003B2049" w:rsidP="00385057">
      <w:pPr>
        <w:pStyle w:val="Prrafodelista"/>
        <w:numPr>
          <w:ilvl w:val="0"/>
          <w:numId w:val="23"/>
        </w:numPr>
        <w:contextualSpacing/>
        <w:jc w:val="both"/>
        <w:rPr>
          <w:rFonts w:ascii="Verdana" w:hAnsi="Verdana" w:cs="Arial"/>
          <w:sz w:val="22"/>
          <w:szCs w:val="22"/>
        </w:rPr>
      </w:pPr>
      <w:r w:rsidRPr="005055C2">
        <w:rPr>
          <w:rFonts w:ascii="Verdana" w:hAnsi="Verdana" w:cs="Arial"/>
          <w:sz w:val="22"/>
          <w:szCs w:val="22"/>
        </w:rPr>
        <w:t>Alertas automáticas de disposición final, generadas a partir de la TRD/TVD.</w:t>
      </w:r>
    </w:p>
    <w:p w14:paraId="3FA62F39" w14:textId="77777777" w:rsidR="00855BE4" w:rsidRDefault="00855BE4" w:rsidP="00385057">
      <w:pPr>
        <w:contextualSpacing/>
        <w:jc w:val="both"/>
        <w:rPr>
          <w:rFonts w:ascii="Verdana" w:hAnsi="Verdana" w:cs="Arial"/>
          <w:sz w:val="22"/>
          <w:szCs w:val="22"/>
        </w:rPr>
      </w:pPr>
    </w:p>
    <w:p w14:paraId="094F0DE6" w14:textId="77777777" w:rsidR="006B5AC7" w:rsidRPr="002B5959" w:rsidRDefault="006B5AC7" w:rsidP="00385057">
      <w:pPr>
        <w:jc w:val="both"/>
        <w:rPr>
          <w:rFonts w:ascii="Verdana" w:hAnsi="Verdana" w:cs="Arial"/>
          <w:sz w:val="22"/>
          <w:szCs w:val="22"/>
        </w:rPr>
      </w:pPr>
      <w:r w:rsidRPr="002B5959">
        <w:rPr>
          <w:rFonts w:ascii="Verdana" w:hAnsi="Verdana" w:cs="Arial"/>
          <w:sz w:val="22"/>
          <w:szCs w:val="22"/>
        </w:rPr>
        <w:t>Los RF se establecen procesos operativos de soporte (captura, flujos, alertas), en los RNF los equivalentes transversales son disponibilidad, seguridad, trazabilidad, accesibilidad, continuidad y escalabilidad, que actúan como garantes de calidad y sostenibilidad de esas funciones.</w:t>
      </w:r>
    </w:p>
    <w:p w14:paraId="3B9DB641" w14:textId="77777777" w:rsidR="006B5AC7" w:rsidRDefault="006B5AC7" w:rsidP="00385057">
      <w:pPr>
        <w:jc w:val="both"/>
        <w:rPr>
          <w:rFonts w:ascii="Verdana" w:hAnsi="Verdana" w:cs="Arial"/>
          <w:sz w:val="22"/>
          <w:szCs w:val="22"/>
        </w:rPr>
      </w:pPr>
    </w:p>
    <w:p w14:paraId="5790E338" w14:textId="77777777" w:rsidR="00446BE1" w:rsidRDefault="00446BE1" w:rsidP="00385057">
      <w:pPr>
        <w:jc w:val="both"/>
        <w:rPr>
          <w:rFonts w:ascii="Verdana" w:hAnsi="Verdana" w:cs="Arial"/>
          <w:sz w:val="22"/>
          <w:szCs w:val="22"/>
        </w:rPr>
      </w:pPr>
    </w:p>
    <w:p w14:paraId="0C5F2B11" w14:textId="77777777" w:rsidR="00446BE1" w:rsidRDefault="00446BE1" w:rsidP="00385057">
      <w:pPr>
        <w:jc w:val="both"/>
        <w:rPr>
          <w:rFonts w:ascii="Verdana" w:hAnsi="Verdana" w:cs="Arial"/>
          <w:sz w:val="22"/>
          <w:szCs w:val="22"/>
        </w:rPr>
      </w:pPr>
    </w:p>
    <w:p w14:paraId="4991097D" w14:textId="77777777" w:rsidR="00446BE1" w:rsidRDefault="00446BE1" w:rsidP="00385057">
      <w:pPr>
        <w:jc w:val="both"/>
        <w:rPr>
          <w:rFonts w:ascii="Verdana" w:hAnsi="Verdana" w:cs="Arial"/>
          <w:sz w:val="22"/>
          <w:szCs w:val="22"/>
        </w:rPr>
      </w:pPr>
    </w:p>
    <w:p w14:paraId="1509D815" w14:textId="77777777" w:rsidR="006B5AC7" w:rsidRDefault="006B5AC7" w:rsidP="00385057">
      <w:pPr>
        <w:jc w:val="both"/>
        <w:rPr>
          <w:rFonts w:ascii="Verdana" w:hAnsi="Verdana" w:cs="Arial"/>
          <w:sz w:val="22"/>
          <w:szCs w:val="22"/>
        </w:rPr>
      </w:pPr>
    </w:p>
    <w:p w14:paraId="3D0F42BD" w14:textId="1410688D" w:rsidR="003B2049" w:rsidRPr="005055C2" w:rsidRDefault="0090542D" w:rsidP="00385057">
      <w:pPr>
        <w:pStyle w:val="Ttulo2"/>
        <w:spacing w:before="0"/>
        <w:rPr>
          <w:rFonts w:ascii="Verdana" w:hAnsi="Verdana" w:cs="Arial"/>
          <w:b/>
          <w:bCs/>
          <w:color w:val="auto"/>
          <w:sz w:val="22"/>
          <w:szCs w:val="22"/>
        </w:rPr>
      </w:pPr>
      <w:bookmarkStart w:id="6" w:name="_Toc213403769"/>
      <w:r>
        <w:rPr>
          <w:rFonts w:ascii="Verdana" w:hAnsi="Verdana" w:cs="Arial"/>
          <w:b/>
          <w:bCs/>
          <w:color w:val="auto"/>
          <w:sz w:val="22"/>
          <w:szCs w:val="22"/>
        </w:rPr>
        <w:lastRenderedPageBreak/>
        <w:t>5.</w:t>
      </w:r>
      <w:r w:rsidR="00446BE1">
        <w:rPr>
          <w:rFonts w:ascii="Verdana" w:hAnsi="Verdana" w:cs="Arial"/>
          <w:b/>
          <w:bCs/>
          <w:color w:val="auto"/>
          <w:sz w:val="22"/>
          <w:szCs w:val="22"/>
        </w:rPr>
        <w:t>7</w:t>
      </w:r>
      <w:r>
        <w:rPr>
          <w:rFonts w:ascii="Verdana" w:hAnsi="Verdana" w:cs="Arial"/>
          <w:b/>
          <w:bCs/>
          <w:color w:val="auto"/>
          <w:sz w:val="22"/>
          <w:szCs w:val="22"/>
        </w:rPr>
        <w:t xml:space="preserve">. </w:t>
      </w:r>
      <w:r w:rsidR="003B2049" w:rsidRPr="005055C2">
        <w:rPr>
          <w:rFonts w:ascii="Verdana" w:hAnsi="Verdana" w:cs="Arial"/>
          <w:b/>
          <w:bCs/>
          <w:color w:val="auto"/>
          <w:sz w:val="22"/>
          <w:szCs w:val="22"/>
        </w:rPr>
        <w:t>Captura y Clasificación Documental</w:t>
      </w:r>
      <w:bookmarkEnd w:id="6"/>
    </w:p>
    <w:p w14:paraId="0D80277A" w14:textId="77777777" w:rsidR="003B2049" w:rsidRPr="00266A04" w:rsidRDefault="003B2049" w:rsidP="00385057">
      <w:pPr>
        <w:rPr>
          <w:rFonts w:ascii="Verdana" w:hAnsi="Verdana"/>
          <w:sz w:val="22"/>
          <w:szCs w:val="22"/>
        </w:rPr>
      </w:pPr>
    </w:p>
    <w:p w14:paraId="08772C7F" w14:textId="77777777" w:rsidR="003B2049" w:rsidRDefault="003B2049" w:rsidP="00385057">
      <w:pPr>
        <w:jc w:val="both"/>
        <w:rPr>
          <w:rFonts w:ascii="Verdana" w:hAnsi="Verdana" w:cs="Arial"/>
          <w:sz w:val="22"/>
          <w:szCs w:val="22"/>
        </w:rPr>
      </w:pPr>
      <w:r w:rsidRPr="00266A04">
        <w:rPr>
          <w:rFonts w:ascii="Verdana" w:hAnsi="Verdana" w:cs="Arial"/>
          <w:sz w:val="22"/>
          <w:szCs w:val="22"/>
        </w:rPr>
        <w:t>La gestión documental electrónica de la Superintendencia de Sociedades inicia con la captura multicanal de los documentos electrónicos y digitalizados, garantizando su autenticidad, integridad y trazabilidad desde el momento de su ingreso al sistema.</w:t>
      </w:r>
    </w:p>
    <w:p w14:paraId="72185C8C" w14:textId="77777777" w:rsidR="00266A04" w:rsidRPr="00266A04" w:rsidRDefault="00266A04" w:rsidP="00385057">
      <w:pPr>
        <w:jc w:val="both"/>
        <w:rPr>
          <w:rFonts w:ascii="Verdana" w:hAnsi="Verdana" w:cs="Arial"/>
          <w:sz w:val="22"/>
          <w:szCs w:val="22"/>
        </w:rPr>
      </w:pPr>
    </w:p>
    <w:p w14:paraId="5EF2A7F3" w14:textId="77777777" w:rsidR="003B2049" w:rsidRDefault="003B2049" w:rsidP="00385057">
      <w:pPr>
        <w:jc w:val="both"/>
        <w:rPr>
          <w:rFonts w:ascii="Verdana" w:hAnsi="Verdana" w:cs="Arial"/>
          <w:sz w:val="22"/>
          <w:szCs w:val="22"/>
        </w:rPr>
      </w:pPr>
      <w:r w:rsidRPr="00ED24DB">
        <w:rPr>
          <w:rFonts w:ascii="Verdana" w:hAnsi="Verdana" w:cs="Arial"/>
          <w:sz w:val="22"/>
          <w:szCs w:val="22"/>
        </w:rPr>
        <w:t>El SGDEA GeDeSS permite la recepción y registro de documentos provenientes de distintas fuentes: radicación electrónica, correo institucional, formularios web, ventanilla física digitalizada y servicios ciudadanos digitales.</w:t>
      </w:r>
    </w:p>
    <w:p w14:paraId="1E220EBD" w14:textId="53AA8B17" w:rsidR="003B2049" w:rsidRDefault="003B2049" w:rsidP="00385057">
      <w:pPr>
        <w:jc w:val="both"/>
        <w:rPr>
          <w:rFonts w:ascii="Verdana" w:hAnsi="Verdana" w:cs="Arial"/>
          <w:sz w:val="22"/>
          <w:szCs w:val="22"/>
        </w:rPr>
      </w:pPr>
      <w:r w:rsidRPr="00ED24DB">
        <w:rPr>
          <w:rFonts w:ascii="Verdana" w:hAnsi="Verdana" w:cs="Arial"/>
          <w:sz w:val="22"/>
          <w:szCs w:val="22"/>
        </w:rPr>
        <w:t>Cada documento es identificado</w:t>
      </w:r>
      <w:r w:rsidR="00971261">
        <w:rPr>
          <w:rFonts w:ascii="Verdana" w:hAnsi="Verdana" w:cs="Arial"/>
          <w:sz w:val="22"/>
          <w:szCs w:val="22"/>
        </w:rPr>
        <w:t xml:space="preserve"> mediante metadatos</w:t>
      </w:r>
      <w:r w:rsidRPr="00AA6815">
        <w:rPr>
          <w:rFonts w:ascii="Verdana" w:hAnsi="Verdana" w:cs="Arial"/>
          <w:sz w:val="22"/>
          <w:szCs w:val="22"/>
        </w:rPr>
        <w:t xml:space="preserve"> y clasificado automáticamente con base en las Tablas de Retención Documental (TRD)</w:t>
      </w:r>
      <w:r w:rsidR="00AA6815">
        <w:rPr>
          <w:rFonts w:ascii="Verdana" w:hAnsi="Verdana" w:cs="Arial"/>
          <w:sz w:val="22"/>
          <w:szCs w:val="22"/>
        </w:rPr>
        <w:t xml:space="preserve"> (</w:t>
      </w:r>
      <w:r w:rsidR="00AA6815" w:rsidRPr="00AA6815">
        <w:rPr>
          <w:rFonts w:ascii="Verdana" w:hAnsi="Verdana" w:cs="Arial"/>
          <w:sz w:val="22"/>
          <w:szCs w:val="22"/>
        </w:rPr>
        <w:t>GDO-FM-008</w:t>
      </w:r>
      <w:r w:rsidR="00AA6815">
        <w:rPr>
          <w:rFonts w:ascii="Verdana" w:hAnsi="Verdana" w:cs="Arial"/>
          <w:sz w:val="22"/>
          <w:szCs w:val="22"/>
        </w:rPr>
        <w:t>)</w:t>
      </w:r>
      <w:r w:rsidRPr="00AA6815">
        <w:rPr>
          <w:rFonts w:ascii="Verdana" w:hAnsi="Verdana" w:cs="Arial"/>
          <w:sz w:val="22"/>
          <w:szCs w:val="22"/>
        </w:rPr>
        <w:t xml:space="preserve"> y las Tablas de Valoración Documental (TVD) </w:t>
      </w:r>
      <w:r w:rsidR="00AA6815">
        <w:rPr>
          <w:rFonts w:ascii="Verdana" w:hAnsi="Verdana" w:cs="Arial"/>
          <w:sz w:val="22"/>
          <w:szCs w:val="22"/>
        </w:rPr>
        <w:t>(</w:t>
      </w:r>
      <w:r w:rsidR="00AA6815" w:rsidRPr="00AA6815">
        <w:rPr>
          <w:rFonts w:ascii="Verdana" w:hAnsi="Verdana" w:cs="Arial"/>
          <w:sz w:val="22"/>
          <w:szCs w:val="22"/>
        </w:rPr>
        <w:t>GDO-FM-028</w:t>
      </w:r>
      <w:r w:rsidR="00AA6815">
        <w:rPr>
          <w:rFonts w:ascii="Verdana" w:hAnsi="Verdana" w:cs="Arial"/>
          <w:sz w:val="22"/>
          <w:szCs w:val="22"/>
        </w:rPr>
        <w:t xml:space="preserve">) </w:t>
      </w:r>
      <w:r w:rsidRPr="00AA6815">
        <w:rPr>
          <w:rFonts w:ascii="Verdana" w:hAnsi="Verdana" w:cs="Arial"/>
          <w:sz w:val="22"/>
          <w:szCs w:val="22"/>
        </w:rPr>
        <w:t>institucionales. Este proceso de clasificación se ejecuta mediante reglas parametrizadas que asocian cada tipo documental con su serie, subserie y tiempo de</w:t>
      </w:r>
      <w:r w:rsidRPr="00E11F09">
        <w:rPr>
          <w:rFonts w:ascii="Verdana" w:hAnsi="Verdana"/>
        </w:rPr>
        <w:t xml:space="preserve"> </w:t>
      </w:r>
      <w:r w:rsidRPr="00AA6815">
        <w:rPr>
          <w:rFonts w:ascii="Verdana" w:hAnsi="Verdana" w:cs="Arial"/>
          <w:sz w:val="22"/>
          <w:szCs w:val="22"/>
        </w:rPr>
        <w:t>retención, conforme al Acuerdo 001 de 2024 y la ISO 16175-2, sección 6 (captura e incorporación).</w:t>
      </w:r>
    </w:p>
    <w:p w14:paraId="3232168D" w14:textId="77777777" w:rsidR="00266A04" w:rsidRPr="00AA6815" w:rsidRDefault="00266A04" w:rsidP="00385057">
      <w:pPr>
        <w:jc w:val="both"/>
        <w:rPr>
          <w:rFonts w:ascii="Verdana" w:hAnsi="Verdana" w:cs="Arial"/>
          <w:sz w:val="22"/>
          <w:szCs w:val="22"/>
        </w:rPr>
      </w:pPr>
    </w:p>
    <w:p w14:paraId="1B9C2CFF" w14:textId="77777777" w:rsidR="003B2049" w:rsidRDefault="003B2049" w:rsidP="00B431AE">
      <w:pPr>
        <w:jc w:val="both"/>
        <w:rPr>
          <w:rFonts w:ascii="Verdana" w:hAnsi="Verdana" w:cs="Arial"/>
          <w:sz w:val="22"/>
          <w:szCs w:val="22"/>
        </w:rPr>
      </w:pPr>
      <w:r w:rsidRPr="00AA6815">
        <w:rPr>
          <w:rFonts w:ascii="Verdana" w:hAnsi="Verdana" w:cs="Arial"/>
          <w:sz w:val="22"/>
          <w:szCs w:val="22"/>
        </w:rPr>
        <w:t>El sistema registra la trazabilidad completa de la captura (usuario, canal, fecha y hora), permitiendo la verificación de origen, estructura y contexto de cada documento.</w:t>
      </w:r>
    </w:p>
    <w:p w14:paraId="5176FF4A" w14:textId="3E68788F" w:rsidR="003B2049" w:rsidRDefault="00266A04" w:rsidP="00B431AE">
      <w:pPr>
        <w:jc w:val="both"/>
        <w:rPr>
          <w:rFonts w:ascii="Verdana" w:hAnsi="Verdana" w:cs="Arial"/>
          <w:sz w:val="22"/>
          <w:szCs w:val="22"/>
        </w:rPr>
      </w:pPr>
      <w:r w:rsidRPr="00AA6815">
        <w:rPr>
          <w:rFonts w:ascii="Verdana" w:hAnsi="Verdana" w:cs="Arial"/>
          <w:sz w:val="22"/>
          <w:szCs w:val="22"/>
        </w:rPr>
        <w:t>Así</w:t>
      </w:r>
      <w:r w:rsidR="003B2049" w:rsidRPr="00AA6815">
        <w:rPr>
          <w:rFonts w:ascii="Verdana" w:hAnsi="Verdana" w:cs="Arial"/>
          <w:sz w:val="22"/>
          <w:szCs w:val="22"/>
        </w:rPr>
        <w:t xml:space="preserve"> mismo, se implementan tecnologías OCR/ICR para el reconocimiento de texto y la búsqueda avanzada de contenido, fortaleciendo el acceso y la gestión de la información documental en formato electrónico.</w:t>
      </w:r>
    </w:p>
    <w:p w14:paraId="4957BB06" w14:textId="77777777" w:rsidR="00761E38" w:rsidRDefault="00761E38" w:rsidP="00266A04">
      <w:pPr>
        <w:jc w:val="both"/>
        <w:rPr>
          <w:rFonts w:ascii="Verdana" w:hAnsi="Verdana" w:cs="Arial"/>
          <w:sz w:val="22"/>
          <w:szCs w:val="22"/>
        </w:rPr>
      </w:pPr>
    </w:p>
    <w:p w14:paraId="4B83374A" w14:textId="77777777" w:rsidR="00266A04" w:rsidRDefault="00266A04" w:rsidP="00266A04">
      <w:pPr>
        <w:jc w:val="both"/>
        <w:rPr>
          <w:rFonts w:ascii="Verdana" w:hAnsi="Verdana" w:cs="Arial"/>
          <w:sz w:val="22"/>
          <w:szCs w:val="22"/>
        </w:rPr>
      </w:pPr>
    </w:p>
    <w:p w14:paraId="5D2C8CC1" w14:textId="1BB2198E" w:rsidR="003B2049" w:rsidRPr="005055C2" w:rsidRDefault="008B7B9F" w:rsidP="00266A04">
      <w:pPr>
        <w:pStyle w:val="Ttulo2"/>
        <w:spacing w:before="0"/>
        <w:rPr>
          <w:rFonts w:ascii="Verdana" w:hAnsi="Verdana" w:cs="Arial"/>
          <w:b/>
          <w:bCs/>
          <w:color w:val="auto"/>
          <w:sz w:val="22"/>
          <w:szCs w:val="22"/>
        </w:rPr>
      </w:pPr>
      <w:bookmarkStart w:id="7" w:name="_Toc213403770"/>
      <w:r>
        <w:rPr>
          <w:rFonts w:ascii="Verdana" w:hAnsi="Verdana" w:cs="Arial"/>
          <w:b/>
          <w:bCs/>
          <w:color w:val="auto"/>
          <w:sz w:val="22"/>
          <w:szCs w:val="22"/>
        </w:rPr>
        <w:t>5.</w:t>
      </w:r>
      <w:r w:rsidR="00446BE1">
        <w:rPr>
          <w:rFonts w:ascii="Verdana" w:hAnsi="Verdana" w:cs="Arial"/>
          <w:b/>
          <w:bCs/>
          <w:color w:val="auto"/>
          <w:sz w:val="22"/>
          <w:szCs w:val="22"/>
        </w:rPr>
        <w:t>7</w:t>
      </w:r>
      <w:r>
        <w:rPr>
          <w:rFonts w:ascii="Verdana" w:hAnsi="Verdana" w:cs="Arial"/>
          <w:b/>
          <w:bCs/>
          <w:color w:val="auto"/>
          <w:sz w:val="22"/>
          <w:szCs w:val="22"/>
        </w:rPr>
        <w:t xml:space="preserve">.1. </w:t>
      </w:r>
      <w:r w:rsidR="003B2049" w:rsidRPr="005055C2">
        <w:rPr>
          <w:rFonts w:ascii="Verdana" w:hAnsi="Verdana" w:cs="Arial"/>
          <w:b/>
          <w:bCs/>
          <w:color w:val="auto"/>
          <w:sz w:val="22"/>
          <w:szCs w:val="22"/>
        </w:rPr>
        <w:t>Interoperabilidad Interna y Externa</w:t>
      </w:r>
      <w:bookmarkEnd w:id="7"/>
    </w:p>
    <w:p w14:paraId="11209DE9" w14:textId="77777777" w:rsidR="003B2049" w:rsidRPr="00E11F09" w:rsidRDefault="003B2049" w:rsidP="00266A04">
      <w:pPr>
        <w:rPr>
          <w:rFonts w:ascii="Verdana" w:hAnsi="Verdana"/>
        </w:rPr>
      </w:pPr>
    </w:p>
    <w:p w14:paraId="2B56A64C" w14:textId="77777777" w:rsidR="003B2049" w:rsidRDefault="003B2049" w:rsidP="00266A04">
      <w:pPr>
        <w:jc w:val="both"/>
        <w:rPr>
          <w:rFonts w:ascii="Verdana" w:hAnsi="Verdana" w:cs="Arial"/>
          <w:sz w:val="22"/>
          <w:szCs w:val="22"/>
        </w:rPr>
      </w:pPr>
      <w:r w:rsidRPr="00AA6815">
        <w:rPr>
          <w:rFonts w:ascii="Verdana" w:hAnsi="Verdana" w:cs="Arial"/>
          <w:sz w:val="22"/>
          <w:szCs w:val="22"/>
        </w:rPr>
        <w:t>La interoperabilidad constituye un eje fundamental del Modelo de Requisitos 2025, asegurando que los sistemas institucionales intercambien información documental de manera segura, estructurada y verificable.</w:t>
      </w:r>
    </w:p>
    <w:p w14:paraId="23C3AC78" w14:textId="77777777" w:rsidR="00266A04" w:rsidRPr="00AA6815" w:rsidRDefault="00266A04" w:rsidP="00266A04">
      <w:pPr>
        <w:jc w:val="both"/>
        <w:rPr>
          <w:rFonts w:ascii="Verdana" w:hAnsi="Verdana" w:cs="Arial"/>
          <w:sz w:val="22"/>
          <w:szCs w:val="22"/>
        </w:rPr>
      </w:pPr>
    </w:p>
    <w:p w14:paraId="3636835B" w14:textId="25596FB8" w:rsidR="003B2049" w:rsidRDefault="003B2049" w:rsidP="00266A04">
      <w:pPr>
        <w:jc w:val="both"/>
        <w:rPr>
          <w:rFonts w:ascii="Verdana" w:hAnsi="Verdana" w:cs="Arial"/>
          <w:sz w:val="22"/>
          <w:szCs w:val="22"/>
        </w:rPr>
      </w:pPr>
      <w:r w:rsidRPr="00AA6815">
        <w:rPr>
          <w:rFonts w:ascii="Verdana" w:hAnsi="Verdana" w:cs="Arial"/>
          <w:sz w:val="22"/>
          <w:szCs w:val="22"/>
        </w:rPr>
        <w:t>El SGDEA GeDeSS se encuentra integrado con los sistemas internos de la Entidad, como el módulo de atención al ciudadano (PQRS)</w:t>
      </w:r>
      <w:r w:rsidR="000F5DCD">
        <w:rPr>
          <w:rFonts w:ascii="Verdana" w:hAnsi="Verdana" w:cs="Arial"/>
          <w:sz w:val="22"/>
          <w:szCs w:val="22"/>
        </w:rPr>
        <w:t xml:space="preserve">, SIGS, STORM, SIRFIN, BPM, Expediente Digital. </w:t>
      </w:r>
      <w:r w:rsidRPr="00AA6815">
        <w:rPr>
          <w:rFonts w:ascii="Verdana" w:hAnsi="Verdana" w:cs="Arial"/>
          <w:sz w:val="22"/>
          <w:szCs w:val="22"/>
        </w:rPr>
        <w:t>Esta interoperabilidad interna garantiza la continuidad del flujo documental desde su radicación hasta su preservación.</w:t>
      </w:r>
    </w:p>
    <w:p w14:paraId="61F56166" w14:textId="77777777" w:rsidR="00266A04" w:rsidRPr="00AA6815" w:rsidRDefault="00266A04" w:rsidP="00266A04">
      <w:pPr>
        <w:jc w:val="both"/>
        <w:rPr>
          <w:rFonts w:ascii="Verdana" w:hAnsi="Verdana" w:cs="Arial"/>
          <w:sz w:val="22"/>
          <w:szCs w:val="22"/>
        </w:rPr>
      </w:pPr>
    </w:p>
    <w:p w14:paraId="40C330F9" w14:textId="77777777" w:rsidR="00D13D9E" w:rsidRDefault="00D13D9E" w:rsidP="0071377A">
      <w:pPr>
        <w:pStyle w:val="Ttulo2"/>
        <w:spacing w:before="0"/>
        <w:rPr>
          <w:rFonts w:ascii="Verdana" w:hAnsi="Verdana" w:cs="Arial"/>
          <w:b/>
          <w:bCs/>
          <w:color w:val="auto"/>
          <w:sz w:val="22"/>
          <w:szCs w:val="22"/>
        </w:rPr>
      </w:pPr>
      <w:bookmarkStart w:id="8" w:name="_Toc213403771"/>
    </w:p>
    <w:p w14:paraId="099E70E9" w14:textId="228CA574" w:rsidR="003B2049" w:rsidRPr="00D13D9E" w:rsidRDefault="00052904" w:rsidP="0071377A">
      <w:pPr>
        <w:pStyle w:val="Ttulo2"/>
        <w:spacing w:before="0"/>
        <w:rPr>
          <w:rFonts w:ascii="Verdana" w:hAnsi="Verdana" w:cs="Arial"/>
          <w:b/>
          <w:bCs/>
          <w:color w:val="auto"/>
          <w:sz w:val="22"/>
          <w:szCs w:val="22"/>
        </w:rPr>
      </w:pPr>
      <w:r>
        <w:rPr>
          <w:rFonts w:ascii="Verdana" w:hAnsi="Verdana" w:cs="Arial"/>
          <w:b/>
          <w:bCs/>
          <w:color w:val="auto"/>
          <w:sz w:val="22"/>
          <w:szCs w:val="22"/>
        </w:rPr>
        <w:t>5.</w:t>
      </w:r>
      <w:r w:rsidR="00446BE1">
        <w:rPr>
          <w:rFonts w:ascii="Verdana" w:hAnsi="Verdana" w:cs="Arial"/>
          <w:b/>
          <w:bCs/>
          <w:color w:val="auto"/>
          <w:sz w:val="22"/>
          <w:szCs w:val="22"/>
        </w:rPr>
        <w:t>7</w:t>
      </w:r>
      <w:r>
        <w:rPr>
          <w:rFonts w:ascii="Verdana" w:hAnsi="Verdana" w:cs="Arial"/>
          <w:b/>
          <w:bCs/>
          <w:color w:val="auto"/>
          <w:sz w:val="22"/>
          <w:szCs w:val="22"/>
        </w:rPr>
        <w:t>.2</w:t>
      </w:r>
      <w:r w:rsidR="00775DB1">
        <w:rPr>
          <w:rFonts w:ascii="Verdana" w:hAnsi="Verdana" w:cs="Arial"/>
          <w:b/>
          <w:bCs/>
          <w:color w:val="auto"/>
          <w:sz w:val="22"/>
          <w:szCs w:val="22"/>
        </w:rPr>
        <w:t>.</w:t>
      </w:r>
      <w:r w:rsidR="003B2049" w:rsidRPr="00D13D9E">
        <w:rPr>
          <w:rFonts w:ascii="Verdana" w:eastAsiaTheme="minorEastAsia" w:hAnsi="Verdana" w:cstheme="minorBidi"/>
          <w:b/>
          <w:bCs/>
          <w:color w:val="auto"/>
          <w:sz w:val="22"/>
          <w:szCs w:val="22"/>
        </w:rPr>
        <w:t xml:space="preserve"> </w:t>
      </w:r>
      <w:r w:rsidR="003B2049" w:rsidRPr="00D13D9E">
        <w:rPr>
          <w:rFonts w:ascii="Verdana" w:hAnsi="Verdana" w:cs="Arial"/>
          <w:b/>
          <w:bCs/>
          <w:color w:val="auto"/>
          <w:sz w:val="22"/>
          <w:szCs w:val="22"/>
        </w:rPr>
        <w:t>Migración y Conversión Tecnológica</w:t>
      </w:r>
      <w:bookmarkEnd w:id="8"/>
    </w:p>
    <w:p w14:paraId="1E5E47D4" w14:textId="77777777" w:rsidR="003B2049" w:rsidRPr="0071377A" w:rsidRDefault="003B2049" w:rsidP="0071377A">
      <w:pPr>
        <w:rPr>
          <w:rFonts w:ascii="Verdana" w:hAnsi="Verdana"/>
          <w:sz w:val="22"/>
          <w:szCs w:val="22"/>
        </w:rPr>
      </w:pPr>
    </w:p>
    <w:p w14:paraId="4E51380B" w14:textId="07335F0A" w:rsidR="005E6321" w:rsidRDefault="003B2049" w:rsidP="005E6321">
      <w:pPr>
        <w:jc w:val="both"/>
        <w:rPr>
          <w:rFonts w:ascii="Verdana" w:hAnsi="Verdana" w:cs="Arial"/>
          <w:sz w:val="22"/>
          <w:szCs w:val="22"/>
        </w:rPr>
      </w:pPr>
      <w:r w:rsidRPr="00D13D9E">
        <w:rPr>
          <w:rFonts w:ascii="Verdana" w:hAnsi="Verdana" w:cs="Arial"/>
          <w:sz w:val="22"/>
          <w:szCs w:val="22"/>
        </w:rPr>
        <w:t xml:space="preserve">El </w:t>
      </w:r>
      <w:r w:rsidR="00D13D9E" w:rsidRPr="00D13D9E">
        <w:rPr>
          <w:rFonts w:ascii="Verdana" w:hAnsi="Verdana" w:cs="Arial"/>
          <w:sz w:val="22"/>
          <w:szCs w:val="22"/>
        </w:rPr>
        <w:t>Sistema de Gestión de Documentos Electrónicos de Archivo (</w:t>
      </w:r>
      <w:r w:rsidR="00D13D9E">
        <w:rPr>
          <w:rFonts w:ascii="Verdana" w:hAnsi="Verdana" w:cs="Arial"/>
          <w:sz w:val="22"/>
          <w:szCs w:val="22"/>
        </w:rPr>
        <w:t>actualmente</w:t>
      </w:r>
      <w:r w:rsidRPr="0071377A">
        <w:rPr>
          <w:rFonts w:ascii="Verdana" w:hAnsi="Verdana" w:cs="Arial"/>
          <w:sz w:val="22"/>
          <w:szCs w:val="22"/>
        </w:rPr>
        <w:t xml:space="preserve"> GeDeSS</w:t>
      </w:r>
      <w:r w:rsidR="00D13D9E">
        <w:rPr>
          <w:rFonts w:ascii="Verdana" w:hAnsi="Verdana" w:cs="Arial"/>
          <w:sz w:val="22"/>
          <w:szCs w:val="22"/>
        </w:rPr>
        <w:t>)</w:t>
      </w:r>
      <w:r w:rsidRPr="0071377A">
        <w:rPr>
          <w:rFonts w:ascii="Verdana" w:hAnsi="Verdana" w:cs="Arial"/>
          <w:sz w:val="22"/>
          <w:szCs w:val="22"/>
        </w:rPr>
        <w:t xml:space="preserve"> implementa procedimientos </w:t>
      </w:r>
      <w:r w:rsidR="00241DB9" w:rsidRPr="0071377A">
        <w:rPr>
          <w:rFonts w:ascii="Verdana" w:hAnsi="Verdana" w:cs="Arial"/>
          <w:sz w:val="22"/>
          <w:szCs w:val="22"/>
        </w:rPr>
        <w:t>documentados</w:t>
      </w:r>
      <w:r w:rsidR="00241DB9">
        <w:rPr>
          <w:rFonts w:ascii="Verdana" w:hAnsi="Verdana" w:cs="Arial"/>
          <w:sz w:val="22"/>
          <w:szCs w:val="22"/>
        </w:rPr>
        <w:t xml:space="preserve"> para</w:t>
      </w:r>
      <w:r w:rsidR="005E6321">
        <w:rPr>
          <w:rFonts w:ascii="Verdana" w:hAnsi="Verdana" w:cs="Arial"/>
          <w:sz w:val="22"/>
          <w:szCs w:val="22"/>
        </w:rPr>
        <w:t xml:space="preserve"> las </w:t>
      </w:r>
      <w:r w:rsidR="005E6321" w:rsidRPr="005E6321">
        <w:rPr>
          <w:rFonts w:ascii="Verdana" w:hAnsi="Verdana" w:cs="Arial"/>
          <w:sz w:val="22"/>
          <w:szCs w:val="22"/>
        </w:rPr>
        <w:t>Políticas de respaldo institucional</w:t>
      </w:r>
      <w:r w:rsidR="005E6321">
        <w:rPr>
          <w:rFonts w:ascii="Verdana" w:hAnsi="Verdana" w:cs="Arial"/>
          <w:sz w:val="22"/>
          <w:szCs w:val="22"/>
        </w:rPr>
        <w:t xml:space="preserve"> como son</w:t>
      </w:r>
      <w:r w:rsidR="005E6321" w:rsidRPr="005E6321">
        <w:rPr>
          <w:rFonts w:ascii="Verdana" w:hAnsi="Verdana" w:cs="Arial"/>
          <w:sz w:val="22"/>
          <w:szCs w:val="22"/>
        </w:rPr>
        <w:t>:</w:t>
      </w:r>
    </w:p>
    <w:p w14:paraId="60FFBB9F" w14:textId="77777777" w:rsidR="005E6321" w:rsidRPr="005E6321" w:rsidRDefault="005E6321" w:rsidP="005E6321">
      <w:pPr>
        <w:jc w:val="both"/>
        <w:rPr>
          <w:rFonts w:ascii="Verdana" w:hAnsi="Verdana" w:cs="Arial"/>
          <w:sz w:val="22"/>
          <w:szCs w:val="22"/>
        </w:rPr>
      </w:pPr>
    </w:p>
    <w:p w14:paraId="1CDFDA4F" w14:textId="77777777" w:rsidR="005E6321" w:rsidRPr="005E6321" w:rsidRDefault="005E6321" w:rsidP="00A27AA5">
      <w:pPr>
        <w:pStyle w:val="Prrafodelista"/>
        <w:numPr>
          <w:ilvl w:val="0"/>
          <w:numId w:val="35"/>
        </w:numPr>
        <w:jc w:val="both"/>
        <w:rPr>
          <w:rFonts w:ascii="Verdana" w:hAnsi="Verdana" w:cs="Arial"/>
          <w:sz w:val="22"/>
          <w:szCs w:val="22"/>
        </w:rPr>
      </w:pPr>
      <w:r w:rsidRPr="005E6321">
        <w:rPr>
          <w:rFonts w:ascii="Verdana" w:hAnsi="Verdana" w:cs="Arial"/>
          <w:sz w:val="22"/>
          <w:szCs w:val="22"/>
        </w:rPr>
        <w:lastRenderedPageBreak/>
        <w:t>GTI-GU-004- GUIA: GESTIÓN DE LA CONFIGURACIÓN (respaldo_Backup Logs y Registros de Auditoría)</w:t>
      </w:r>
    </w:p>
    <w:p w14:paraId="52C6DA25" w14:textId="77777777" w:rsidR="005E6321" w:rsidRPr="005E6321" w:rsidRDefault="005E6321" w:rsidP="00A27AA5">
      <w:pPr>
        <w:pStyle w:val="Prrafodelista"/>
        <w:numPr>
          <w:ilvl w:val="0"/>
          <w:numId w:val="35"/>
        </w:numPr>
        <w:jc w:val="both"/>
        <w:rPr>
          <w:rFonts w:ascii="Verdana" w:hAnsi="Verdana" w:cs="Arial"/>
          <w:sz w:val="22"/>
          <w:szCs w:val="22"/>
        </w:rPr>
      </w:pPr>
      <w:r w:rsidRPr="005E6321">
        <w:rPr>
          <w:rFonts w:ascii="Verdana" w:hAnsi="Verdana" w:cs="Arial"/>
          <w:sz w:val="22"/>
          <w:szCs w:val="22"/>
        </w:rPr>
        <w:t>GTI-GU-005_ GUÍA: PLAN DE RECUPERACIÓN ANTE DESASTRES</w:t>
      </w:r>
    </w:p>
    <w:p w14:paraId="31ABA84A" w14:textId="77777777" w:rsidR="005E6321" w:rsidRPr="005E6321" w:rsidRDefault="005E6321" w:rsidP="00A27AA5">
      <w:pPr>
        <w:pStyle w:val="Prrafodelista"/>
        <w:numPr>
          <w:ilvl w:val="0"/>
          <w:numId w:val="35"/>
        </w:numPr>
        <w:jc w:val="both"/>
        <w:rPr>
          <w:rFonts w:ascii="Verdana" w:hAnsi="Verdana" w:cs="Arial"/>
          <w:sz w:val="22"/>
          <w:szCs w:val="22"/>
        </w:rPr>
      </w:pPr>
      <w:r w:rsidRPr="005E6321">
        <w:rPr>
          <w:rFonts w:ascii="Verdana" w:hAnsi="Verdana" w:cs="Arial"/>
          <w:sz w:val="22"/>
          <w:szCs w:val="22"/>
        </w:rPr>
        <w:t>GTI-GU-006_ GUÍA: GESTIÓN DE INCIDENTES</w:t>
      </w:r>
    </w:p>
    <w:p w14:paraId="3900ABAB" w14:textId="2163F979" w:rsidR="005E6321" w:rsidRPr="005E6321" w:rsidRDefault="005E6321" w:rsidP="00A27AA5">
      <w:pPr>
        <w:pStyle w:val="Prrafodelista"/>
        <w:numPr>
          <w:ilvl w:val="0"/>
          <w:numId w:val="35"/>
        </w:numPr>
        <w:jc w:val="both"/>
        <w:rPr>
          <w:rFonts w:ascii="Verdana" w:hAnsi="Verdana" w:cs="Arial"/>
          <w:sz w:val="22"/>
          <w:szCs w:val="22"/>
        </w:rPr>
      </w:pPr>
      <w:r w:rsidRPr="005E6321">
        <w:rPr>
          <w:rFonts w:ascii="Verdana" w:hAnsi="Verdana" w:cs="Arial"/>
          <w:sz w:val="22"/>
          <w:szCs w:val="22"/>
        </w:rPr>
        <w:t>GTI-GU-007 _GUIA: PLAN DE CONTINGENCIA EXPEDIENTE-DIGITAL</w:t>
      </w:r>
    </w:p>
    <w:p w14:paraId="0382200F" w14:textId="77777777" w:rsidR="005E6321" w:rsidRDefault="005E6321" w:rsidP="0071377A">
      <w:pPr>
        <w:jc w:val="both"/>
        <w:rPr>
          <w:rFonts w:ascii="Verdana" w:hAnsi="Verdana" w:cs="Arial"/>
          <w:sz w:val="22"/>
          <w:szCs w:val="22"/>
        </w:rPr>
      </w:pPr>
    </w:p>
    <w:p w14:paraId="736C59CB" w14:textId="77777777" w:rsidR="00CC4053" w:rsidRDefault="00CC4053" w:rsidP="0071377A">
      <w:pPr>
        <w:jc w:val="both"/>
        <w:rPr>
          <w:rFonts w:ascii="Verdana" w:hAnsi="Verdana" w:cs="Arial"/>
          <w:sz w:val="22"/>
          <w:szCs w:val="22"/>
        </w:rPr>
      </w:pPr>
    </w:p>
    <w:p w14:paraId="6B59E403" w14:textId="13F02A93" w:rsidR="003B2049" w:rsidRPr="0071377A" w:rsidRDefault="003B2049" w:rsidP="0071377A">
      <w:pPr>
        <w:jc w:val="both"/>
        <w:rPr>
          <w:rFonts w:ascii="Verdana" w:hAnsi="Verdana" w:cs="Arial"/>
          <w:sz w:val="22"/>
          <w:szCs w:val="22"/>
        </w:rPr>
      </w:pPr>
      <w:r w:rsidRPr="0071377A">
        <w:rPr>
          <w:rFonts w:ascii="Verdana" w:hAnsi="Verdana" w:cs="Arial"/>
          <w:sz w:val="22"/>
          <w:szCs w:val="22"/>
        </w:rPr>
        <w:t>Los formatos aprobados para la preservación son los definidos por el Archivo General de la Nación (PDF/A-3, XML, CSV, TIFF), conforme al artículo 31 del Acuerdo 001 de 2024 y la ISO 16175-2 sección 8, que establece la obligación de conservar la autenticidad y accesibilidad del documento a lo largo de su ciclo de vida.</w:t>
      </w:r>
    </w:p>
    <w:p w14:paraId="633D4BD2" w14:textId="77777777" w:rsidR="0071377A" w:rsidRPr="0071377A" w:rsidRDefault="0071377A" w:rsidP="0071377A">
      <w:pPr>
        <w:jc w:val="both"/>
        <w:rPr>
          <w:rFonts w:ascii="Verdana" w:hAnsi="Verdana" w:cs="Arial"/>
          <w:sz w:val="22"/>
          <w:szCs w:val="22"/>
        </w:rPr>
      </w:pPr>
    </w:p>
    <w:p w14:paraId="2D4044AC" w14:textId="18D45797" w:rsidR="003B2049" w:rsidRDefault="003B2049" w:rsidP="0071377A">
      <w:pPr>
        <w:jc w:val="both"/>
        <w:rPr>
          <w:rFonts w:ascii="Verdana" w:hAnsi="Verdana" w:cs="Arial"/>
          <w:sz w:val="22"/>
          <w:szCs w:val="22"/>
        </w:rPr>
      </w:pPr>
      <w:r w:rsidRPr="0071377A">
        <w:rPr>
          <w:rFonts w:ascii="Verdana" w:hAnsi="Verdana" w:cs="Arial"/>
          <w:sz w:val="22"/>
          <w:szCs w:val="22"/>
        </w:rPr>
        <w:t>Estos procesos se articulan con el Sistema Integrado de Conservación (SIC</w:t>
      </w:r>
      <w:r w:rsidR="0071377A" w:rsidRPr="0071377A">
        <w:rPr>
          <w:rFonts w:ascii="Verdana" w:hAnsi="Verdana" w:cs="Arial"/>
          <w:sz w:val="22"/>
          <w:szCs w:val="22"/>
        </w:rPr>
        <w:t>),</w:t>
      </w:r>
      <w:r w:rsidR="00D74BE5" w:rsidRPr="0071377A">
        <w:rPr>
          <w:rFonts w:ascii="Verdana" w:hAnsi="Verdana" w:cs="Arial"/>
          <w:sz w:val="22"/>
          <w:szCs w:val="22"/>
        </w:rPr>
        <w:t xml:space="preserve"> identificado en el mapa de proceso de Gestión Documental bajo el código </w:t>
      </w:r>
      <w:r w:rsidR="00D74BE5" w:rsidRPr="00FA09D8">
        <w:rPr>
          <w:rFonts w:ascii="Verdana" w:hAnsi="Verdana" w:cs="Arial"/>
          <w:sz w:val="22"/>
          <w:szCs w:val="22"/>
        </w:rPr>
        <w:t xml:space="preserve">GDOC-M-004 </w:t>
      </w:r>
      <w:r w:rsidRPr="0071377A">
        <w:rPr>
          <w:rFonts w:ascii="Verdana" w:hAnsi="Verdana" w:cs="Arial"/>
          <w:sz w:val="22"/>
          <w:szCs w:val="22"/>
        </w:rPr>
        <w:t>y el Plan de Preservación Digital, garantizando la sostenibilidad de los activos documentales electrónicos.</w:t>
      </w:r>
    </w:p>
    <w:p w14:paraId="4CAB054E" w14:textId="77777777" w:rsidR="00DD15F2" w:rsidRPr="0071377A" w:rsidRDefault="00DD15F2" w:rsidP="00DD15F2">
      <w:pPr>
        <w:jc w:val="both"/>
        <w:rPr>
          <w:rFonts w:ascii="Verdana" w:hAnsi="Verdana" w:cs="Arial"/>
          <w:sz w:val="22"/>
          <w:szCs w:val="22"/>
        </w:rPr>
      </w:pPr>
    </w:p>
    <w:p w14:paraId="159745CA" w14:textId="3F9437E9" w:rsidR="003B2049" w:rsidRPr="005055C2" w:rsidRDefault="008B7B9F" w:rsidP="00DD15F2">
      <w:pPr>
        <w:pStyle w:val="Ttulo2"/>
        <w:spacing w:before="0"/>
        <w:rPr>
          <w:rFonts w:ascii="Verdana" w:hAnsi="Verdana" w:cs="Arial"/>
          <w:b/>
          <w:bCs/>
          <w:color w:val="auto"/>
          <w:sz w:val="22"/>
          <w:szCs w:val="22"/>
        </w:rPr>
      </w:pPr>
      <w:bookmarkStart w:id="9" w:name="_Toc213403772"/>
      <w:r>
        <w:rPr>
          <w:rFonts w:ascii="Verdana" w:hAnsi="Verdana" w:cs="Arial"/>
          <w:b/>
          <w:bCs/>
          <w:color w:val="auto"/>
          <w:sz w:val="22"/>
          <w:szCs w:val="22"/>
        </w:rPr>
        <w:t>5.</w:t>
      </w:r>
      <w:r w:rsidR="00446BE1">
        <w:rPr>
          <w:rFonts w:ascii="Verdana" w:hAnsi="Verdana" w:cs="Arial"/>
          <w:b/>
          <w:bCs/>
          <w:color w:val="auto"/>
          <w:sz w:val="22"/>
          <w:szCs w:val="22"/>
        </w:rPr>
        <w:t>7</w:t>
      </w:r>
      <w:r>
        <w:rPr>
          <w:rFonts w:ascii="Verdana" w:hAnsi="Verdana" w:cs="Arial"/>
          <w:b/>
          <w:bCs/>
          <w:color w:val="auto"/>
          <w:sz w:val="22"/>
          <w:szCs w:val="22"/>
        </w:rPr>
        <w:t>.</w:t>
      </w:r>
      <w:r w:rsidR="00DB229A">
        <w:rPr>
          <w:rFonts w:ascii="Verdana" w:hAnsi="Verdana" w:cs="Arial"/>
          <w:b/>
          <w:bCs/>
          <w:color w:val="auto"/>
          <w:sz w:val="22"/>
          <w:szCs w:val="22"/>
        </w:rPr>
        <w:t>3</w:t>
      </w:r>
      <w:r>
        <w:rPr>
          <w:rFonts w:ascii="Verdana" w:hAnsi="Verdana" w:cs="Arial"/>
          <w:b/>
          <w:bCs/>
          <w:color w:val="auto"/>
          <w:sz w:val="22"/>
          <w:szCs w:val="22"/>
        </w:rPr>
        <w:t xml:space="preserve">. </w:t>
      </w:r>
      <w:r w:rsidR="003B2049" w:rsidRPr="005055C2">
        <w:rPr>
          <w:rFonts w:ascii="Verdana" w:hAnsi="Verdana" w:cs="Arial"/>
          <w:b/>
          <w:bCs/>
          <w:color w:val="auto"/>
          <w:sz w:val="22"/>
          <w:szCs w:val="22"/>
        </w:rPr>
        <w:t>Expedientes Híbridos y su Gestión Integral</w:t>
      </w:r>
      <w:bookmarkEnd w:id="9"/>
    </w:p>
    <w:p w14:paraId="675D1EE9" w14:textId="77777777" w:rsidR="003B2049" w:rsidRPr="00D6575C" w:rsidRDefault="003B2049" w:rsidP="00DD15F2">
      <w:pPr>
        <w:rPr>
          <w:rFonts w:ascii="Verdana" w:hAnsi="Verdana"/>
          <w:sz w:val="22"/>
          <w:szCs w:val="22"/>
        </w:rPr>
      </w:pPr>
    </w:p>
    <w:p w14:paraId="7A77CA40" w14:textId="77777777" w:rsidR="003B2049" w:rsidRPr="00D6575C" w:rsidRDefault="003B2049" w:rsidP="00DD15F2">
      <w:pPr>
        <w:jc w:val="both"/>
        <w:rPr>
          <w:rFonts w:ascii="Verdana" w:hAnsi="Verdana" w:cs="Arial"/>
          <w:sz w:val="22"/>
          <w:szCs w:val="22"/>
        </w:rPr>
      </w:pPr>
      <w:r w:rsidRPr="00D6575C">
        <w:rPr>
          <w:rFonts w:ascii="Verdana" w:hAnsi="Verdana" w:cs="Arial"/>
          <w:sz w:val="22"/>
          <w:szCs w:val="22"/>
        </w:rPr>
        <w:t>La coexistencia de documentos físicos y electrónicos dentro de un mismo trámite administrativo o proceso judicial ha dado lugar a la conformación de expedientes híbridos, cuya gestión debe asegurar la trazabilidad, integridad y preservación de todos los soportes.</w:t>
      </w:r>
    </w:p>
    <w:p w14:paraId="313AD967" w14:textId="77777777" w:rsidR="00D74BE5" w:rsidRPr="00D6575C" w:rsidRDefault="00D74BE5" w:rsidP="00DD15F2">
      <w:pPr>
        <w:jc w:val="both"/>
        <w:rPr>
          <w:rFonts w:ascii="Verdana" w:hAnsi="Verdana" w:cs="Arial"/>
          <w:sz w:val="22"/>
          <w:szCs w:val="22"/>
        </w:rPr>
      </w:pPr>
    </w:p>
    <w:p w14:paraId="6096F1E2" w14:textId="06725BD1" w:rsidR="003B2049" w:rsidRPr="00D6575C" w:rsidRDefault="003B2049" w:rsidP="00DD15F2">
      <w:pPr>
        <w:jc w:val="both"/>
        <w:rPr>
          <w:rFonts w:ascii="Verdana" w:hAnsi="Verdana" w:cs="Arial"/>
          <w:color w:val="000000" w:themeColor="text1"/>
          <w:sz w:val="22"/>
          <w:szCs w:val="22"/>
        </w:rPr>
      </w:pPr>
      <w:r w:rsidRPr="00D6575C">
        <w:rPr>
          <w:rFonts w:ascii="Verdana" w:hAnsi="Verdana" w:cs="Arial"/>
          <w:color w:val="000000" w:themeColor="text1"/>
          <w:sz w:val="22"/>
          <w:szCs w:val="22"/>
        </w:rPr>
        <w:t>El MoReq 2025 establece lineamientos específicos para la creación, administración y cierre de expedientes híbridos, integrando en un mismo sistema la descripción de los componentes digitales (archivos electrónicos, correos, formularios web) y análogos (documentos físicos o microfilmados).</w:t>
      </w:r>
    </w:p>
    <w:p w14:paraId="660F96BC" w14:textId="77777777" w:rsidR="00DA612C" w:rsidRPr="00D6575C" w:rsidRDefault="00DA612C" w:rsidP="00DD15F2">
      <w:pPr>
        <w:jc w:val="both"/>
        <w:rPr>
          <w:rFonts w:ascii="Verdana" w:hAnsi="Verdana" w:cs="Arial"/>
          <w:color w:val="000000" w:themeColor="text1"/>
          <w:sz w:val="22"/>
          <w:szCs w:val="22"/>
        </w:rPr>
      </w:pPr>
    </w:p>
    <w:p w14:paraId="19CA5607" w14:textId="77777777" w:rsidR="003B2049" w:rsidRPr="00D6575C" w:rsidRDefault="003B2049" w:rsidP="009705BB">
      <w:pPr>
        <w:jc w:val="both"/>
        <w:rPr>
          <w:rFonts w:ascii="Verdana" w:hAnsi="Verdana" w:cs="Arial"/>
          <w:sz w:val="22"/>
          <w:szCs w:val="22"/>
        </w:rPr>
      </w:pPr>
      <w:r w:rsidRPr="00D6575C">
        <w:rPr>
          <w:rFonts w:ascii="Verdana" w:hAnsi="Verdana" w:cs="Arial"/>
          <w:sz w:val="22"/>
          <w:szCs w:val="22"/>
        </w:rPr>
        <w:t>El SGDEA GeDeSS permite el registro cruzado entre documentos físicos y digitales, mediante la asignación de un Identificador Único de Expediente (IUE), que garantiza la correspondencia y continuidad archivística.</w:t>
      </w:r>
    </w:p>
    <w:p w14:paraId="72CE23A9" w14:textId="77777777" w:rsidR="00D74BE5" w:rsidRPr="00D6575C" w:rsidRDefault="00D74BE5" w:rsidP="009705BB">
      <w:pPr>
        <w:jc w:val="both"/>
        <w:rPr>
          <w:rFonts w:ascii="Verdana" w:hAnsi="Verdana" w:cs="Arial"/>
          <w:sz w:val="22"/>
          <w:szCs w:val="22"/>
        </w:rPr>
      </w:pPr>
    </w:p>
    <w:p w14:paraId="025305BE" w14:textId="77777777" w:rsidR="003B2049" w:rsidRPr="00D6575C" w:rsidRDefault="003B2049" w:rsidP="009705BB">
      <w:pPr>
        <w:jc w:val="both"/>
        <w:rPr>
          <w:rFonts w:ascii="Verdana" w:hAnsi="Verdana" w:cs="Arial"/>
          <w:sz w:val="22"/>
          <w:szCs w:val="22"/>
        </w:rPr>
      </w:pPr>
      <w:r w:rsidRPr="00D6575C">
        <w:rPr>
          <w:rFonts w:ascii="Verdana" w:hAnsi="Verdana" w:cs="Arial"/>
          <w:sz w:val="22"/>
          <w:szCs w:val="22"/>
        </w:rPr>
        <w:t>Al cierre del expediente, se genera un Índice Electrónico Consolidado, firmado digitalmente, que certifica el contenido y facilita la transferencia electrónica al archivo central o histórico.</w:t>
      </w:r>
    </w:p>
    <w:p w14:paraId="17BF3098" w14:textId="77777777" w:rsidR="00D74BE5" w:rsidRPr="00D6575C" w:rsidRDefault="00D74BE5" w:rsidP="009705BB">
      <w:pPr>
        <w:jc w:val="both"/>
        <w:rPr>
          <w:rFonts w:ascii="Verdana" w:hAnsi="Verdana" w:cs="Arial"/>
          <w:sz w:val="22"/>
          <w:szCs w:val="22"/>
        </w:rPr>
      </w:pPr>
    </w:p>
    <w:p w14:paraId="460FEA2B" w14:textId="1CB7E4C7" w:rsidR="003B2049" w:rsidRPr="00D6575C" w:rsidRDefault="003B2049" w:rsidP="009705BB">
      <w:pPr>
        <w:jc w:val="both"/>
        <w:rPr>
          <w:rFonts w:ascii="Verdana" w:hAnsi="Verdana" w:cs="Arial"/>
          <w:sz w:val="22"/>
          <w:szCs w:val="22"/>
        </w:rPr>
      </w:pPr>
      <w:r w:rsidRPr="00D6575C">
        <w:rPr>
          <w:rFonts w:ascii="Verdana" w:hAnsi="Verdana" w:cs="Arial"/>
          <w:sz w:val="22"/>
          <w:szCs w:val="22"/>
        </w:rPr>
        <w:t>Este enfoque integral permite a la entidad cumplir con los principios de autenticidad, integridad, disponibilidad y preservación digital definidos por el Acuerdo 001 de 2024, promoviendo la transparencia institucional y la eficiencia administrativa en la gestión de documentos de naturaleza mixta.</w:t>
      </w:r>
    </w:p>
    <w:p w14:paraId="0915FF1C" w14:textId="77777777" w:rsidR="009705BB" w:rsidRPr="00D74BE5" w:rsidRDefault="009705BB" w:rsidP="009705BB">
      <w:pPr>
        <w:jc w:val="both"/>
        <w:rPr>
          <w:rFonts w:ascii="Verdana" w:hAnsi="Verdana" w:cs="Arial"/>
          <w:sz w:val="22"/>
          <w:szCs w:val="22"/>
        </w:rPr>
      </w:pPr>
    </w:p>
    <w:p w14:paraId="070935D6" w14:textId="53DD3C15" w:rsidR="003B2049" w:rsidRPr="00973DFD" w:rsidRDefault="00CE3A3C" w:rsidP="0070699B">
      <w:pPr>
        <w:pStyle w:val="Ttulo1"/>
        <w:spacing w:line="240" w:lineRule="auto"/>
        <w:jc w:val="both"/>
        <w:rPr>
          <w:rFonts w:ascii="Verdana" w:hAnsi="Verdana"/>
          <w:sz w:val="22"/>
          <w:szCs w:val="22"/>
        </w:rPr>
      </w:pPr>
      <w:bookmarkStart w:id="10" w:name="_Toc213403777"/>
      <w:r>
        <w:rPr>
          <w:rFonts w:ascii="Verdana" w:hAnsi="Verdana"/>
          <w:sz w:val="22"/>
          <w:szCs w:val="22"/>
        </w:rPr>
        <w:lastRenderedPageBreak/>
        <w:t>5.</w:t>
      </w:r>
      <w:r w:rsidR="00446BE1">
        <w:rPr>
          <w:rFonts w:ascii="Verdana" w:hAnsi="Verdana"/>
          <w:sz w:val="22"/>
          <w:szCs w:val="22"/>
        </w:rPr>
        <w:t>7</w:t>
      </w:r>
      <w:r>
        <w:rPr>
          <w:rFonts w:ascii="Verdana" w:hAnsi="Verdana"/>
          <w:sz w:val="22"/>
          <w:szCs w:val="22"/>
        </w:rPr>
        <w:t>.</w:t>
      </w:r>
      <w:r w:rsidR="005E6321">
        <w:rPr>
          <w:rFonts w:ascii="Verdana" w:hAnsi="Verdana"/>
          <w:sz w:val="22"/>
          <w:szCs w:val="22"/>
        </w:rPr>
        <w:t>4</w:t>
      </w:r>
      <w:r>
        <w:rPr>
          <w:rFonts w:ascii="Verdana" w:hAnsi="Verdana"/>
          <w:sz w:val="22"/>
          <w:szCs w:val="22"/>
        </w:rPr>
        <w:t xml:space="preserve">. </w:t>
      </w:r>
      <w:r w:rsidR="003B2049" w:rsidRPr="00973DFD">
        <w:rPr>
          <w:rFonts w:ascii="Verdana" w:hAnsi="Verdana"/>
          <w:sz w:val="22"/>
          <w:szCs w:val="22"/>
        </w:rPr>
        <w:t>Seguridad y Preservación Digital</w:t>
      </w:r>
      <w:bookmarkEnd w:id="10"/>
    </w:p>
    <w:p w14:paraId="07630433" w14:textId="77777777" w:rsidR="003B2049" w:rsidRPr="00E11F09" w:rsidRDefault="003B2049" w:rsidP="0070699B">
      <w:pPr>
        <w:jc w:val="both"/>
        <w:rPr>
          <w:rFonts w:ascii="Verdana" w:hAnsi="Verdana"/>
        </w:rPr>
      </w:pPr>
    </w:p>
    <w:p w14:paraId="7CA4C781" w14:textId="77777777" w:rsidR="003B2049" w:rsidRDefault="003B2049" w:rsidP="0070699B">
      <w:pPr>
        <w:jc w:val="both"/>
        <w:rPr>
          <w:rFonts w:ascii="Verdana" w:hAnsi="Verdana" w:cs="Arial"/>
          <w:sz w:val="22"/>
          <w:szCs w:val="22"/>
        </w:rPr>
      </w:pPr>
      <w:r w:rsidRPr="00973DFD">
        <w:rPr>
          <w:rFonts w:ascii="Verdana" w:hAnsi="Verdana" w:cs="Arial"/>
          <w:sz w:val="22"/>
          <w:szCs w:val="22"/>
        </w:rPr>
        <w:t>La seguridad de la información y la preservación digital constituyen pilares fundamentales en el Modelo de Requisitos para la Gestión de Documentos Electrónicos de Archivo (MoReq) de la Superintendencia de Sociedades, ya que garantizan la confidencialidad, integridad, disponibilidad, autenticidad y trazabilidad de los documentos electrónicos a lo largo de su ciclo de vida.</w:t>
      </w:r>
    </w:p>
    <w:p w14:paraId="4ED7E290" w14:textId="77777777" w:rsidR="00973DFD" w:rsidRPr="00973DFD" w:rsidRDefault="00973DFD" w:rsidP="0046462D">
      <w:pPr>
        <w:jc w:val="both"/>
        <w:rPr>
          <w:rFonts w:ascii="Verdana" w:hAnsi="Verdana" w:cs="Arial"/>
          <w:sz w:val="22"/>
          <w:szCs w:val="22"/>
        </w:rPr>
      </w:pPr>
    </w:p>
    <w:p w14:paraId="58869BCB" w14:textId="77777777" w:rsidR="003B2049" w:rsidRDefault="003B2049" w:rsidP="0046462D">
      <w:pPr>
        <w:jc w:val="both"/>
        <w:rPr>
          <w:rFonts w:ascii="Verdana" w:hAnsi="Verdana" w:cs="Arial"/>
          <w:sz w:val="22"/>
          <w:szCs w:val="22"/>
        </w:rPr>
      </w:pPr>
      <w:r w:rsidRPr="66E8730B">
        <w:rPr>
          <w:rFonts w:ascii="Verdana" w:hAnsi="Verdana" w:cs="Arial"/>
          <w:sz w:val="22"/>
          <w:szCs w:val="22"/>
        </w:rPr>
        <w:t>En este sentido, el modelo contempla los siguientes lineamientos:</w:t>
      </w:r>
    </w:p>
    <w:tbl>
      <w:tblPr>
        <w:tblW w:w="9619" w:type="dxa"/>
        <w:tblLayout w:type="fixed"/>
        <w:tblCellMar>
          <w:left w:w="70" w:type="dxa"/>
          <w:right w:w="70" w:type="dxa"/>
        </w:tblCellMar>
        <w:tblLook w:val="04A0" w:firstRow="1" w:lastRow="0" w:firstColumn="1" w:lastColumn="0" w:noHBand="0" w:noVBand="1"/>
      </w:tblPr>
      <w:tblGrid>
        <w:gridCol w:w="1408"/>
        <w:gridCol w:w="2934"/>
        <w:gridCol w:w="2971"/>
        <w:gridCol w:w="2306"/>
      </w:tblGrid>
      <w:tr w:rsidR="00CD045B" w14:paraId="1FDB664F" w14:textId="77777777" w:rsidTr="005F5896">
        <w:trPr>
          <w:trHeight w:val="257"/>
        </w:trPr>
        <w:tc>
          <w:tcPr>
            <w:tcW w:w="9619" w:type="dxa"/>
            <w:gridSpan w:val="4"/>
            <w:tcBorders>
              <w:top w:val="single" w:sz="8" w:space="0" w:color="auto"/>
              <w:left w:val="single" w:sz="8" w:space="0" w:color="auto"/>
              <w:bottom w:val="nil"/>
              <w:right w:val="single" w:sz="8" w:space="0" w:color="000000" w:themeColor="text1"/>
            </w:tcBorders>
            <w:shd w:val="clear" w:color="auto" w:fill="962D46"/>
            <w:noWrap/>
            <w:vAlign w:val="bottom"/>
            <w:hideMark/>
          </w:tcPr>
          <w:p w14:paraId="51FADC1F" w14:textId="0CE978F9" w:rsidR="00CD045B" w:rsidRPr="00551CBA" w:rsidRDefault="00CD045B" w:rsidP="66E8730B">
            <w:pPr>
              <w:jc w:val="center"/>
              <w:rPr>
                <w:rFonts w:ascii="Verdana" w:hAnsi="Verdana"/>
                <w:b/>
                <w:bCs/>
                <w:color w:val="FFFFFF" w:themeColor="background1"/>
                <w:sz w:val="20"/>
                <w:szCs w:val="20"/>
                <w:lang w:val="es-CO" w:eastAsia="es-CO"/>
              </w:rPr>
            </w:pPr>
          </w:p>
        </w:tc>
      </w:tr>
      <w:tr w:rsidR="00CD045B" w:rsidRPr="00CD045B" w14:paraId="2FF95D49" w14:textId="77777777" w:rsidTr="005F5896">
        <w:trPr>
          <w:trHeight w:val="110"/>
        </w:trPr>
        <w:tc>
          <w:tcPr>
            <w:tcW w:w="9619" w:type="dxa"/>
            <w:gridSpan w:val="4"/>
            <w:tcBorders>
              <w:top w:val="nil"/>
              <w:left w:val="single" w:sz="8" w:space="0" w:color="auto"/>
              <w:bottom w:val="single" w:sz="8" w:space="0" w:color="auto"/>
              <w:right w:val="single" w:sz="8" w:space="0" w:color="000000" w:themeColor="text1"/>
            </w:tcBorders>
            <w:shd w:val="clear" w:color="auto" w:fill="962D46"/>
            <w:noWrap/>
            <w:vAlign w:val="bottom"/>
            <w:hideMark/>
          </w:tcPr>
          <w:p w14:paraId="3EF09E65" w14:textId="3D5234ED" w:rsidR="00CD045B" w:rsidRPr="00551CBA" w:rsidRDefault="00CD045B" w:rsidP="00A70CE6">
            <w:pPr>
              <w:jc w:val="center"/>
              <w:rPr>
                <w:rFonts w:ascii="Verdana" w:hAnsi="Verdana"/>
                <w:b/>
                <w:bCs/>
                <w:color w:val="FFFFFF" w:themeColor="background1"/>
                <w:sz w:val="20"/>
                <w:szCs w:val="20"/>
              </w:rPr>
            </w:pPr>
            <w:r w:rsidRPr="00551CBA">
              <w:rPr>
                <w:rFonts w:ascii="Verdana" w:hAnsi="Verdana"/>
                <w:b/>
                <w:bCs/>
                <w:color w:val="FFFFFF" w:themeColor="background1"/>
                <w:sz w:val="20"/>
                <w:szCs w:val="20"/>
              </w:rPr>
              <w:t>Seguridad y Preservación Digital (MoReq 2</w:t>
            </w:r>
            <w:r w:rsidRPr="006732F1">
              <w:rPr>
                <w:rFonts w:ascii="Verdana" w:hAnsi="Verdana"/>
                <w:b/>
                <w:bCs/>
                <w:color w:val="FFFFFF" w:themeColor="background1"/>
                <w:sz w:val="20"/>
                <w:szCs w:val="20"/>
              </w:rPr>
              <w:t>02</w:t>
            </w:r>
            <w:r w:rsidR="006732F1" w:rsidRPr="003D7358">
              <w:rPr>
                <w:rFonts w:ascii="Verdana" w:hAnsi="Verdana"/>
                <w:b/>
                <w:bCs/>
                <w:color w:val="FFFFFF" w:themeColor="background1"/>
                <w:sz w:val="20"/>
                <w:szCs w:val="20"/>
              </w:rPr>
              <w:t>6</w:t>
            </w:r>
            <w:r w:rsidRPr="00551CBA">
              <w:rPr>
                <w:rFonts w:ascii="Verdana" w:hAnsi="Verdana"/>
                <w:b/>
                <w:bCs/>
                <w:color w:val="FFFFFF" w:themeColor="background1"/>
                <w:sz w:val="20"/>
                <w:szCs w:val="20"/>
              </w:rPr>
              <w:t xml:space="preserve"> Supersociedades)</w:t>
            </w:r>
          </w:p>
        </w:tc>
      </w:tr>
      <w:tr w:rsidR="00CD045B" w:rsidRPr="00CD045B" w14:paraId="2011C176" w14:textId="77777777" w:rsidTr="005F5896">
        <w:trPr>
          <w:trHeight w:val="257"/>
        </w:trPr>
        <w:tc>
          <w:tcPr>
            <w:tcW w:w="1408" w:type="dxa"/>
            <w:tcBorders>
              <w:top w:val="nil"/>
              <w:left w:val="single" w:sz="8" w:space="0" w:color="auto"/>
              <w:bottom w:val="single" w:sz="8" w:space="0" w:color="auto"/>
              <w:right w:val="single" w:sz="8" w:space="0" w:color="auto"/>
            </w:tcBorders>
            <w:shd w:val="clear" w:color="auto" w:fill="962D46"/>
            <w:noWrap/>
            <w:vAlign w:val="bottom"/>
            <w:hideMark/>
          </w:tcPr>
          <w:p w14:paraId="0C7C9622" w14:textId="77777777" w:rsidR="00CD045B" w:rsidRPr="00551CBA" w:rsidRDefault="00CD045B">
            <w:pPr>
              <w:jc w:val="center"/>
              <w:rPr>
                <w:rFonts w:ascii="Verdana" w:hAnsi="Verdana"/>
                <w:b/>
                <w:bCs/>
                <w:color w:val="FFFFFF" w:themeColor="background1"/>
                <w:sz w:val="20"/>
                <w:szCs w:val="20"/>
              </w:rPr>
            </w:pPr>
            <w:r w:rsidRPr="00551CBA">
              <w:rPr>
                <w:rFonts w:ascii="Verdana" w:hAnsi="Verdana"/>
                <w:b/>
                <w:bCs/>
                <w:color w:val="FFFFFF" w:themeColor="background1"/>
                <w:sz w:val="20"/>
                <w:szCs w:val="20"/>
              </w:rPr>
              <w:t>MEDIDA</w:t>
            </w:r>
          </w:p>
        </w:tc>
        <w:tc>
          <w:tcPr>
            <w:tcW w:w="2934" w:type="dxa"/>
            <w:tcBorders>
              <w:top w:val="nil"/>
              <w:left w:val="nil"/>
              <w:bottom w:val="single" w:sz="8" w:space="0" w:color="auto"/>
              <w:right w:val="single" w:sz="8" w:space="0" w:color="auto"/>
            </w:tcBorders>
            <w:shd w:val="clear" w:color="auto" w:fill="962D46"/>
            <w:noWrap/>
            <w:vAlign w:val="bottom"/>
            <w:hideMark/>
          </w:tcPr>
          <w:p w14:paraId="22985D50" w14:textId="77777777" w:rsidR="00CD045B" w:rsidRPr="00551CBA" w:rsidRDefault="00CD045B">
            <w:pPr>
              <w:jc w:val="center"/>
              <w:rPr>
                <w:rFonts w:ascii="Verdana" w:hAnsi="Verdana"/>
                <w:b/>
                <w:bCs/>
                <w:color w:val="FFFFFF" w:themeColor="background1"/>
                <w:sz w:val="20"/>
                <w:szCs w:val="20"/>
              </w:rPr>
            </w:pPr>
            <w:r w:rsidRPr="00551CBA">
              <w:rPr>
                <w:rFonts w:ascii="Verdana" w:hAnsi="Verdana"/>
                <w:b/>
                <w:bCs/>
                <w:color w:val="FFFFFF" w:themeColor="background1"/>
                <w:sz w:val="20"/>
                <w:szCs w:val="20"/>
              </w:rPr>
              <w:t>DESCRIPCION/ALCANCE</w:t>
            </w:r>
          </w:p>
        </w:tc>
        <w:tc>
          <w:tcPr>
            <w:tcW w:w="2971" w:type="dxa"/>
            <w:tcBorders>
              <w:top w:val="nil"/>
              <w:left w:val="nil"/>
              <w:bottom w:val="single" w:sz="8" w:space="0" w:color="auto"/>
              <w:right w:val="single" w:sz="8" w:space="0" w:color="auto"/>
            </w:tcBorders>
            <w:shd w:val="clear" w:color="auto" w:fill="962D46"/>
            <w:noWrap/>
            <w:vAlign w:val="bottom"/>
            <w:hideMark/>
          </w:tcPr>
          <w:p w14:paraId="4A407A10" w14:textId="77777777" w:rsidR="00CD045B" w:rsidRPr="00551CBA" w:rsidRDefault="00CD045B">
            <w:pPr>
              <w:jc w:val="center"/>
              <w:rPr>
                <w:rFonts w:ascii="Verdana" w:hAnsi="Verdana"/>
                <w:b/>
                <w:bCs/>
                <w:color w:val="FFFFFF" w:themeColor="background1"/>
                <w:sz w:val="20"/>
                <w:szCs w:val="20"/>
              </w:rPr>
            </w:pPr>
            <w:r w:rsidRPr="00551CBA">
              <w:rPr>
                <w:rFonts w:ascii="Verdana" w:hAnsi="Verdana"/>
                <w:b/>
                <w:bCs/>
                <w:color w:val="FFFFFF" w:themeColor="background1"/>
                <w:sz w:val="20"/>
                <w:szCs w:val="20"/>
              </w:rPr>
              <w:t>NORMATIVA/ESTANDAR</w:t>
            </w:r>
          </w:p>
        </w:tc>
        <w:tc>
          <w:tcPr>
            <w:tcW w:w="2306" w:type="dxa"/>
            <w:tcBorders>
              <w:top w:val="nil"/>
              <w:left w:val="nil"/>
              <w:bottom w:val="single" w:sz="8" w:space="0" w:color="auto"/>
              <w:right w:val="single" w:sz="8" w:space="0" w:color="auto"/>
            </w:tcBorders>
            <w:shd w:val="clear" w:color="auto" w:fill="962D46"/>
            <w:noWrap/>
            <w:vAlign w:val="bottom"/>
            <w:hideMark/>
          </w:tcPr>
          <w:p w14:paraId="269793E7" w14:textId="77777777" w:rsidR="00CD045B" w:rsidRPr="00551CBA" w:rsidRDefault="00CD045B">
            <w:pPr>
              <w:jc w:val="center"/>
              <w:rPr>
                <w:rFonts w:ascii="Verdana" w:hAnsi="Verdana"/>
                <w:b/>
                <w:bCs/>
                <w:color w:val="FFFFFF" w:themeColor="background1"/>
                <w:sz w:val="20"/>
                <w:szCs w:val="20"/>
              </w:rPr>
            </w:pPr>
            <w:r w:rsidRPr="00551CBA">
              <w:rPr>
                <w:rFonts w:ascii="Verdana" w:hAnsi="Verdana"/>
                <w:b/>
                <w:bCs/>
                <w:color w:val="FFFFFF" w:themeColor="background1"/>
                <w:sz w:val="20"/>
                <w:szCs w:val="20"/>
              </w:rPr>
              <w:t>RESPONSABLE</w:t>
            </w:r>
          </w:p>
        </w:tc>
      </w:tr>
      <w:tr w:rsidR="00CD045B" w:rsidRPr="00CD045B" w14:paraId="43297630" w14:textId="77777777" w:rsidTr="00302459">
        <w:trPr>
          <w:trHeight w:val="886"/>
        </w:trPr>
        <w:tc>
          <w:tcPr>
            <w:tcW w:w="1408" w:type="dxa"/>
            <w:tcBorders>
              <w:top w:val="nil"/>
              <w:left w:val="single" w:sz="4" w:space="0" w:color="auto"/>
              <w:bottom w:val="single" w:sz="4" w:space="0" w:color="auto"/>
              <w:right w:val="single" w:sz="4" w:space="0" w:color="auto"/>
            </w:tcBorders>
            <w:shd w:val="clear" w:color="auto" w:fill="FFFFFF" w:themeFill="background1"/>
            <w:vAlign w:val="center"/>
            <w:hideMark/>
          </w:tcPr>
          <w:p w14:paraId="64379CB7" w14:textId="357091B7" w:rsidR="00CD045B" w:rsidRPr="00CD045B" w:rsidRDefault="00CD045B" w:rsidP="005D7CE7">
            <w:pPr>
              <w:jc w:val="center"/>
              <w:rPr>
                <w:rFonts w:ascii="Verdana" w:hAnsi="Verdana"/>
                <w:b/>
                <w:bCs/>
                <w:color w:val="000000"/>
                <w:sz w:val="16"/>
                <w:szCs w:val="16"/>
              </w:rPr>
            </w:pPr>
            <w:r w:rsidRPr="00CD045B">
              <w:rPr>
                <w:rFonts w:ascii="Verdana" w:hAnsi="Verdana"/>
                <w:b/>
                <w:bCs/>
                <w:color w:val="000000"/>
                <w:sz w:val="16"/>
                <w:szCs w:val="16"/>
              </w:rPr>
              <w:t>Políticas de seguridad de la información</w:t>
            </w:r>
          </w:p>
        </w:tc>
        <w:tc>
          <w:tcPr>
            <w:tcW w:w="2934" w:type="dxa"/>
            <w:tcBorders>
              <w:top w:val="nil"/>
              <w:left w:val="nil"/>
              <w:bottom w:val="single" w:sz="4" w:space="0" w:color="auto"/>
              <w:right w:val="single" w:sz="4" w:space="0" w:color="auto"/>
            </w:tcBorders>
            <w:shd w:val="clear" w:color="auto" w:fill="FFFFFF" w:themeFill="background1"/>
            <w:vAlign w:val="center"/>
            <w:hideMark/>
          </w:tcPr>
          <w:p w14:paraId="4483F1F2" w14:textId="77777777" w:rsidR="00CD045B" w:rsidRPr="00CD045B" w:rsidRDefault="00CD045B" w:rsidP="005D7CE7">
            <w:pPr>
              <w:jc w:val="center"/>
              <w:rPr>
                <w:rFonts w:ascii="Verdana" w:hAnsi="Verdana"/>
                <w:color w:val="000000"/>
                <w:sz w:val="16"/>
                <w:szCs w:val="16"/>
              </w:rPr>
            </w:pPr>
            <w:r w:rsidRPr="00CD045B">
              <w:rPr>
                <w:rFonts w:ascii="Verdana" w:hAnsi="Verdana"/>
                <w:color w:val="000000"/>
                <w:sz w:val="16"/>
                <w:szCs w:val="16"/>
              </w:rPr>
              <w:t>Implementación de un SGSI con controles, procedimientos y auditorías para proteger los documentos electrónicos frente a amenazas internas y externas.</w:t>
            </w:r>
          </w:p>
        </w:tc>
        <w:tc>
          <w:tcPr>
            <w:tcW w:w="2971" w:type="dxa"/>
            <w:tcBorders>
              <w:top w:val="nil"/>
              <w:left w:val="nil"/>
              <w:bottom w:val="single" w:sz="4" w:space="0" w:color="auto"/>
              <w:right w:val="single" w:sz="4" w:space="0" w:color="auto"/>
            </w:tcBorders>
            <w:shd w:val="clear" w:color="auto" w:fill="FFFFFF" w:themeFill="background1"/>
            <w:vAlign w:val="center"/>
            <w:hideMark/>
          </w:tcPr>
          <w:p w14:paraId="14E5A61C" w14:textId="7AB76DE2" w:rsidR="00CD045B" w:rsidRPr="00CD045B" w:rsidRDefault="00CD045B" w:rsidP="005D7CE7">
            <w:pPr>
              <w:jc w:val="center"/>
              <w:rPr>
                <w:rFonts w:ascii="Verdana" w:hAnsi="Verdana"/>
                <w:color w:val="000000"/>
                <w:sz w:val="16"/>
                <w:szCs w:val="16"/>
              </w:rPr>
            </w:pPr>
            <w:r w:rsidRPr="00CD045B">
              <w:rPr>
                <w:rFonts w:ascii="Verdana" w:hAnsi="Verdana"/>
                <w:color w:val="000000"/>
                <w:sz w:val="16"/>
                <w:szCs w:val="16"/>
              </w:rPr>
              <w:t>ISO 27001.</w:t>
            </w:r>
            <w:r w:rsidR="00B30304">
              <w:rPr>
                <w:rFonts w:ascii="Verdana" w:hAnsi="Verdana"/>
                <w:color w:val="000000"/>
                <w:sz w:val="16"/>
                <w:szCs w:val="16"/>
              </w:rPr>
              <w:t xml:space="preserve"> D</w:t>
            </w:r>
            <w:r w:rsidRPr="00CD045B">
              <w:rPr>
                <w:rFonts w:ascii="Verdana" w:hAnsi="Verdana"/>
                <w:color w:val="000000"/>
                <w:sz w:val="16"/>
                <w:szCs w:val="16"/>
              </w:rPr>
              <w:t>ecreto 620/2020</w:t>
            </w:r>
          </w:p>
        </w:tc>
        <w:tc>
          <w:tcPr>
            <w:tcW w:w="2306" w:type="dxa"/>
            <w:tcBorders>
              <w:top w:val="nil"/>
              <w:left w:val="nil"/>
              <w:bottom w:val="single" w:sz="4" w:space="0" w:color="auto"/>
              <w:right w:val="single" w:sz="4" w:space="0" w:color="auto"/>
            </w:tcBorders>
            <w:shd w:val="clear" w:color="auto" w:fill="FFFFFF" w:themeFill="background1"/>
            <w:vAlign w:val="center"/>
            <w:hideMark/>
          </w:tcPr>
          <w:p w14:paraId="23A8830D" w14:textId="77777777" w:rsidR="00B431AE" w:rsidRPr="006732F1" w:rsidRDefault="00B431AE" w:rsidP="005D7CE7">
            <w:pPr>
              <w:jc w:val="center"/>
              <w:rPr>
                <w:rFonts w:ascii="Verdana" w:hAnsi="Verdana" w:cs="Arial"/>
                <w:sz w:val="18"/>
                <w:szCs w:val="18"/>
              </w:rPr>
            </w:pPr>
          </w:p>
          <w:p w14:paraId="21E4D977" w14:textId="75C9B21A" w:rsidR="00B431AE" w:rsidRPr="006732F1" w:rsidRDefault="00B431AE" w:rsidP="005D7CE7">
            <w:pPr>
              <w:jc w:val="center"/>
              <w:rPr>
                <w:rFonts w:ascii="Verdana" w:hAnsi="Verdana" w:cs="Arial"/>
                <w:sz w:val="18"/>
                <w:szCs w:val="18"/>
              </w:rPr>
            </w:pPr>
            <w:r w:rsidRPr="006732F1">
              <w:rPr>
                <w:rFonts w:ascii="Verdana" w:hAnsi="Verdana" w:cs="Arial"/>
                <w:sz w:val="18"/>
                <w:szCs w:val="18"/>
              </w:rPr>
              <w:t>Gestión Integral y Gestión de Infraestructura y tecnología de la Información</w:t>
            </w:r>
          </w:p>
          <w:p w14:paraId="163011C5" w14:textId="77777777" w:rsidR="00B431AE" w:rsidRPr="006732F1" w:rsidRDefault="00B431AE" w:rsidP="005D7CE7">
            <w:pPr>
              <w:jc w:val="center"/>
              <w:rPr>
                <w:rFonts w:ascii="Verdana" w:hAnsi="Verdana" w:cs="Arial"/>
                <w:sz w:val="18"/>
                <w:szCs w:val="18"/>
              </w:rPr>
            </w:pPr>
          </w:p>
          <w:p w14:paraId="492247CE" w14:textId="6D84D181" w:rsidR="00DE14E6" w:rsidRPr="006732F1" w:rsidRDefault="00DE14E6" w:rsidP="005D7CE7">
            <w:pPr>
              <w:jc w:val="center"/>
              <w:rPr>
                <w:rFonts w:ascii="Verdana" w:hAnsi="Verdana"/>
                <w:b/>
                <w:bCs/>
                <w:sz w:val="16"/>
                <w:szCs w:val="16"/>
              </w:rPr>
            </w:pPr>
          </w:p>
        </w:tc>
      </w:tr>
      <w:tr w:rsidR="00CD045B" w:rsidRPr="00CD045B" w14:paraId="0C2CDD02" w14:textId="77777777" w:rsidTr="00F31F40">
        <w:trPr>
          <w:trHeight w:val="1121"/>
        </w:trPr>
        <w:tc>
          <w:tcPr>
            <w:tcW w:w="14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A7ECCD" w14:textId="77777777" w:rsidR="00CD045B" w:rsidRPr="00CD045B" w:rsidRDefault="00CD045B" w:rsidP="005D7CE7">
            <w:pPr>
              <w:jc w:val="center"/>
              <w:rPr>
                <w:rFonts w:ascii="Verdana" w:hAnsi="Verdana"/>
                <w:b/>
                <w:bCs/>
                <w:color w:val="000000"/>
                <w:sz w:val="16"/>
                <w:szCs w:val="16"/>
              </w:rPr>
            </w:pPr>
            <w:r w:rsidRPr="00CD045B">
              <w:rPr>
                <w:rFonts w:ascii="Verdana" w:hAnsi="Verdana"/>
                <w:b/>
                <w:bCs/>
                <w:color w:val="000000"/>
                <w:sz w:val="16"/>
                <w:szCs w:val="16"/>
              </w:rPr>
              <w:t>Hashes de integridad (SHA-256)</w:t>
            </w:r>
          </w:p>
        </w:tc>
        <w:tc>
          <w:tcPr>
            <w:tcW w:w="293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BEA5ADA" w14:textId="77777777" w:rsidR="00CD045B" w:rsidRDefault="00D6575C" w:rsidP="00D6575C">
            <w:pPr>
              <w:jc w:val="center"/>
              <w:rPr>
                <w:rFonts w:ascii="Verdana" w:hAnsi="Verdana"/>
                <w:color w:val="000000"/>
                <w:sz w:val="16"/>
                <w:szCs w:val="16"/>
              </w:rPr>
            </w:pPr>
            <w:r w:rsidRPr="00D6575C">
              <w:rPr>
                <w:rFonts w:ascii="Verdana" w:hAnsi="Verdana"/>
                <w:color w:val="000000"/>
                <w:sz w:val="16"/>
                <w:szCs w:val="16"/>
              </w:rPr>
              <w:t>Generación de huellas digitales únicas para cada documento, que permiten verificar su autenticidad y detectar cualquier alteración.</w:t>
            </w:r>
          </w:p>
          <w:p w14:paraId="4D343463" w14:textId="6499A8F6" w:rsidR="00D6575C" w:rsidRPr="00CD045B" w:rsidRDefault="00D6575C" w:rsidP="00D6575C">
            <w:pPr>
              <w:jc w:val="center"/>
              <w:rPr>
                <w:rFonts w:ascii="Verdana" w:hAnsi="Verdana"/>
                <w:color w:val="000000"/>
                <w:sz w:val="16"/>
                <w:szCs w:val="16"/>
              </w:rPr>
            </w:pPr>
          </w:p>
        </w:tc>
        <w:tc>
          <w:tcPr>
            <w:tcW w:w="29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CA917B" w14:textId="77777777" w:rsidR="00CD045B" w:rsidRPr="00F916AA" w:rsidRDefault="00CD045B" w:rsidP="005D7CE7">
            <w:pPr>
              <w:jc w:val="center"/>
              <w:rPr>
                <w:rFonts w:ascii="Verdana" w:hAnsi="Verdana"/>
                <w:color w:val="000000"/>
                <w:sz w:val="16"/>
                <w:szCs w:val="16"/>
                <w:lang w:val="pt-BR"/>
              </w:rPr>
            </w:pPr>
            <w:r w:rsidRPr="00F916AA">
              <w:rPr>
                <w:rFonts w:ascii="Verdana" w:hAnsi="Verdana"/>
                <w:color w:val="000000"/>
                <w:sz w:val="16"/>
                <w:szCs w:val="16"/>
                <w:lang w:val="pt-BR"/>
              </w:rPr>
              <w:t>ISO 14721 (OAIS). Modelo SGDEA AGN (2019)</w:t>
            </w:r>
          </w:p>
        </w:tc>
        <w:tc>
          <w:tcPr>
            <w:tcW w:w="23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3BFB85" w14:textId="67FD9732" w:rsidR="00CD045B" w:rsidRPr="007C612F" w:rsidRDefault="00032539" w:rsidP="005D7CE7">
            <w:pPr>
              <w:jc w:val="center"/>
              <w:rPr>
                <w:rFonts w:ascii="Verdana" w:hAnsi="Verdana"/>
                <w:sz w:val="16"/>
                <w:szCs w:val="16"/>
              </w:rPr>
            </w:pPr>
            <w:r w:rsidRPr="007C612F">
              <w:rPr>
                <w:rFonts w:ascii="Verdana" w:hAnsi="Verdana"/>
                <w:sz w:val="18"/>
                <w:szCs w:val="18"/>
              </w:rPr>
              <w:t>Gestión de Infraestructura y tecnología de la Información</w:t>
            </w:r>
            <w:r w:rsidRPr="007C612F">
              <w:rPr>
                <w:rFonts w:ascii="Verdana" w:hAnsi="Verdana"/>
                <w:sz w:val="16"/>
                <w:szCs w:val="16"/>
              </w:rPr>
              <w:t xml:space="preserve"> / Gestión Documental</w:t>
            </w:r>
          </w:p>
        </w:tc>
      </w:tr>
      <w:tr w:rsidR="00CD045B" w:rsidRPr="00CD045B" w14:paraId="1A47CE90" w14:textId="77777777" w:rsidTr="00302459">
        <w:trPr>
          <w:trHeight w:val="979"/>
        </w:trPr>
        <w:tc>
          <w:tcPr>
            <w:tcW w:w="14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275857" w14:textId="77777777" w:rsidR="00CD045B" w:rsidRPr="00CD045B" w:rsidRDefault="00CD045B" w:rsidP="005D7CE7">
            <w:pPr>
              <w:jc w:val="center"/>
              <w:rPr>
                <w:rFonts w:ascii="Verdana" w:hAnsi="Verdana"/>
                <w:b/>
                <w:bCs/>
                <w:color w:val="000000"/>
                <w:sz w:val="16"/>
                <w:szCs w:val="16"/>
              </w:rPr>
            </w:pPr>
            <w:r w:rsidRPr="00CD045B">
              <w:rPr>
                <w:rFonts w:ascii="Verdana" w:hAnsi="Verdana"/>
                <w:b/>
                <w:bCs/>
                <w:color w:val="000000"/>
                <w:sz w:val="16"/>
                <w:szCs w:val="16"/>
              </w:rPr>
              <w:t>Controles de acceso por roles y confidencialidad</w:t>
            </w:r>
          </w:p>
        </w:tc>
        <w:tc>
          <w:tcPr>
            <w:tcW w:w="2934" w:type="dxa"/>
            <w:tcBorders>
              <w:top w:val="single" w:sz="4" w:space="0" w:color="auto"/>
              <w:left w:val="nil"/>
              <w:bottom w:val="single" w:sz="4" w:space="0" w:color="auto"/>
              <w:right w:val="single" w:sz="4" w:space="0" w:color="auto"/>
            </w:tcBorders>
            <w:shd w:val="clear" w:color="auto" w:fill="FFFFFF" w:themeFill="background1"/>
            <w:vAlign w:val="bottom"/>
            <w:hideMark/>
          </w:tcPr>
          <w:p w14:paraId="7074C770" w14:textId="77777777" w:rsidR="00CD045B" w:rsidRPr="00CD045B" w:rsidRDefault="00CD045B" w:rsidP="005D7CE7">
            <w:pPr>
              <w:jc w:val="center"/>
              <w:rPr>
                <w:rFonts w:ascii="Verdana" w:hAnsi="Verdana"/>
                <w:color w:val="000000"/>
                <w:sz w:val="16"/>
                <w:szCs w:val="16"/>
              </w:rPr>
            </w:pPr>
            <w:r w:rsidRPr="00CD045B">
              <w:rPr>
                <w:rFonts w:ascii="Verdana" w:hAnsi="Verdana"/>
                <w:color w:val="000000"/>
                <w:sz w:val="16"/>
                <w:szCs w:val="16"/>
              </w:rPr>
              <w:t>Definición de perfiles y niveles de acceso (usuario, administrador, auditor) garantizando la confidencialidad y seguridad de la información.</w:t>
            </w:r>
          </w:p>
        </w:tc>
        <w:tc>
          <w:tcPr>
            <w:tcW w:w="2971" w:type="dxa"/>
            <w:tcBorders>
              <w:top w:val="single" w:sz="4" w:space="0" w:color="auto"/>
              <w:left w:val="nil"/>
              <w:bottom w:val="single" w:sz="4" w:space="0" w:color="auto"/>
              <w:right w:val="single" w:sz="4" w:space="0" w:color="auto"/>
            </w:tcBorders>
            <w:shd w:val="clear" w:color="auto" w:fill="FFFFFF" w:themeFill="background1"/>
            <w:vAlign w:val="center"/>
            <w:hideMark/>
          </w:tcPr>
          <w:p w14:paraId="4B13F89E" w14:textId="77777777" w:rsidR="00CD045B" w:rsidRPr="00CD045B" w:rsidRDefault="00CD045B" w:rsidP="005D7CE7">
            <w:pPr>
              <w:jc w:val="center"/>
              <w:rPr>
                <w:rFonts w:ascii="Verdana" w:hAnsi="Verdana"/>
                <w:color w:val="000000"/>
                <w:sz w:val="16"/>
                <w:szCs w:val="16"/>
              </w:rPr>
            </w:pPr>
            <w:r w:rsidRPr="00CD045B">
              <w:rPr>
                <w:rFonts w:ascii="Verdana" w:hAnsi="Verdana"/>
                <w:color w:val="000000"/>
                <w:sz w:val="16"/>
                <w:szCs w:val="16"/>
              </w:rPr>
              <w:t>MoReq Supersociedades (2019), Acuerdo AGN 001 /2024</w:t>
            </w:r>
          </w:p>
        </w:tc>
        <w:tc>
          <w:tcPr>
            <w:tcW w:w="2306" w:type="dxa"/>
            <w:tcBorders>
              <w:top w:val="single" w:sz="4" w:space="0" w:color="auto"/>
              <w:left w:val="nil"/>
              <w:bottom w:val="single" w:sz="4" w:space="0" w:color="auto"/>
              <w:right w:val="single" w:sz="4" w:space="0" w:color="auto"/>
            </w:tcBorders>
            <w:shd w:val="clear" w:color="auto" w:fill="FFFFFF" w:themeFill="background1"/>
            <w:vAlign w:val="center"/>
            <w:hideMark/>
          </w:tcPr>
          <w:p w14:paraId="583592A6" w14:textId="62BD6786" w:rsidR="00CD045B" w:rsidRPr="007C612F" w:rsidRDefault="007E0DFE" w:rsidP="005D7CE7">
            <w:pPr>
              <w:jc w:val="center"/>
              <w:rPr>
                <w:rFonts w:ascii="Verdana" w:hAnsi="Verdana"/>
                <w:sz w:val="16"/>
                <w:szCs w:val="16"/>
              </w:rPr>
            </w:pPr>
            <w:r w:rsidRPr="007C612F">
              <w:rPr>
                <w:rFonts w:ascii="Verdana" w:hAnsi="Verdana"/>
                <w:sz w:val="18"/>
                <w:szCs w:val="18"/>
              </w:rPr>
              <w:t>Gestión de Infraestructura y tecnología de la Información</w:t>
            </w:r>
            <w:r w:rsidRPr="007C612F">
              <w:rPr>
                <w:rFonts w:ascii="Verdana" w:hAnsi="Verdana"/>
                <w:sz w:val="16"/>
                <w:szCs w:val="16"/>
              </w:rPr>
              <w:t xml:space="preserve"> / Gestión Documental</w:t>
            </w:r>
          </w:p>
        </w:tc>
      </w:tr>
      <w:tr w:rsidR="00CD045B" w:rsidRPr="00CD045B" w14:paraId="6B840B40" w14:textId="77777777" w:rsidTr="005F5896">
        <w:trPr>
          <w:trHeight w:val="584"/>
        </w:trPr>
        <w:tc>
          <w:tcPr>
            <w:tcW w:w="1408" w:type="dxa"/>
            <w:tcBorders>
              <w:top w:val="nil"/>
              <w:left w:val="single" w:sz="4" w:space="0" w:color="auto"/>
              <w:bottom w:val="single" w:sz="4" w:space="0" w:color="auto"/>
              <w:right w:val="single" w:sz="4" w:space="0" w:color="auto"/>
            </w:tcBorders>
            <w:shd w:val="clear" w:color="auto" w:fill="FFFFFF" w:themeFill="background1"/>
            <w:vAlign w:val="center"/>
            <w:hideMark/>
          </w:tcPr>
          <w:p w14:paraId="4FCC1F23" w14:textId="77777777" w:rsidR="00CD045B" w:rsidRPr="00CD045B" w:rsidRDefault="00CD045B" w:rsidP="005D7CE7">
            <w:pPr>
              <w:jc w:val="center"/>
              <w:rPr>
                <w:rFonts w:ascii="Verdana" w:hAnsi="Verdana"/>
                <w:b/>
                <w:bCs/>
                <w:color w:val="000000"/>
                <w:sz w:val="16"/>
                <w:szCs w:val="16"/>
              </w:rPr>
            </w:pPr>
            <w:r w:rsidRPr="00CD045B">
              <w:rPr>
                <w:rFonts w:ascii="Verdana" w:hAnsi="Verdana"/>
                <w:b/>
                <w:bCs/>
                <w:color w:val="000000"/>
                <w:sz w:val="16"/>
                <w:szCs w:val="16"/>
              </w:rPr>
              <w:t>Copias redundantes en diferentes medios</w:t>
            </w:r>
          </w:p>
        </w:tc>
        <w:tc>
          <w:tcPr>
            <w:tcW w:w="2934" w:type="dxa"/>
            <w:tcBorders>
              <w:top w:val="nil"/>
              <w:left w:val="nil"/>
              <w:bottom w:val="single" w:sz="4" w:space="0" w:color="auto"/>
              <w:right w:val="single" w:sz="4" w:space="0" w:color="auto"/>
            </w:tcBorders>
            <w:shd w:val="clear" w:color="auto" w:fill="FFFFFF" w:themeFill="background1"/>
            <w:vAlign w:val="bottom"/>
            <w:hideMark/>
          </w:tcPr>
          <w:p w14:paraId="64D35DBA" w14:textId="77777777" w:rsidR="00CD045B" w:rsidRPr="00CD045B" w:rsidRDefault="00CD045B" w:rsidP="005D7CE7">
            <w:pPr>
              <w:jc w:val="center"/>
              <w:rPr>
                <w:rFonts w:ascii="Verdana" w:hAnsi="Verdana"/>
                <w:color w:val="000000"/>
                <w:sz w:val="16"/>
                <w:szCs w:val="16"/>
              </w:rPr>
            </w:pPr>
            <w:r w:rsidRPr="00CD045B">
              <w:rPr>
                <w:rFonts w:ascii="Verdana" w:hAnsi="Verdana"/>
                <w:color w:val="000000"/>
                <w:sz w:val="16"/>
                <w:szCs w:val="16"/>
              </w:rPr>
              <w:t>Almacenamiento en múltiples soportes (NAS, nube, servidores físicos) para asegurar continuidad y disponibilidad de los documentos.</w:t>
            </w:r>
          </w:p>
        </w:tc>
        <w:tc>
          <w:tcPr>
            <w:tcW w:w="2971" w:type="dxa"/>
            <w:tcBorders>
              <w:top w:val="nil"/>
              <w:left w:val="nil"/>
              <w:bottom w:val="single" w:sz="4" w:space="0" w:color="auto"/>
              <w:right w:val="single" w:sz="4" w:space="0" w:color="auto"/>
            </w:tcBorders>
            <w:shd w:val="clear" w:color="auto" w:fill="FFFFFF" w:themeFill="background1"/>
            <w:vAlign w:val="center"/>
            <w:hideMark/>
          </w:tcPr>
          <w:p w14:paraId="1BBF8483" w14:textId="77777777" w:rsidR="00CD045B" w:rsidRPr="00CD045B" w:rsidRDefault="00CD045B" w:rsidP="005D7CE7">
            <w:pPr>
              <w:jc w:val="center"/>
              <w:rPr>
                <w:rFonts w:ascii="Verdana" w:hAnsi="Verdana"/>
                <w:color w:val="000000"/>
                <w:sz w:val="16"/>
                <w:szCs w:val="16"/>
              </w:rPr>
            </w:pPr>
            <w:r w:rsidRPr="00CD045B">
              <w:rPr>
                <w:rFonts w:ascii="Verdana" w:hAnsi="Verdana"/>
                <w:color w:val="000000"/>
                <w:sz w:val="16"/>
                <w:szCs w:val="16"/>
              </w:rPr>
              <w:t>ISO 27001, ISO 22301 (Continuidad del Negocio).</w:t>
            </w:r>
          </w:p>
        </w:tc>
        <w:tc>
          <w:tcPr>
            <w:tcW w:w="2306" w:type="dxa"/>
            <w:tcBorders>
              <w:top w:val="nil"/>
              <w:left w:val="nil"/>
              <w:bottom w:val="single" w:sz="4" w:space="0" w:color="auto"/>
              <w:right w:val="single" w:sz="4" w:space="0" w:color="auto"/>
            </w:tcBorders>
            <w:shd w:val="clear" w:color="auto" w:fill="FFFFFF" w:themeFill="background1"/>
            <w:vAlign w:val="center"/>
            <w:hideMark/>
          </w:tcPr>
          <w:p w14:paraId="1D4B4433" w14:textId="7B5F78E8" w:rsidR="00CD045B" w:rsidRPr="00C52332" w:rsidRDefault="007C612F" w:rsidP="005D7CE7">
            <w:pPr>
              <w:jc w:val="center"/>
              <w:rPr>
                <w:rFonts w:ascii="Verdana" w:hAnsi="Verdana"/>
                <w:color w:val="FF0000"/>
                <w:sz w:val="16"/>
                <w:szCs w:val="16"/>
              </w:rPr>
            </w:pPr>
            <w:r w:rsidRPr="007C612F">
              <w:rPr>
                <w:rFonts w:ascii="Verdana" w:hAnsi="Verdana"/>
                <w:sz w:val="18"/>
                <w:szCs w:val="18"/>
              </w:rPr>
              <w:t>Gestión de Infraestructura y tecnología de la Información</w:t>
            </w:r>
            <w:r w:rsidRPr="007C612F">
              <w:rPr>
                <w:rFonts w:ascii="Verdana" w:hAnsi="Verdana"/>
                <w:sz w:val="16"/>
                <w:szCs w:val="16"/>
              </w:rPr>
              <w:t xml:space="preserve"> / Gestión Documental</w:t>
            </w:r>
          </w:p>
        </w:tc>
      </w:tr>
      <w:tr w:rsidR="00CD045B" w:rsidRPr="00CD045B" w14:paraId="751B30DD" w14:textId="77777777" w:rsidTr="005F5896">
        <w:trPr>
          <w:trHeight w:val="734"/>
        </w:trPr>
        <w:tc>
          <w:tcPr>
            <w:tcW w:w="1408" w:type="dxa"/>
            <w:tcBorders>
              <w:top w:val="nil"/>
              <w:left w:val="single" w:sz="4" w:space="0" w:color="auto"/>
              <w:bottom w:val="single" w:sz="4" w:space="0" w:color="auto"/>
              <w:right w:val="single" w:sz="4" w:space="0" w:color="auto"/>
            </w:tcBorders>
            <w:shd w:val="clear" w:color="auto" w:fill="FFFFFF" w:themeFill="background1"/>
            <w:vAlign w:val="center"/>
            <w:hideMark/>
          </w:tcPr>
          <w:p w14:paraId="43B09554" w14:textId="77777777" w:rsidR="00CD045B" w:rsidRPr="00CD045B" w:rsidRDefault="00CD045B" w:rsidP="005D7CE7">
            <w:pPr>
              <w:jc w:val="center"/>
              <w:rPr>
                <w:rFonts w:ascii="Verdana" w:hAnsi="Verdana"/>
                <w:b/>
                <w:bCs/>
                <w:color w:val="000000"/>
                <w:sz w:val="16"/>
                <w:szCs w:val="16"/>
              </w:rPr>
            </w:pPr>
            <w:r w:rsidRPr="00CD045B">
              <w:rPr>
                <w:rFonts w:ascii="Verdana" w:hAnsi="Verdana"/>
                <w:b/>
                <w:bCs/>
                <w:color w:val="000000"/>
                <w:sz w:val="16"/>
                <w:szCs w:val="16"/>
              </w:rPr>
              <w:t>Migración tecnológica planificada</w:t>
            </w:r>
          </w:p>
        </w:tc>
        <w:tc>
          <w:tcPr>
            <w:tcW w:w="2934" w:type="dxa"/>
            <w:tcBorders>
              <w:top w:val="nil"/>
              <w:left w:val="nil"/>
              <w:bottom w:val="single" w:sz="4" w:space="0" w:color="auto"/>
              <w:right w:val="single" w:sz="4" w:space="0" w:color="auto"/>
            </w:tcBorders>
            <w:shd w:val="clear" w:color="auto" w:fill="FFFFFF" w:themeFill="background1"/>
            <w:vAlign w:val="bottom"/>
            <w:hideMark/>
          </w:tcPr>
          <w:p w14:paraId="288F9F7C" w14:textId="77777777" w:rsidR="00CD045B" w:rsidRDefault="00CD045B" w:rsidP="005D7CE7">
            <w:pPr>
              <w:jc w:val="center"/>
              <w:rPr>
                <w:rFonts w:ascii="Verdana" w:hAnsi="Verdana"/>
                <w:color w:val="000000"/>
                <w:sz w:val="16"/>
                <w:szCs w:val="16"/>
              </w:rPr>
            </w:pPr>
            <w:r w:rsidRPr="00CD045B">
              <w:rPr>
                <w:rFonts w:ascii="Verdana" w:hAnsi="Verdana"/>
                <w:color w:val="000000"/>
                <w:sz w:val="16"/>
                <w:szCs w:val="16"/>
              </w:rPr>
              <w:t>Ejecución de procesos periódicos de migración para prevenir la obsolencia de formatos y garantizar el acceso futuro.</w:t>
            </w:r>
          </w:p>
          <w:p w14:paraId="685D93C0" w14:textId="7F3B885F" w:rsidR="00D6575C" w:rsidRPr="00CD045B" w:rsidRDefault="00D6575C" w:rsidP="005D7CE7">
            <w:pPr>
              <w:jc w:val="center"/>
              <w:rPr>
                <w:rFonts w:ascii="Verdana" w:hAnsi="Verdana"/>
                <w:color w:val="000000"/>
                <w:sz w:val="16"/>
                <w:szCs w:val="16"/>
              </w:rPr>
            </w:pPr>
          </w:p>
        </w:tc>
        <w:tc>
          <w:tcPr>
            <w:tcW w:w="2971" w:type="dxa"/>
            <w:tcBorders>
              <w:top w:val="nil"/>
              <w:left w:val="nil"/>
              <w:bottom w:val="single" w:sz="4" w:space="0" w:color="auto"/>
              <w:right w:val="single" w:sz="4" w:space="0" w:color="auto"/>
            </w:tcBorders>
            <w:shd w:val="clear" w:color="auto" w:fill="FFFFFF" w:themeFill="background1"/>
            <w:vAlign w:val="center"/>
            <w:hideMark/>
          </w:tcPr>
          <w:p w14:paraId="68FA1D97" w14:textId="77777777" w:rsidR="00CD045B" w:rsidRPr="00CD045B" w:rsidRDefault="00CD045B" w:rsidP="005D7CE7">
            <w:pPr>
              <w:jc w:val="center"/>
              <w:rPr>
                <w:rFonts w:ascii="Verdana" w:hAnsi="Verdana"/>
                <w:color w:val="000000"/>
                <w:sz w:val="16"/>
                <w:szCs w:val="16"/>
              </w:rPr>
            </w:pPr>
            <w:r w:rsidRPr="00CD045B">
              <w:rPr>
                <w:rFonts w:ascii="Verdana" w:hAnsi="Verdana"/>
                <w:color w:val="000000"/>
                <w:sz w:val="16"/>
                <w:szCs w:val="16"/>
              </w:rPr>
              <w:t>ISO 14721 (OAIS). Acuerdo AGN 001 /2024</w:t>
            </w:r>
          </w:p>
        </w:tc>
        <w:tc>
          <w:tcPr>
            <w:tcW w:w="2306" w:type="dxa"/>
            <w:tcBorders>
              <w:top w:val="nil"/>
              <w:left w:val="nil"/>
              <w:bottom w:val="single" w:sz="4" w:space="0" w:color="auto"/>
              <w:right w:val="single" w:sz="4" w:space="0" w:color="auto"/>
            </w:tcBorders>
            <w:shd w:val="clear" w:color="auto" w:fill="FFFFFF" w:themeFill="background1"/>
            <w:vAlign w:val="center"/>
            <w:hideMark/>
          </w:tcPr>
          <w:p w14:paraId="5E4E18D3" w14:textId="4D29CA7E" w:rsidR="00CD045B" w:rsidRPr="00C52332" w:rsidRDefault="007C612F" w:rsidP="005D7CE7">
            <w:pPr>
              <w:jc w:val="center"/>
              <w:rPr>
                <w:rFonts w:ascii="Verdana" w:hAnsi="Verdana"/>
                <w:color w:val="FF0000"/>
                <w:sz w:val="16"/>
                <w:szCs w:val="16"/>
              </w:rPr>
            </w:pPr>
            <w:r w:rsidRPr="007C612F">
              <w:rPr>
                <w:rFonts w:ascii="Verdana" w:hAnsi="Verdana"/>
                <w:sz w:val="18"/>
                <w:szCs w:val="18"/>
              </w:rPr>
              <w:t>Gestión de Infraestructura y tecnología de la Información</w:t>
            </w:r>
            <w:r w:rsidRPr="007C612F">
              <w:rPr>
                <w:rFonts w:ascii="Verdana" w:hAnsi="Verdana"/>
                <w:sz w:val="16"/>
                <w:szCs w:val="16"/>
              </w:rPr>
              <w:t xml:space="preserve"> / Gestión Documental</w:t>
            </w:r>
          </w:p>
        </w:tc>
      </w:tr>
      <w:tr w:rsidR="00CD045B" w:rsidRPr="00CD045B" w14:paraId="20140064" w14:textId="77777777" w:rsidTr="00D6575C">
        <w:trPr>
          <w:trHeight w:val="64"/>
        </w:trPr>
        <w:tc>
          <w:tcPr>
            <w:tcW w:w="1408" w:type="dxa"/>
            <w:tcBorders>
              <w:top w:val="nil"/>
              <w:left w:val="single" w:sz="4" w:space="0" w:color="auto"/>
              <w:bottom w:val="single" w:sz="4" w:space="0" w:color="auto"/>
              <w:right w:val="single" w:sz="4" w:space="0" w:color="auto"/>
            </w:tcBorders>
            <w:shd w:val="clear" w:color="auto" w:fill="FFFFFF" w:themeFill="background1"/>
            <w:vAlign w:val="center"/>
            <w:hideMark/>
          </w:tcPr>
          <w:p w14:paraId="2F2E82CD" w14:textId="77777777" w:rsidR="00CD045B" w:rsidRPr="00CD045B" w:rsidRDefault="00CD045B" w:rsidP="005D7CE7">
            <w:pPr>
              <w:jc w:val="center"/>
              <w:rPr>
                <w:rFonts w:ascii="Verdana" w:hAnsi="Verdana"/>
                <w:b/>
                <w:bCs/>
                <w:color w:val="000000"/>
                <w:sz w:val="16"/>
                <w:szCs w:val="16"/>
              </w:rPr>
            </w:pPr>
            <w:r w:rsidRPr="00CD045B">
              <w:rPr>
                <w:rFonts w:ascii="Verdana" w:hAnsi="Verdana"/>
                <w:b/>
                <w:bCs/>
                <w:color w:val="000000"/>
                <w:sz w:val="16"/>
                <w:szCs w:val="16"/>
              </w:rPr>
              <w:t>Planes de contingencia y de continuidad</w:t>
            </w:r>
          </w:p>
        </w:tc>
        <w:tc>
          <w:tcPr>
            <w:tcW w:w="2934" w:type="dxa"/>
            <w:tcBorders>
              <w:top w:val="nil"/>
              <w:left w:val="nil"/>
              <w:bottom w:val="single" w:sz="4" w:space="0" w:color="auto"/>
              <w:right w:val="single" w:sz="4" w:space="0" w:color="auto"/>
            </w:tcBorders>
            <w:shd w:val="clear" w:color="auto" w:fill="FFFFFF" w:themeFill="background1"/>
            <w:vAlign w:val="bottom"/>
            <w:hideMark/>
          </w:tcPr>
          <w:p w14:paraId="53FDEEC0" w14:textId="77777777" w:rsidR="00CD045B" w:rsidRDefault="00CD045B" w:rsidP="005D7CE7">
            <w:pPr>
              <w:jc w:val="center"/>
              <w:rPr>
                <w:rFonts w:ascii="Verdana" w:hAnsi="Verdana"/>
                <w:color w:val="000000"/>
                <w:sz w:val="16"/>
                <w:szCs w:val="16"/>
              </w:rPr>
            </w:pPr>
            <w:r w:rsidRPr="00CD045B">
              <w:rPr>
                <w:rFonts w:ascii="Verdana" w:hAnsi="Verdana"/>
                <w:color w:val="000000"/>
                <w:sz w:val="16"/>
                <w:szCs w:val="16"/>
              </w:rPr>
              <w:t>Diseño y prueba de planes de recuperación ante desastres (BCP/DRP), con restauración de servicios y documentos.</w:t>
            </w:r>
          </w:p>
          <w:p w14:paraId="265CB755" w14:textId="0E861FE4" w:rsidR="00D6575C" w:rsidRPr="00CD045B" w:rsidRDefault="00D6575C" w:rsidP="005D7CE7">
            <w:pPr>
              <w:jc w:val="center"/>
              <w:rPr>
                <w:rFonts w:ascii="Verdana" w:hAnsi="Verdana"/>
                <w:color w:val="000000"/>
                <w:sz w:val="16"/>
                <w:szCs w:val="16"/>
              </w:rPr>
            </w:pPr>
          </w:p>
        </w:tc>
        <w:tc>
          <w:tcPr>
            <w:tcW w:w="2971" w:type="dxa"/>
            <w:tcBorders>
              <w:top w:val="nil"/>
              <w:left w:val="nil"/>
              <w:bottom w:val="single" w:sz="4" w:space="0" w:color="auto"/>
              <w:right w:val="single" w:sz="4" w:space="0" w:color="auto"/>
            </w:tcBorders>
            <w:shd w:val="clear" w:color="auto" w:fill="FFFFFF" w:themeFill="background1"/>
            <w:vAlign w:val="center"/>
            <w:hideMark/>
          </w:tcPr>
          <w:p w14:paraId="4DF20EF2" w14:textId="77777777" w:rsidR="00CD045B" w:rsidRPr="00CD045B" w:rsidRDefault="00CD045B" w:rsidP="005D7CE7">
            <w:pPr>
              <w:jc w:val="center"/>
              <w:rPr>
                <w:rFonts w:ascii="Verdana" w:hAnsi="Verdana"/>
                <w:color w:val="000000"/>
                <w:sz w:val="16"/>
                <w:szCs w:val="16"/>
              </w:rPr>
            </w:pPr>
            <w:r w:rsidRPr="00CD045B">
              <w:rPr>
                <w:rFonts w:ascii="Verdana" w:hAnsi="Verdana"/>
                <w:color w:val="000000"/>
                <w:sz w:val="16"/>
                <w:szCs w:val="16"/>
              </w:rPr>
              <w:t>ISO 22301, Decreto 1080/2015 AGN (2019)</w:t>
            </w:r>
          </w:p>
        </w:tc>
        <w:tc>
          <w:tcPr>
            <w:tcW w:w="2306" w:type="dxa"/>
            <w:tcBorders>
              <w:top w:val="nil"/>
              <w:left w:val="nil"/>
              <w:bottom w:val="single" w:sz="4" w:space="0" w:color="auto"/>
              <w:right w:val="single" w:sz="4" w:space="0" w:color="auto"/>
            </w:tcBorders>
            <w:shd w:val="clear" w:color="auto" w:fill="FFFFFF" w:themeFill="background1"/>
            <w:vAlign w:val="center"/>
            <w:hideMark/>
          </w:tcPr>
          <w:p w14:paraId="5A34364D" w14:textId="146E0E8F" w:rsidR="00DE14E6" w:rsidRPr="00C52332" w:rsidRDefault="007C612F" w:rsidP="005D7CE7">
            <w:pPr>
              <w:jc w:val="center"/>
              <w:rPr>
                <w:rFonts w:ascii="Verdana" w:hAnsi="Verdana"/>
                <w:color w:val="FF0000"/>
                <w:sz w:val="16"/>
                <w:szCs w:val="16"/>
              </w:rPr>
            </w:pPr>
            <w:r w:rsidRPr="007C612F">
              <w:rPr>
                <w:rFonts w:ascii="Verdana" w:hAnsi="Verdana"/>
                <w:sz w:val="18"/>
                <w:szCs w:val="18"/>
              </w:rPr>
              <w:t>Gestión de Infraestructura y tecnología de la Información</w:t>
            </w:r>
            <w:r w:rsidRPr="007C612F">
              <w:rPr>
                <w:rFonts w:ascii="Verdana" w:hAnsi="Verdana"/>
                <w:sz w:val="16"/>
                <w:szCs w:val="16"/>
              </w:rPr>
              <w:t xml:space="preserve"> / Gestión Documental</w:t>
            </w:r>
          </w:p>
        </w:tc>
      </w:tr>
    </w:tbl>
    <w:p w14:paraId="3F13A55F" w14:textId="14E4352F" w:rsidR="003B2049" w:rsidRPr="00E53CF8" w:rsidRDefault="003B2049" w:rsidP="00973DFD">
      <w:pPr>
        <w:jc w:val="center"/>
        <w:rPr>
          <w:rFonts w:ascii="Verdana" w:hAnsi="Verdana" w:cs="Arial"/>
          <w:b/>
          <w:bCs/>
          <w:sz w:val="20"/>
          <w:szCs w:val="20"/>
        </w:rPr>
      </w:pPr>
      <w:bookmarkStart w:id="11" w:name="_Toc207287161"/>
      <w:r w:rsidRPr="66E8730B">
        <w:rPr>
          <w:rFonts w:ascii="Verdana" w:hAnsi="Verdana" w:cs="Arial"/>
          <w:b/>
          <w:bCs/>
          <w:sz w:val="20"/>
          <w:szCs w:val="20"/>
        </w:rPr>
        <w:t xml:space="preserve">Tabla </w:t>
      </w:r>
      <w:r w:rsidR="005D7CE7">
        <w:rPr>
          <w:rFonts w:ascii="Verdana" w:hAnsi="Verdana" w:cs="Arial"/>
          <w:b/>
          <w:bCs/>
          <w:sz w:val="20"/>
          <w:szCs w:val="20"/>
        </w:rPr>
        <w:t>1</w:t>
      </w:r>
      <w:r w:rsidRPr="66E8730B">
        <w:rPr>
          <w:rFonts w:ascii="Verdana" w:hAnsi="Verdana" w:cs="Arial"/>
          <w:b/>
          <w:bCs/>
          <w:sz w:val="20"/>
          <w:szCs w:val="20"/>
        </w:rPr>
        <w:t xml:space="preserve">. Tabla </w:t>
      </w:r>
      <w:r w:rsidR="00973DFD" w:rsidRPr="66E8730B">
        <w:rPr>
          <w:rFonts w:ascii="Verdana" w:hAnsi="Verdana" w:cs="Arial"/>
          <w:b/>
          <w:bCs/>
          <w:sz w:val="20"/>
          <w:szCs w:val="20"/>
        </w:rPr>
        <w:t>Técnica Seguridad</w:t>
      </w:r>
      <w:r w:rsidRPr="66E8730B">
        <w:rPr>
          <w:rFonts w:ascii="Verdana" w:hAnsi="Verdana" w:cs="Arial"/>
          <w:b/>
          <w:bCs/>
          <w:sz w:val="20"/>
          <w:szCs w:val="20"/>
        </w:rPr>
        <w:t xml:space="preserve"> y Preservación Digital (MoReq 202</w:t>
      </w:r>
      <w:r w:rsidR="000760E9">
        <w:rPr>
          <w:rFonts w:ascii="Verdana" w:hAnsi="Verdana" w:cs="Arial"/>
          <w:b/>
          <w:bCs/>
          <w:sz w:val="20"/>
          <w:szCs w:val="20"/>
        </w:rPr>
        <w:t>6</w:t>
      </w:r>
      <w:r w:rsidRPr="66E8730B">
        <w:rPr>
          <w:rFonts w:ascii="Verdana" w:hAnsi="Verdana" w:cs="Arial"/>
          <w:b/>
          <w:bCs/>
          <w:sz w:val="20"/>
          <w:szCs w:val="20"/>
        </w:rPr>
        <w:t xml:space="preserve"> Supersociedades)</w:t>
      </w:r>
      <w:bookmarkEnd w:id="11"/>
    </w:p>
    <w:p w14:paraId="566572C7" w14:textId="77777777" w:rsidR="00D92745" w:rsidRDefault="00D92745" w:rsidP="00973DFD">
      <w:pPr>
        <w:jc w:val="both"/>
        <w:rPr>
          <w:rFonts w:ascii="Verdana" w:hAnsi="Verdana" w:cs="Arial"/>
          <w:sz w:val="22"/>
          <w:szCs w:val="22"/>
        </w:rPr>
      </w:pPr>
    </w:p>
    <w:p w14:paraId="6FBBF331" w14:textId="475D03BE" w:rsidR="003B2049" w:rsidRPr="00F31F40" w:rsidRDefault="003B2049" w:rsidP="00F31F40">
      <w:pPr>
        <w:jc w:val="both"/>
        <w:rPr>
          <w:rFonts w:ascii="Verdana" w:hAnsi="Verdana" w:cs="Arial"/>
          <w:sz w:val="22"/>
          <w:szCs w:val="22"/>
        </w:rPr>
      </w:pPr>
      <w:r w:rsidRPr="00F31F40">
        <w:rPr>
          <w:rFonts w:ascii="Verdana" w:hAnsi="Verdana" w:cs="Arial"/>
          <w:sz w:val="22"/>
          <w:szCs w:val="22"/>
        </w:rPr>
        <w:lastRenderedPageBreak/>
        <w:t>La tabla no solo enumera los mecanismos de seguridad y preservación, sino que los fundamenta en estándares internacionales (ISO 27001, SHA-256, BCP/DRP) y en la normativa nacional archivística (Acuerdo AGN 001 de 2024, Ley 594/2000, Decreto 620/2020).</w:t>
      </w:r>
    </w:p>
    <w:p w14:paraId="7E1D2118" w14:textId="77777777" w:rsidR="00D92745" w:rsidRPr="00F31F40" w:rsidRDefault="00D92745" w:rsidP="00F31F40">
      <w:pPr>
        <w:jc w:val="both"/>
        <w:rPr>
          <w:rFonts w:ascii="Verdana" w:hAnsi="Verdana" w:cs="Arial"/>
          <w:sz w:val="22"/>
          <w:szCs w:val="22"/>
        </w:rPr>
      </w:pPr>
    </w:p>
    <w:p w14:paraId="12C171D3" w14:textId="2B8A8E1E" w:rsidR="003B2049" w:rsidRPr="00F31F40" w:rsidRDefault="003B2049" w:rsidP="00F31F40">
      <w:pPr>
        <w:jc w:val="both"/>
        <w:rPr>
          <w:rFonts w:ascii="Verdana" w:hAnsi="Verdana" w:cs="Arial"/>
          <w:sz w:val="22"/>
          <w:szCs w:val="22"/>
        </w:rPr>
      </w:pPr>
    </w:p>
    <w:p w14:paraId="22386A85" w14:textId="7F17D807" w:rsidR="003B2049" w:rsidRPr="00F31F40" w:rsidRDefault="000A3042" w:rsidP="00F31F40">
      <w:pPr>
        <w:pStyle w:val="Ttulo2"/>
        <w:spacing w:before="0"/>
        <w:jc w:val="both"/>
        <w:rPr>
          <w:rFonts w:ascii="Verdana" w:hAnsi="Verdana" w:cs="Arial"/>
          <w:b/>
          <w:bCs/>
          <w:color w:val="auto"/>
          <w:sz w:val="22"/>
          <w:szCs w:val="22"/>
        </w:rPr>
      </w:pPr>
      <w:bookmarkStart w:id="12" w:name="_Toc213403781"/>
      <w:r w:rsidRPr="00F31F40">
        <w:rPr>
          <w:rFonts w:ascii="Verdana" w:hAnsi="Verdana" w:cs="Arial"/>
          <w:b/>
          <w:bCs/>
          <w:color w:val="auto"/>
          <w:sz w:val="22"/>
          <w:szCs w:val="22"/>
        </w:rPr>
        <w:t>5.</w:t>
      </w:r>
      <w:r w:rsidR="00446BE1" w:rsidRPr="00F31F40">
        <w:rPr>
          <w:rFonts w:ascii="Verdana" w:hAnsi="Verdana" w:cs="Arial"/>
          <w:b/>
          <w:bCs/>
          <w:color w:val="auto"/>
          <w:sz w:val="22"/>
          <w:szCs w:val="22"/>
        </w:rPr>
        <w:t>7</w:t>
      </w:r>
      <w:r w:rsidRPr="00F31F40">
        <w:rPr>
          <w:rFonts w:ascii="Verdana" w:hAnsi="Verdana" w:cs="Arial"/>
          <w:b/>
          <w:bCs/>
          <w:color w:val="auto"/>
          <w:sz w:val="22"/>
          <w:szCs w:val="22"/>
        </w:rPr>
        <w:t>.</w:t>
      </w:r>
      <w:r w:rsidR="00EF0FE1" w:rsidRPr="00F31F40">
        <w:rPr>
          <w:rFonts w:ascii="Verdana" w:hAnsi="Verdana" w:cs="Arial"/>
          <w:b/>
          <w:bCs/>
          <w:color w:val="auto"/>
          <w:sz w:val="22"/>
          <w:szCs w:val="22"/>
        </w:rPr>
        <w:t>5</w:t>
      </w:r>
      <w:r w:rsidRPr="00F31F40">
        <w:rPr>
          <w:rFonts w:ascii="Verdana" w:hAnsi="Verdana" w:cs="Arial"/>
          <w:b/>
          <w:bCs/>
          <w:color w:val="auto"/>
          <w:sz w:val="22"/>
          <w:szCs w:val="22"/>
        </w:rPr>
        <w:t xml:space="preserve">. </w:t>
      </w:r>
      <w:r w:rsidR="003B2049" w:rsidRPr="00F31F40">
        <w:rPr>
          <w:rFonts w:ascii="Verdana" w:hAnsi="Verdana" w:cs="Arial"/>
          <w:b/>
          <w:bCs/>
          <w:color w:val="auto"/>
          <w:sz w:val="22"/>
          <w:szCs w:val="22"/>
        </w:rPr>
        <w:t>Estructura de Gobierno del Dato en la Superintendencia de Sociedades</w:t>
      </w:r>
      <w:bookmarkEnd w:id="12"/>
    </w:p>
    <w:p w14:paraId="695B3300" w14:textId="77777777" w:rsidR="003B2049" w:rsidRPr="00F31F40" w:rsidRDefault="003B2049" w:rsidP="000238DA">
      <w:pPr>
        <w:rPr>
          <w:rFonts w:ascii="Verdana" w:hAnsi="Verdana"/>
          <w:sz w:val="22"/>
          <w:szCs w:val="22"/>
        </w:rPr>
      </w:pPr>
    </w:p>
    <w:p w14:paraId="6AC07A2A" w14:textId="77777777" w:rsidR="003B2049" w:rsidRPr="00F31F40" w:rsidRDefault="003B2049" w:rsidP="000238DA">
      <w:pPr>
        <w:jc w:val="both"/>
        <w:rPr>
          <w:rFonts w:ascii="Verdana" w:hAnsi="Verdana" w:cs="Arial"/>
          <w:sz w:val="22"/>
          <w:szCs w:val="22"/>
        </w:rPr>
      </w:pPr>
      <w:r w:rsidRPr="00F31F40">
        <w:rPr>
          <w:rFonts w:ascii="Verdana" w:hAnsi="Verdana" w:cs="Arial"/>
          <w:sz w:val="22"/>
          <w:szCs w:val="22"/>
        </w:rPr>
        <w:t>La estructura institucional para el Gobierno de Datos se articula de la siguiente manera:</w:t>
      </w:r>
    </w:p>
    <w:p w14:paraId="63C9D519" w14:textId="77777777" w:rsidR="00CC10F9" w:rsidRPr="00F31F40" w:rsidRDefault="00CC10F9" w:rsidP="000238DA">
      <w:pPr>
        <w:jc w:val="both"/>
        <w:rPr>
          <w:rFonts w:ascii="Verdana" w:hAnsi="Verdana" w:cs="Arial"/>
          <w:sz w:val="22"/>
          <w:szCs w:val="22"/>
        </w:rPr>
      </w:pPr>
    </w:p>
    <w:p w14:paraId="751B7E10" w14:textId="6776FDC3" w:rsidR="003B2049" w:rsidRPr="00F31F40" w:rsidRDefault="003B2049" w:rsidP="00A27AA5">
      <w:pPr>
        <w:pStyle w:val="Prrafodelista"/>
        <w:numPr>
          <w:ilvl w:val="0"/>
          <w:numId w:val="31"/>
        </w:numPr>
        <w:contextualSpacing/>
        <w:jc w:val="both"/>
        <w:rPr>
          <w:rFonts w:ascii="Verdana" w:hAnsi="Verdana" w:cs="Arial"/>
          <w:sz w:val="22"/>
          <w:szCs w:val="22"/>
        </w:rPr>
      </w:pPr>
      <w:r w:rsidRPr="00F31F40">
        <w:rPr>
          <w:rFonts w:ascii="Verdana" w:hAnsi="Verdana" w:cs="Arial"/>
          <w:b/>
          <w:bCs/>
          <w:sz w:val="22"/>
          <w:szCs w:val="22"/>
        </w:rPr>
        <w:t>Rol de Gobernanza del Dato</w:t>
      </w:r>
      <w:r w:rsidRPr="00F31F40">
        <w:rPr>
          <w:rFonts w:ascii="Verdana" w:hAnsi="Verdana" w:cs="Arial"/>
          <w:sz w:val="22"/>
          <w:szCs w:val="22"/>
        </w:rPr>
        <w:t>: Asignado a</w:t>
      </w:r>
      <w:r w:rsidR="00616EF4" w:rsidRPr="00F31F40">
        <w:rPr>
          <w:rFonts w:ascii="Verdana" w:hAnsi="Verdana" w:cs="Arial"/>
          <w:sz w:val="22"/>
          <w:szCs w:val="22"/>
        </w:rPr>
        <w:t>l proceso de Gestión de Infraestructura y Tecnologías de Información, la</w:t>
      </w:r>
      <w:r w:rsidRPr="00F31F40">
        <w:rPr>
          <w:rFonts w:ascii="Verdana" w:hAnsi="Verdana" w:cs="Arial"/>
          <w:sz w:val="22"/>
          <w:szCs w:val="22"/>
        </w:rPr>
        <w:t xml:space="preserve"> Dirección de Tecnologías de la Información, responsable de definir políticas y estándares de calidad de la información.</w:t>
      </w:r>
    </w:p>
    <w:p w14:paraId="5F23EA3F" w14:textId="77777777" w:rsidR="00CC10F9" w:rsidRPr="00F31F40" w:rsidRDefault="00CC10F9" w:rsidP="000238DA">
      <w:pPr>
        <w:pStyle w:val="Prrafodelista"/>
        <w:ind w:left="644"/>
        <w:contextualSpacing/>
        <w:jc w:val="both"/>
        <w:rPr>
          <w:rFonts w:ascii="Verdana" w:hAnsi="Verdana" w:cs="Arial"/>
          <w:sz w:val="22"/>
          <w:szCs w:val="22"/>
        </w:rPr>
      </w:pPr>
    </w:p>
    <w:p w14:paraId="3AC01FBA" w14:textId="27F9C067" w:rsidR="003B2049" w:rsidRPr="00F31F40" w:rsidRDefault="003B2049" w:rsidP="00A27AA5">
      <w:pPr>
        <w:pStyle w:val="Prrafodelista"/>
        <w:numPr>
          <w:ilvl w:val="0"/>
          <w:numId w:val="31"/>
        </w:numPr>
        <w:contextualSpacing/>
        <w:jc w:val="both"/>
        <w:rPr>
          <w:rFonts w:ascii="Verdana" w:hAnsi="Verdana" w:cs="Arial"/>
          <w:sz w:val="22"/>
          <w:szCs w:val="22"/>
        </w:rPr>
      </w:pPr>
      <w:r w:rsidRPr="00F31F40">
        <w:rPr>
          <w:rFonts w:ascii="Verdana" w:hAnsi="Verdana" w:cs="Arial"/>
          <w:b/>
          <w:bCs/>
          <w:sz w:val="22"/>
          <w:szCs w:val="22"/>
        </w:rPr>
        <w:t>Rol del proceso de Gestión Documental</w:t>
      </w:r>
      <w:r w:rsidRPr="00F31F40">
        <w:rPr>
          <w:rFonts w:ascii="Verdana" w:hAnsi="Verdana" w:cs="Arial"/>
          <w:sz w:val="22"/>
          <w:szCs w:val="22"/>
        </w:rPr>
        <w:t xml:space="preserve">: A cargo del </w:t>
      </w:r>
      <w:r w:rsidR="00616EF4" w:rsidRPr="00F31F40">
        <w:rPr>
          <w:rFonts w:ascii="Verdana" w:hAnsi="Verdana" w:cs="Arial"/>
          <w:sz w:val="22"/>
          <w:szCs w:val="22"/>
        </w:rPr>
        <w:t xml:space="preserve">proceso de Gestión Documental, </w:t>
      </w:r>
      <w:r w:rsidRPr="00F31F40">
        <w:rPr>
          <w:rFonts w:ascii="Verdana" w:hAnsi="Verdana" w:cs="Arial"/>
          <w:sz w:val="22"/>
          <w:szCs w:val="22"/>
        </w:rPr>
        <w:t>encargada de asegurar la correcta descripción, clasificación y trazabilidad de los documentos.</w:t>
      </w:r>
    </w:p>
    <w:p w14:paraId="04777B7C" w14:textId="77777777" w:rsidR="009E4435" w:rsidRPr="00F31F40" w:rsidRDefault="009E4435" w:rsidP="009E4435">
      <w:pPr>
        <w:pStyle w:val="Prrafodelista"/>
        <w:rPr>
          <w:rFonts w:ascii="Verdana" w:hAnsi="Verdana" w:cs="Arial"/>
          <w:sz w:val="22"/>
          <w:szCs w:val="22"/>
        </w:rPr>
      </w:pPr>
    </w:p>
    <w:p w14:paraId="778DFC68" w14:textId="4F5C3F0F" w:rsidR="003B2049" w:rsidRPr="00F31F40" w:rsidRDefault="003B2049" w:rsidP="00A27AA5">
      <w:pPr>
        <w:pStyle w:val="Prrafodelista"/>
        <w:numPr>
          <w:ilvl w:val="0"/>
          <w:numId w:val="31"/>
        </w:numPr>
        <w:contextualSpacing/>
        <w:jc w:val="both"/>
        <w:rPr>
          <w:rFonts w:ascii="Verdana" w:hAnsi="Verdana" w:cs="Arial"/>
          <w:sz w:val="22"/>
          <w:szCs w:val="22"/>
        </w:rPr>
      </w:pPr>
      <w:r w:rsidRPr="00F31F40">
        <w:rPr>
          <w:rFonts w:ascii="Verdana" w:hAnsi="Verdana" w:cs="Arial"/>
          <w:b/>
          <w:bCs/>
          <w:sz w:val="22"/>
          <w:szCs w:val="22"/>
        </w:rPr>
        <w:t>Rol de Custodia y Seguridad</w:t>
      </w:r>
      <w:r w:rsidRPr="00F31F40">
        <w:rPr>
          <w:rFonts w:ascii="Verdana" w:hAnsi="Verdana" w:cs="Arial"/>
          <w:sz w:val="22"/>
          <w:szCs w:val="22"/>
        </w:rPr>
        <w:t xml:space="preserve">: </w:t>
      </w:r>
      <w:r w:rsidR="0089248B" w:rsidRPr="00F31F40">
        <w:rPr>
          <w:rFonts w:ascii="Verdana" w:hAnsi="Verdana" w:cs="Arial"/>
          <w:sz w:val="22"/>
          <w:szCs w:val="22"/>
        </w:rPr>
        <w:t xml:space="preserve">Bajo el Grupo de Arquitectura de datos la Dirección de Grupo de Sistemas y Arquitectura de Tecnología de la Dirección de Tecnologías de la Información </w:t>
      </w:r>
      <w:r w:rsidRPr="00F31F40">
        <w:rPr>
          <w:rFonts w:ascii="Verdana" w:hAnsi="Verdana" w:cs="Arial"/>
          <w:sz w:val="22"/>
          <w:szCs w:val="22"/>
        </w:rPr>
        <w:t>que supervisa el cumplimiento de políticas de seguridad de la información y protección de datos.</w:t>
      </w:r>
    </w:p>
    <w:p w14:paraId="243A2246" w14:textId="77777777" w:rsidR="000238DA" w:rsidRPr="00F31F40" w:rsidRDefault="000238DA" w:rsidP="000238DA">
      <w:pPr>
        <w:pStyle w:val="Prrafodelista"/>
        <w:ind w:left="644"/>
        <w:contextualSpacing/>
        <w:jc w:val="both"/>
        <w:rPr>
          <w:rFonts w:ascii="Verdana" w:hAnsi="Verdana" w:cs="Arial"/>
          <w:sz w:val="22"/>
          <w:szCs w:val="22"/>
        </w:rPr>
      </w:pPr>
    </w:p>
    <w:p w14:paraId="1D1919D2" w14:textId="7DDCAD39" w:rsidR="003B2049" w:rsidRDefault="003B2049" w:rsidP="000238DA">
      <w:pPr>
        <w:jc w:val="both"/>
        <w:rPr>
          <w:rFonts w:ascii="Verdana" w:hAnsi="Verdana" w:cs="Arial"/>
          <w:sz w:val="22"/>
          <w:szCs w:val="22"/>
        </w:rPr>
      </w:pPr>
      <w:r w:rsidRPr="00F31F40">
        <w:rPr>
          <w:rFonts w:ascii="Verdana" w:hAnsi="Verdana" w:cs="Arial"/>
          <w:sz w:val="22"/>
          <w:szCs w:val="22"/>
        </w:rPr>
        <w:t xml:space="preserve">Estos roles trabajan coordinadamente bajo el principio de </w:t>
      </w:r>
      <w:r w:rsidR="0034284E" w:rsidRPr="00F31F40">
        <w:rPr>
          <w:rFonts w:ascii="Verdana" w:hAnsi="Verdana" w:cs="Arial"/>
          <w:sz w:val="22"/>
          <w:szCs w:val="22"/>
        </w:rPr>
        <w:t>corresponsabilidad</w:t>
      </w:r>
      <w:r w:rsidRPr="00CC10F9">
        <w:rPr>
          <w:rFonts w:ascii="Verdana" w:hAnsi="Verdana" w:cs="Arial"/>
          <w:sz w:val="22"/>
          <w:szCs w:val="22"/>
        </w:rPr>
        <w:t xml:space="preserve"> definido por la Guía MINTIC, asegurando la coherencia entre los sistemas transaccionales (SGDEA </w:t>
      </w:r>
      <w:r w:rsidR="00531308" w:rsidRPr="00CC10F9">
        <w:rPr>
          <w:rFonts w:ascii="Verdana" w:hAnsi="Verdana" w:cs="Arial"/>
          <w:sz w:val="22"/>
          <w:szCs w:val="22"/>
        </w:rPr>
        <w:t>GeDeSS)</w:t>
      </w:r>
      <w:r w:rsidRPr="00CC10F9">
        <w:rPr>
          <w:rFonts w:ascii="Verdana" w:hAnsi="Verdana" w:cs="Arial"/>
          <w:sz w:val="22"/>
          <w:szCs w:val="22"/>
        </w:rPr>
        <w:t xml:space="preserve"> y los sistemas analíticos o de gestión del conocimiento.</w:t>
      </w:r>
    </w:p>
    <w:p w14:paraId="19165987" w14:textId="77777777" w:rsidR="00531308" w:rsidRPr="00CC10F9" w:rsidRDefault="00531308" w:rsidP="00CC10F9">
      <w:pPr>
        <w:jc w:val="both"/>
        <w:rPr>
          <w:rFonts w:ascii="Verdana" w:hAnsi="Verdana" w:cs="Arial"/>
          <w:sz w:val="22"/>
          <w:szCs w:val="22"/>
        </w:rPr>
      </w:pPr>
    </w:p>
    <w:p w14:paraId="67004077" w14:textId="39831C75" w:rsidR="003B2049" w:rsidRPr="00830653" w:rsidRDefault="00A458F5" w:rsidP="0076258B">
      <w:pPr>
        <w:pStyle w:val="Ttulo2"/>
        <w:spacing w:before="0"/>
        <w:jc w:val="both"/>
        <w:rPr>
          <w:rFonts w:ascii="Verdana" w:hAnsi="Verdana" w:cs="Arial"/>
          <w:b/>
          <w:bCs/>
          <w:color w:val="auto"/>
          <w:sz w:val="22"/>
          <w:szCs w:val="22"/>
        </w:rPr>
      </w:pPr>
      <w:bookmarkStart w:id="13" w:name="_Toc213403782"/>
      <w:r>
        <w:rPr>
          <w:rFonts w:ascii="Verdana" w:hAnsi="Verdana" w:cs="Arial"/>
          <w:b/>
          <w:bCs/>
          <w:color w:val="auto"/>
          <w:sz w:val="22"/>
          <w:szCs w:val="22"/>
        </w:rPr>
        <w:t>5.</w:t>
      </w:r>
      <w:r w:rsidR="00446BE1">
        <w:rPr>
          <w:rFonts w:ascii="Verdana" w:hAnsi="Verdana" w:cs="Arial"/>
          <w:b/>
          <w:bCs/>
          <w:color w:val="auto"/>
          <w:sz w:val="22"/>
          <w:szCs w:val="22"/>
        </w:rPr>
        <w:t>7</w:t>
      </w:r>
      <w:r>
        <w:rPr>
          <w:rFonts w:ascii="Verdana" w:hAnsi="Verdana" w:cs="Arial"/>
          <w:b/>
          <w:bCs/>
          <w:color w:val="auto"/>
          <w:sz w:val="22"/>
          <w:szCs w:val="22"/>
        </w:rPr>
        <w:t>.</w:t>
      </w:r>
      <w:r w:rsidR="00EF0FE1">
        <w:rPr>
          <w:rFonts w:ascii="Verdana" w:hAnsi="Verdana" w:cs="Arial"/>
          <w:b/>
          <w:bCs/>
          <w:color w:val="auto"/>
          <w:sz w:val="22"/>
          <w:szCs w:val="22"/>
        </w:rPr>
        <w:t>6</w:t>
      </w:r>
      <w:r>
        <w:rPr>
          <w:rFonts w:ascii="Verdana" w:hAnsi="Verdana" w:cs="Arial"/>
          <w:b/>
          <w:bCs/>
          <w:color w:val="auto"/>
          <w:sz w:val="22"/>
          <w:szCs w:val="22"/>
        </w:rPr>
        <w:t xml:space="preserve">. </w:t>
      </w:r>
      <w:r w:rsidR="003B2049" w:rsidRPr="00830653">
        <w:rPr>
          <w:rFonts w:ascii="Verdana" w:hAnsi="Verdana" w:cs="Arial"/>
          <w:b/>
          <w:bCs/>
          <w:color w:val="auto"/>
          <w:sz w:val="22"/>
          <w:szCs w:val="22"/>
        </w:rPr>
        <w:t>Modelo de Gestión de Metadatos</w:t>
      </w:r>
      <w:bookmarkEnd w:id="13"/>
    </w:p>
    <w:p w14:paraId="0FB5F165" w14:textId="77777777" w:rsidR="003B2049" w:rsidRPr="00E11F09" w:rsidRDefault="003B2049" w:rsidP="0076258B">
      <w:pPr>
        <w:jc w:val="both"/>
        <w:rPr>
          <w:rFonts w:ascii="Verdana" w:hAnsi="Verdana"/>
        </w:rPr>
      </w:pPr>
    </w:p>
    <w:p w14:paraId="51FA7333" w14:textId="7B0FF2A6" w:rsidR="003B2049" w:rsidRDefault="003B2049" w:rsidP="0076258B">
      <w:pPr>
        <w:jc w:val="both"/>
        <w:rPr>
          <w:rFonts w:ascii="Verdana" w:hAnsi="Verdana" w:cs="Arial"/>
          <w:sz w:val="22"/>
          <w:szCs w:val="22"/>
        </w:rPr>
      </w:pPr>
      <w:r w:rsidRPr="00CC10F9">
        <w:rPr>
          <w:rFonts w:ascii="Verdana" w:hAnsi="Verdana" w:cs="Arial"/>
          <w:sz w:val="22"/>
          <w:szCs w:val="22"/>
        </w:rPr>
        <w:t xml:space="preserve">La Entidad adopta </w:t>
      </w:r>
      <w:r w:rsidR="00A458F5">
        <w:rPr>
          <w:rFonts w:ascii="Verdana" w:hAnsi="Verdana" w:cs="Arial"/>
          <w:sz w:val="22"/>
          <w:szCs w:val="22"/>
        </w:rPr>
        <w:t xml:space="preserve">el </w:t>
      </w:r>
      <w:r w:rsidR="00735B66" w:rsidRPr="00883A80">
        <w:rPr>
          <w:rFonts w:ascii="Verdana" w:hAnsi="Verdana" w:cs="Arial"/>
          <w:sz w:val="22"/>
          <w:szCs w:val="22"/>
          <w:lang w:val="es-CO"/>
        </w:rPr>
        <w:t xml:space="preserve">Modelo De Gobierno De Datos De La Superintendencia De Sociedades (código GTI-MA-001) </w:t>
      </w:r>
      <w:r w:rsidR="001605AA" w:rsidRPr="00883A80">
        <w:rPr>
          <w:rFonts w:ascii="Verdana" w:hAnsi="Verdana" w:cs="Arial"/>
          <w:sz w:val="22"/>
          <w:szCs w:val="22"/>
          <w:lang w:val="es-CO"/>
        </w:rPr>
        <w:t xml:space="preserve">debidamente identificado en el mapa de procesos, </w:t>
      </w:r>
      <w:r w:rsidRPr="00FF41BF">
        <w:rPr>
          <w:rFonts w:ascii="Verdana" w:hAnsi="Verdana" w:cs="Arial"/>
          <w:sz w:val="22"/>
          <w:szCs w:val="22"/>
        </w:rPr>
        <w:t>como estándar</w:t>
      </w:r>
      <w:r w:rsidRPr="00CC10F9">
        <w:rPr>
          <w:rFonts w:ascii="Verdana" w:hAnsi="Verdana" w:cs="Arial"/>
          <w:sz w:val="22"/>
          <w:szCs w:val="22"/>
        </w:rPr>
        <w:t xml:space="preserve"> para la definición, aplicación y mantenimiento de metadatos en los documentos electrónicos</w:t>
      </w:r>
      <w:r w:rsidR="001605AA">
        <w:rPr>
          <w:rFonts w:ascii="Verdana" w:hAnsi="Verdana" w:cs="Arial"/>
          <w:sz w:val="22"/>
          <w:szCs w:val="22"/>
        </w:rPr>
        <w:t>, en pro del cumplimiento de la re</w:t>
      </w:r>
      <w:r w:rsidR="001605AA" w:rsidRPr="00735B66">
        <w:rPr>
          <w:rFonts w:ascii="Verdana" w:hAnsi="Verdana" w:cs="Arial"/>
          <w:sz w:val="22"/>
          <w:szCs w:val="22"/>
          <w:lang w:val="es-CO"/>
        </w:rPr>
        <w:t>solución 460 de 2022 por la cual se expidió el Plan Nacional de Infraestructura de Datos (PNID) y su Hoja de Ruta</w:t>
      </w:r>
      <w:r w:rsidR="001605AA">
        <w:rPr>
          <w:rFonts w:ascii="Verdana" w:hAnsi="Verdana" w:cs="Arial"/>
          <w:sz w:val="22"/>
          <w:szCs w:val="22"/>
          <w:lang w:val="es-CO"/>
        </w:rPr>
        <w:t>,  el decreto 389 de 2022</w:t>
      </w:r>
      <w:r w:rsidR="001605AA" w:rsidRPr="001605AA">
        <w:rPr>
          <w:rFonts w:ascii="Arial" w:hAnsi="Arial" w:cs="Arial"/>
          <w:color w:val="0A0A0A"/>
          <w:shd w:val="clear" w:color="auto" w:fill="FFFFFF"/>
        </w:rPr>
        <w:t xml:space="preserve"> </w:t>
      </w:r>
      <w:r w:rsidR="001605AA" w:rsidRPr="001605AA">
        <w:rPr>
          <w:rFonts w:ascii="Verdana" w:hAnsi="Verdana" w:cs="Arial"/>
          <w:sz w:val="22"/>
          <w:szCs w:val="22"/>
        </w:rPr>
        <w:t>el cual establece el modelo de gobernanza para la infraestructura de datos en el sector público</w:t>
      </w:r>
      <w:r w:rsidR="001605AA">
        <w:rPr>
          <w:rFonts w:ascii="Verdana" w:hAnsi="Verdana" w:cs="Arial"/>
          <w:sz w:val="22"/>
          <w:szCs w:val="22"/>
        </w:rPr>
        <w:t xml:space="preserve"> y el </w:t>
      </w:r>
      <w:r w:rsidR="003664DC">
        <w:rPr>
          <w:rFonts w:ascii="Verdana" w:hAnsi="Verdana" w:cs="Arial"/>
          <w:sz w:val="22"/>
          <w:szCs w:val="22"/>
          <w:lang w:val="es-CO"/>
        </w:rPr>
        <w:t>d</w:t>
      </w:r>
      <w:r w:rsidR="001605AA" w:rsidRPr="00735B66">
        <w:rPr>
          <w:rFonts w:ascii="Verdana" w:hAnsi="Verdana" w:cs="Arial"/>
          <w:sz w:val="22"/>
          <w:szCs w:val="22"/>
          <w:lang w:val="es-CO"/>
        </w:rPr>
        <w:t>ecreto 767</w:t>
      </w:r>
      <w:r w:rsidR="001605AA">
        <w:rPr>
          <w:rFonts w:ascii="Verdana" w:hAnsi="Verdana" w:cs="Arial"/>
          <w:sz w:val="22"/>
          <w:szCs w:val="22"/>
          <w:lang w:val="es-CO"/>
        </w:rPr>
        <w:t xml:space="preserve"> de 2022</w:t>
      </w:r>
      <w:r w:rsidR="00C6650E">
        <w:rPr>
          <w:rFonts w:ascii="Verdana" w:hAnsi="Verdana" w:cs="Arial"/>
          <w:sz w:val="22"/>
          <w:szCs w:val="22"/>
          <w:lang w:val="es-CO"/>
        </w:rPr>
        <w:t xml:space="preserve"> </w:t>
      </w:r>
      <w:r w:rsidR="00C6650E" w:rsidRPr="00C6650E">
        <w:rPr>
          <w:rFonts w:ascii="Verdana" w:hAnsi="Verdana" w:cs="Arial"/>
          <w:sz w:val="22"/>
          <w:szCs w:val="22"/>
        </w:rPr>
        <w:t> </w:t>
      </w:r>
      <w:r w:rsidR="00C6650E">
        <w:rPr>
          <w:rFonts w:ascii="Verdana" w:hAnsi="Verdana" w:cs="Arial"/>
          <w:sz w:val="22"/>
          <w:szCs w:val="22"/>
        </w:rPr>
        <w:t xml:space="preserve">la cual </w:t>
      </w:r>
      <w:r w:rsidR="00C6650E" w:rsidRPr="00C6650E">
        <w:rPr>
          <w:rFonts w:ascii="Verdana" w:hAnsi="Verdana" w:cs="Arial"/>
          <w:sz w:val="22"/>
          <w:szCs w:val="22"/>
        </w:rPr>
        <w:t>actualiz</w:t>
      </w:r>
      <w:r w:rsidR="00C6650E">
        <w:rPr>
          <w:rFonts w:ascii="Verdana" w:hAnsi="Verdana" w:cs="Arial"/>
          <w:sz w:val="22"/>
          <w:szCs w:val="22"/>
        </w:rPr>
        <w:t>o</w:t>
      </w:r>
      <w:r w:rsidR="00C6650E" w:rsidRPr="00C6650E">
        <w:rPr>
          <w:rFonts w:ascii="Verdana" w:hAnsi="Verdana" w:cs="Arial"/>
          <w:sz w:val="22"/>
          <w:szCs w:val="22"/>
        </w:rPr>
        <w:t xml:space="preserve"> la Política de Gobierno Digital en Colombia</w:t>
      </w:r>
      <w:r w:rsidR="00883A80">
        <w:rPr>
          <w:rFonts w:ascii="Verdana" w:hAnsi="Verdana" w:cs="Arial"/>
          <w:sz w:val="22"/>
          <w:szCs w:val="22"/>
        </w:rPr>
        <w:t>.</w:t>
      </w:r>
    </w:p>
    <w:p w14:paraId="6534E1BC" w14:textId="77777777" w:rsidR="001605AA" w:rsidRDefault="001605AA" w:rsidP="0076258B">
      <w:pPr>
        <w:jc w:val="both"/>
        <w:rPr>
          <w:rFonts w:ascii="Verdana" w:hAnsi="Verdana" w:cs="Arial"/>
          <w:sz w:val="22"/>
          <w:szCs w:val="22"/>
        </w:rPr>
      </w:pPr>
    </w:p>
    <w:p w14:paraId="10225E9F" w14:textId="77777777" w:rsidR="003B2049" w:rsidRDefault="003B2049" w:rsidP="0076258B">
      <w:pPr>
        <w:jc w:val="both"/>
        <w:rPr>
          <w:rFonts w:ascii="Verdana" w:hAnsi="Verdana" w:cs="Arial"/>
          <w:sz w:val="22"/>
          <w:szCs w:val="22"/>
        </w:rPr>
      </w:pPr>
      <w:r w:rsidRPr="00CC10F9">
        <w:rPr>
          <w:rFonts w:ascii="Verdana" w:hAnsi="Verdana" w:cs="Arial"/>
          <w:sz w:val="22"/>
          <w:szCs w:val="22"/>
        </w:rPr>
        <w:t>El modelo de metadatos garantiza que cada documento, expediente y transacción posea información asociada a su:</w:t>
      </w:r>
    </w:p>
    <w:p w14:paraId="1F65FA43" w14:textId="77777777" w:rsidR="003C0983" w:rsidRDefault="003C0983" w:rsidP="0076258B">
      <w:pPr>
        <w:jc w:val="both"/>
        <w:rPr>
          <w:rFonts w:ascii="Verdana" w:hAnsi="Verdana" w:cs="Arial"/>
          <w:sz w:val="22"/>
          <w:szCs w:val="22"/>
        </w:rPr>
      </w:pPr>
    </w:p>
    <w:p w14:paraId="1194AD3E" w14:textId="77777777" w:rsidR="003B2049" w:rsidRPr="00497E1A" w:rsidRDefault="003B2049" w:rsidP="00A27AA5">
      <w:pPr>
        <w:pStyle w:val="Prrafodelista"/>
        <w:numPr>
          <w:ilvl w:val="0"/>
          <w:numId w:val="32"/>
        </w:numPr>
        <w:contextualSpacing/>
        <w:jc w:val="both"/>
        <w:rPr>
          <w:rFonts w:ascii="Verdana" w:hAnsi="Verdana" w:cs="Arial"/>
          <w:sz w:val="22"/>
          <w:szCs w:val="22"/>
        </w:rPr>
      </w:pPr>
      <w:r w:rsidRPr="00497E1A">
        <w:rPr>
          <w:rFonts w:ascii="Verdana" w:hAnsi="Verdana" w:cs="Arial"/>
          <w:b/>
          <w:bCs/>
          <w:sz w:val="22"/>
          <w:szCs w:val="22"/>
        </w:rPr>
        <w:lastRenderedPageBreak/>
        <w:t>Identificación</w:t>
      </w:r>
      <w:r w:rsidRPr="00497E1A">
        <w:rPr>
          <w:rFonts w:ascii="Verdana" w:hAnsi="Verdana" w:cs="Arial"/>
          <w:sz w:val="22"/>
          <w:szCs w:val="22"/>
        </w:rPr>
        <w:t xml:space="preserve"> (tipo documental, productor, fecha, versión).</w:t>
      </w:r>
    </w:p>
    <w:p w14:paraId="0FC6CED6" w14:textId="77777777" w:rsidR="003B2049" w:rsidRPr="00497E1A" w:rsidRDefault="003B2049" w:rsidP="00A27AA5">
      <w:pPr>
        <w:pStyle w:val="Prrafodelista"/>
        <w:numPr>
          <w:ilvl w:val="0"/>
          <w:numId w:val="32"/>
        </w:numPr>
        <w:contextualSpacing/>
        <w:jc w:val="both"/>
        <w:rPr>
          <w:rFonts w:ascii="Verdana" w:hAnsi="Verdana" w:cs="Arial"/>
          <w:sz w:val="22"/>
          <w:szCs w:val="22"/>
        </w:rPr>
      </w:pPr>
      <w:r w:rsidRPr="00497E1A">
        <w:rPr>
          <w:rFonts w:ascii="Verdana" w:hAnsi="Verdana" w:cs="Arial"/>
          <w:b/>
          <w:bCs/>
          <w:sz w:val="22"/>
          <w:szCs w:val="22"/>
        </w:rPr>
        <w:t>Contexto</w:t>
      </w:r>
      <w:r w:rsidRPr="00497E1A">
        <w:rPr>
          <w:rFonts w:ascii="Verdana" w:hAnsi="Verdana" w:cs="Arial"/>
          <w:sz w:val="22"/>
          <w:szCs w:val="22"/>
        </w:rPr>
        <w:t xml:space="preserve"> (serie, subserie, proceso).</w:t>
      </w:r>
    </w:p>
    <w:p w14:paraId="58F99AC4" w14:textId="77777777" w:rsidR="003B2049" w:rsidRPr="00497E1A" w:rsidRDefault="003B2049" w:rsidP="00A27AA5">
      <w:pPr>
        <w:pStyle w:val="Prrafodelista"/>
        <w:numPr>
          <w:ilvl w:val="0"/>
          <w:numId w:val="32"/>
        </w:numPr>
        <w:contextualSpacing/>
        <w:jc w:val="both"/>
        <w:rPr>
          <w:rFonts w:ascii="Verdana" w:hAnsi="Verdana" w:cs="Arial"/>
          <w:sz w:val="22"/>
          <w:szCs w:val="22"/>
        </w:rPr>
      </w:pPr>
      <w:r w:rsidRPr="00497E1A">
        <w:rPr>
          <w:rFonts w:ascii="Verdana" w:hAnsi="Verdana" w:cs="Arial"/>
          <w:b/>
          <w:bCs/>
          <w:sz w:val="22"/>
          <w:szCs w:val="22"/>
        </w:rPr>
        <w:t>Control</w:t>
      </w:r>
      <w:r w:rsidRPr="00497E1A">
        <w:rPr>
          <w:rFonts w:ascii="Verdana" w:hAnsi="Verdana" w:cs="Arial"/>
          <w:sz w:val="22"/>
          <w:szCs w:val="22"/>
        </w:rPr>
        <w:t xml:space="preserve"> (responsable, estado, trazabilidad).</w:t>
      </w:r>
    </w:p>
    <w:p w14:paraId="7AB345CA" w14:textId="77777777" w:rsidR="003B2049" w:rsidRPr="00497E1A" w:rsidRDefault="003B2049" w:rsidP="00A27AA5">
      <w:pPr>
        <w:pStyle w:val="Prrafodelista"/>
        <w:numPr>
          <w:ilvl w:val="0"/>
          <w:numId w:val="32"/>
        </w:numPr>
        <w:contextualSpacing/>
        <w:jc w:val="both"/>
        <w:rPr>
          <w:rFonts w:ascii="Verdana" w:hAnsi="Verdana" w:cs="Arial"/>
          <w:sz w:val="22"/>
          <w:szCs w:val="22"/>
        </w:rPr>
      </w:pPr>
      <w:r w:rsidRPr="00497E1A">
        <w:rPr>
          <w:rFonts w:ascii="Verdana" w:hAnsi="Verdana" w:cs="Arial"/>
          <w:b/>
          <w:bCs/>
          <w:sz w:val="22"/>
          <w:szCs w:val="22"/>
        </w:rPr>
        <w:t>Preservación</w:t>
      </w:r>
      <w:r w:rsidRPr="00497E1A">
        <w:rPr>
          <w:rFonts w:ascii="Verdana" w:hAnsi="Verdana" w:cs="Arial"/>
          <w:sz w:val="22"/>
          <w:szCs w:val="22"/>
        </w:rPr>
        <w:t xml:space="preserve"> (formato, migración, custodia).</w:t>
      </w:r>
    </w:p>
    <w:p w14:paraId="786B8E46" w14:textId="77777777" w:rsidR="0076258B" w:rsidRPr="00CC10F9" w:rsidRDefault="0076258B" w:rsidP="0076258B">
      <w:pPr>
        <w:pStyle w:val="Prrafodelista"/>
        <w:ind w:left="785"/>
        <w:contextualSpacing/>
        <w:jc w:val="both"/>
        <w:rPr>
          <w:rFonts w:ascii="Verdana" w:hAnsi="Verdana" w:cs="Arial"/>
          <w:sz w:val="22"/>
          <w:szCs w:val="22"/>
        </w:rPr>
      </w:pPr>
    </w:p>
    <w:p w14:paraId="4A894880" w14:textId="47CCC2C9" w:rsidR="003B2049" w:rsidRDefault="003B2049" w:rsidP="0076258B">
      <w:pPr>
        <w:jc w:val="both"/>
        <w:rPr>
          <w:rFonts w:ascii="Verdana" w:hAnsi="Verdana" w:cs="Arial"/>
          <w:sz w:val="22"/>
          <w:szCs w:val="22"/>
        </w:rPr>
      </w:pPr>
      <w:r w:rsidRPr="00CC10F9">
        <w:rPr>
          <w:rFonts w:ascii="Verdana" w:hAnsi="Verdana" w:cs="Arial"/>
          <w:sz w:val="22"/>
          <w:szCs w:val="22"/>
        </w:rPr>
        <w:t xml:space="preserve">El SGDEA </w:t>
      </w:r>
      <w:r w:rsidR="00FF41BF" w:rsidRPr="00CC10F9">
        <w:rPr>
          <w:rFonts w:ascii="Verdana" w:hAnsi="Verdana" w:cs="Arial"/>
          <w:sz w:val="22"/>
          <w:szCs w:val="22"/>
        </w:rPr>
        <w:t>Ge</w:t>
      </w:r>
      <w:r w:rsidR="00FF41BF">
        <w:rPr>
          <w:rFonts w:ascii="Verdana" w:hAnsi="Verdana" w:cs="Arial"/>
          <w:sz w:val="22"/>
          <w:szCs w:val="22"/>
        </w:rPr>
        <w:t>stor documental</w:t>
      </w:r>
      <w:r w:rsidR="00FF41BF" w:rsidRPr="00CC10F9">
        <w:rPr>
          <w:rFonts w:ascii="Verdana" w:hAnsi="Verdana" w:cs="Arial"/>
          <w:sz w:val="22"/>
          <w:szCs w:val="22"/>
        </w:rPr>
        <w:t xml:space="preserve"> </w:t>
      </w:r>
      <w:r w:rsidRPr="00CC10F9">
        <w:rPr>
          <w:rFonts w:ascii="Verdana" w:hAnsi="Verdana" w:cs="Arial"/>
          <w:sz w:val="22"/>
          <w:szCs w:val="22"/>
        </w:rPr>
        <w:t>implementa estos metadatos de forma automatizada, permitiendo la búsqueda avanzada, la interoperabilidad entre sistemas y la generación de reportes analíticos sobre el ciclo de vida de la información.</w:t>
      </w:r>
    </w:p>
    <w:p w14:paraId="20D961B2" w14:textId="77777777" w:rsidR="00681CFF" w:rsidRDefault="00681CFF" w:rsidP="0076258B">
      <w:pPr>
        <w:jc w:val="both"/>
        <w:rPr>
          <w:rFonts w:ascii="Verdana" w:hAnsi="Verdana" w:cs="Arial"/>
          <w:sz w:val="22"/>
          <w:szCs w:val="22"/>
        </w:rPr>
      </w:pPr>
    </w:p>
    <w:p w14:paraId="2A8D63C0" w14:textId="4159E9E2" w:rsidR="003B2049" w:rsidRPr="00D21D29" w:rsidRDefault="00681CFF" w:rsidP="000D3CC6">
      <w:pPr>
        <w:pStyle w:val="Ttulo1"/>
        <w:spacing w:line="240" w:lineRule="auto"/>
        <w:jc w:val="left"/>
        <w:rPr>
          <w:rFonts w:ascii="Verdana" w:hAnsi="Verdana"/>
          <w:sz w:val="22"/>
          <w:szCs w:val="22"/>
        </w:rPr>
      </w:pPr>
      <w:bookmarkStart w:id="14" w:name="_Toc213403787"/>
      <w:r>
        <w:rPr>
          <w:rFonts w:ascii="Verdana" w:hAnsi="Verdana"/>
          <w:sz w:val="22"/>
          <w:szCs w:val="22"/>
        </w:rPr>
        <w:t>5.</w:t>
      </w:r>
      <w:r w:rsidR="00446BE1">
        <w:rPr>
          <w:rFonts w:ascii="Verdana" w:hAnsi="Verdana"/>
          <w:sz w:val="22"/>
          <w:szCs w:val="22"/>
        </w:rPr>
        <w:t>8</w:t>
      </w:r>
      <w:r>
        <w:rPr>
          <w:rFonts w:ascii="Verdana" w:hAnsi="Verdana"/>
          <w:sz w:val="22"/>
          <w:szCs w:val="22"/>
        </w:rPr>
        <w:t xml:space="preserve">. </w:t>
      </w:r>
      <w:r w:rsidR="003B2049" w:rsidRPr="00D21D29">
        <w:rPr>
          <w:rFonts w:ascii="Verdana" w:hAnsi="Verdana"/>
          <w:sz w:val="22"/>
          <w:szCs w:val="22"/>
        </w:rPr>
        <w:t>Articulación con Instrumentos Institucionales</w:t>
      </w:r>
      <w:bookmarkEnd w:id="14"/>
    </w:p>
    <w:p w14:paraId="0D38917F" w14:textId="77777777" w:rsidR="003B2049" w:rsidRPr="00E11F09" w:rsidRDefault="003B2049" w:rsidP="000D3CC6">
      <w:pPr>
        <w:rPr>
          <w:rFonts w:ascii="Verdana" w:hAnsi="Verdana"/>
        </w:rPr>
      </w:pPr>
    </w:p>
    <w:p w14:paraId="4E327952" w14:textId="44F9490B" w:rsidR="003B2049" w:rsidRDefault="003B2049" w:rsidP="000D3CC6">
      <w:pPr>
        <w:jc w:val="both"/>
        <w:rPr>
          <w:rFonts w:ascii="Verdana" w:hAnsi="Verdana" w:cs="Arial"/>
          <w:sz w:val="22"/>
          <w:szCs w:val="22"/>
        </w:rPr>
      </w:pPr>
      <w:r w:rsidRPr="00D21D29">
        <w:rPr>
          <w:rFonts w:ascii="Verdana" w:hAnsi="Verdana" w:cs="Arial"/>
          <w:sz w:val="22"/>
          <w:szCs w:val="22"/>
        </w:rPr>
        <w:t xml:space="preserve">La </w:t>
      </w:r>
      <w:r w:rsidRPr="00FF41BF">
        <w:rPr>
          <w:rFonts w:ascii="Verdana" w:hAnsi="Verdana" w:cs="Arial"/>
          <w:sz w:val="22"/>
          <w:szCs w:val="22"/>
        </w:rPr>
        <w:t xml:space="preserve">implementación del MoReq no se concibe como un elemento aislado, sino como un </w:t>
      </w:r>
      <w:r w:rsidRPr="00883A80">
        <w:rPr>
          <w:rFonts w:ascii="Verdana" w:hAnsi="Verdana" w:cs="Arial"/>
          <w:sz w:val="22"/>
          <w:szCs w:val="22"/>
        </w:rPr>
        <w:t>componente transversal</w:t>
      </w:r>
      <w:r w:rsidRPr="00D21D29">
        <w:rPr>
          <w:rFonts w:ascii="Verdana" w:hAnsi="Verdana" w:cs="Arial"/>
          <w:sz w:val="22"/>
          <w:szCs w:val="22"/>
        </w:rPr>
        <w:t xml:space="preserve"> que se articula con los principales instrumentos de gestión documental, conservación y planeación institucional. Esta articulación se concreta de la siguiente manera:</w:t>
      </w:r>
    </w:p>
    <w:p w14:paraId="4E118C8E" w14:textId="1E47E498" w:rsidR="00820370" w:rsidRDefault="00820370" w:rsidP="000D3CC6">
      <w:pPr>
        <w:jc w:val="both"/>
        <w:rPr>
          <w:rFonts w:ascii="Verdana" w:hAnsi="Verdana" w:cs="Arial"/>
          <w:sz w:val="22"/>
          <w:szCs w:val="22"/>
        </w:rPr>
      </w:pPr>
    </w:p>
    <w:p w14:paraId="702F5B66" w14:textId="332C0971" w:rsidR="00820370" w:rsidRDefault="00820370" w:rsidP="000D3CC6">
      <w:pPr>
        <w:jc w:val="both"/>
        <w:rPr>
          <w:rFonts w:ascii="Verdana" w:hAnsi="Verdana" w:cs="Arial"/>
          <w:sz w:val="22"/>
          <w:szCs w:val="22"/>
        </w:rPr>
      </w:pPr>
      <w:r w:rsidRPr="00820370">
        <w:rPr>
          <w:rFonts w:ascii="Verdana" w:hAnsi="Verdana" w:cs="Arial"/>
          <w:noProof/>
          <w:sz w:val="22"/>
          <w:szCs w:val="22"/>
        </w:rPr>
        <w:drawing>
          <wp:anchor distT="0" distB="0" distL="114300" distR="114300" simplePos="0" relativeHeight="251658240" behindDoc="0" locked="0" layoutInCell="1" allowOverlap="1" wp14:anchorId="7FC72206" wp14:editId="3FA0C76A">
            <wp:simplePos x="0" y="0"/>
            <wp:positionH relativeFrom="margin">
              <wp:posOffset>897148</wp:posOffset>
            </wp:positionH>
            <wp:positionV relativeFrom="paragraph">
              <wp:posOffset>9453</wp:posOffset>
            </wp:positionV>
            <wp:extent cx="4088765" cy="2773680"/>
            <wp:effectExtent l="0" t="0" r="6985" b="7620"/>
            <wp:wrapSquare wrapText="bothSides"/>
            <wp:docPr id="8298154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815441" name=""/>
                    <pic:cNvPicPr/>
                  </pic:nvPicPr>
                  <pic:blipFill>
                    <a:blip r:embed="rId14">
                      <a:extLst>
                        <a:ext uri="{28A0092B-C50C-407E-A947-70E740481C1C}">
                          <a14:useLocalDpi xmlns:a14="http://schemas.microsoft.com/office/drawing/2010/main" val="0"/>
                        </a:ext>
                      </a:extLst>
                    </a:blip>
                    <a:stretch>
                      <a:fillRect/>
                    </a:stretch>
                  </pic:blipFill>
                  <pic:spPr>
                    <a:xfrm>
                      <a:off x="0" y="0"/>
                      <a:ext cx="4088765" cy="2773680"/>
                    </a:xfrm>
                    <a:prstGeom prst="rect">
                      <a:avLst/>
                    </a:prstGeom>
                  </pic:spPr>
                </pic:pic>
              </a:graphicData>
            </a:graphic>
            <wp14:sizeRelH relativeFrom="page">
              <wp14:pctWidth>0</wp14:pctWidth>
            </wp14:sizeRelH>
            <wp14:sizeRelV relativeFrom="page">
              <wp14:pctHeight>0</wp14:pctHeight>
            </wp14:sizeRelV>
          </wp:anchor>
        </w:drawing>
      </w:r>
    </w:p>
    <w:p w14:paraId="0A370423" w14:textId="1974DC16" w:rsidR="00820370" w:rsidRDefault="00820370" w:rsidP="000D3CC6">
      <w:pPr>
        <w:jc w:val="both"/>
        <w:rPr>
          <w:rFonts w:ascii="Verdana" w:hAnsi="Verdana" w:cs="Arial"/>
          <w:sz w:val="22"/>
          <w:szCs w:val="22"/>
        </w:rPr>
      </w:pPr>
    </w:p>
    <w:p w14:paraId="2A718ECC" w14:textId="57B7E272" w:rsidR="00820370" w:rsidRDefault="00820370" w:rsidP="000D3CC6">
      <w:pPr>
        <w:jc w:val="both"/>
        <w:rPr>
          <w:rFonts w:ascii="Verdana" w:hAnsi="Verdana" w:cs="Arial"/>
          <w:sz w:val="22"/>
          <w:szCs w:val="22"/>
        </w:rPr>
      </w:pPr>
    </w:p>
    <w:p w14:paraId="3026731E" w14:textId="7DAB6E9C" w:rsidR="00820370" w:rsidRDefault="00820370" w:rsidP="000D3CC6">
      <w:pPr>
        <w:jc w:val="both"/>
        <w:rPr>
          <w:rFonts w:ascii="Verdana" w:hAnsi="Verdana" w:cs="Arial"/>
          <w:sz w:val="22"/>
          <w:szCs w:val="22"/>
        </w:rPr>
      </w:pPr>
    </w:p>
    <w:p w14:paraId="3BE8A6FD" w14:textId="5F3458C1" w:rsidR="00820370" w:rsidRDefault="00820370" w:rsidP="000D3CC6">
      <w:pPr>
        <w:jc w:val="both"/>
        <w:rPr>
          <w:rFonts w:ascii="Verdana" w:hAnsi="Verdana" w:cs="Arial"/>
          <w:sz w:val="22"/>
          <w:szCs w:val="22"/>
        </w:rPr>
      </w:pPr>
    </w:p>
    <w:p w14:paraId="1FCD8AAB" w14:textId="03025610" w:rsidR="00820370" w:rsidRDefault="00820370" w:rsidP="000D3CC6">
      <w:pPr>
        <w:jc w:val="both"/>
        <w:rPr>
          <w:rFonts w:ascii="Verdana" w:hAnsi="Verdana" w:cs="Arial"/>
          <w:sz w:val="22"/>
          <w:szCs w:val="22"/>
        </w:rPr>
      </w:pPr>
      <w:r>
        <w:rPr>
          <w:rFonts w:ascii="Verdana" w:hAnsi="Verdana" w:cs="Arial"/>
          <w:noProof/>
          <w:sz w:val="22"/>
          <w:szCs w:val="22"/>
        </w:rPr>
        <w:drawing>
          <wp:inline distT="0" distB="0" distL="0" distR="0" wp14:anchorId="1A46864F" wp14:editId="1F255B5C">
            <wp:extent cx="8890" cy="8890"/>
            <wp:effectExtent l="0" t="0" r="0" b="0"/>
            <wp:docPr id="134397546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p w14:paraId="20862FD7" w14:textId="3250FCC1" w:rsidR="00820370" w:rsidRDefault="00820370" w:rsidP="000D3CC6">
      <w:pPr>
        <w:jc w:val="both"/>
        <w:rPr>
          <w:rFonts w:ascii="Verdana" w:hAnsi="Verdana" w:cs="Arial"/>
          <w:sz w:val="22"/>
          <w:szCs w:val="22"/>
        </w:rPr>
      </w:pPr>
      <w:r>
        <w:rPr>
          <w:rFonts w:ascii="Verdana" w:hAnsi="Verdana" w:cs="Arial"/>
          <w:noProof/>
          <w:sz w:val="22"/>
          <w:szCs w:val="22"/>
        </w:rPr>
        <w:drawing>
          <wp:inline distT="0" distB="0" distL="0" distR="0" wp14:anchorId="2414EBE1" wp14:editId="585AE6B1">
            <wp:extent cx="8890" cy="8890"/>
            <wp:effectExtent l="0" t="0" r="0" b="0"/>
            <wp:docPr id="38081983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p w14:paraId="6A02E3B4" w14:textId="15E487D2" w:rsidR="00820370" w:rsidRDefault="00820370" w:rsidP="000D3CC6">
      <w:pPr>
        <w:jc w:val="both"/>
        <w:rPr>
          <w:rFonts w:ascii="Verdana" w:hAnsi="Verdana" w:cs="Arial"/>
          <w:sz w:val="22"/>
          <w:szCs w:val="22"/>
        </w:rPr>
      </w:pPr>
    </w:p>
    <w:p w14:paraId="0A95F62F" w14:textId="7303BC98" w:rsidR="00820370" w:rsidRDefault="00820370" w:rsidP="000D3CC6">
      <w:pPr>
        <w:jc w:val="both"/>
        <w:rPr>
          <w:rFonts w:ascii="Verdana" w:hAnsi="Verdana" w:cs="Arial"/>
          <w:sz w:val="22"/>
          <w:szCs w:val="22"/>
        </w:rPr>
      </w:pPr>
      <w:r>
        <w:rPr>
          <w:rFonts w:ascii="Verdana" w:hAnsi="Verdana" w:cs="Arial"/>
          <w:noProof/>
          <w:sz w:val="22"/>
          <w:szCs w:val="22"/>
        </w:rPr>
        <w:drawing>
          <wp:inline distT="0" distB="0" distL="0" distR="0" wp14:anchorId="2E08EFDA" wp14:editId="68F751A3">
            <wp:extent cx="8890" cy="8890"/>
            <wp:effectExtent l="0" t="0" r="0" b="0"/>
            <wp:docPr id="79172318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p w14:paraId="39DD74D8" w14:textId="146249D6" w:rsidR="00820370" w:rsidRDefault="00820370" w:rsidP="000D3CC6">
      <w:pPr>
        <w:jc w:val="both"/>
        <w:rPr>
          <w:rFonts w:ascii="Verdana" w:hAnsi="Verdana" w:cs="Arial"/>
          <w:sz w:val="22"/>
          <w:szCs w:val="22"/>
        </w:rPr>
      </w:pPr>
    </w:p>
    <w:p w14:paraId="184BAC3C" w14:textId="77777777" w:rsidR="00820370" w:rsidRDefault="00820370" w:rsidP="000D3CC6">
      <w:pPr>
        <w:jc w:val="both"/>
        <w:rPr>
          <w:rFonts w:ascii="Verdana" w:hAnsi="Verdana" w:cs="Arial"/>
          <w:sz w:val="22"/>
          <w:szCs w:val="22"/>
        </w:rPr>
      </w:pPr>
    </w:p>
    <w:p w14:paraId="275E53A6" w14:textId="7111482C" w:rsidR="00820370" w:rsidRDefault="00820370" w:rsidP="000D3CC6">
      <w:pPr>
        <w:jc w:val="both"/>
        <w:rPr>
          <w:rFonts w:ascii="Verdana" w:hAnsi="Verdana" w:cs="Arial"/>
          <w:sz w:val="22"/>
          <w:szCs w:val="22"/>
        </w:rPr>
      </w:pPr>
    </w:p>
    <w:p w14:paraId="4B34F113" w14:textId="28DDC1C5" w:rsidR="00820370" w:rsidRDefault="00820370" w:rsidP="000D3CC6">
      <w:pPr>
        <w:jc w:val="both"/>
        <w:rPr>
          <w:rFonts w:ascii="Verdana" w:hAnsi="Verdana" w:cs="Arial"/>
          <w:sz w:val="22"/>
          <w:szCs w:val="22"/>
        </w:rPr>
      </w:pPr>
    </w:p>
    <w:p w14:paraId="516CB39D" w14:textId="77777777" w:rsidR="00820370" w:rsidRDefault="00820370" w:rsidP="000D3CC6">
      <w:pPr>
        <w:jc w:val="both"/>
        <w:rPr>
          <w:rFonts w:ascii="Verdana" w:hAnsi="Verdana" w:cs="Arial"/>
          <w:sz w:val="22"/>
          <w:szCs w:val="22"/>
        </w:rPr>
      </w:pPr>
    </w:p>
    <w:p w14:paraId="22261075" w14:textId="41BA6E48" w:rsidR="00820370" w:rsidRDefault="00820370" w:rsidP="000D3CC6">
      <w:pPr>
        <w:jc w:val="both"/>
        <w:rPr>
          <w:rFonts w:ascii="Verdana" w:hAnsi="Verdana" w:cs="Arial"/>
          <w:sz w:val="22"/>
          <w:szCs w:val="22"/>
        </w:rPr>
      </w:pPr>
    </w:p>
    <w:p w14:paraId="436A1433" w14:textId="77777777" w:rsidR="00820370" w:rsidRDefault="00820370" w:rsidP="00D21D29">
      <w:pPr>
        <w:jc w:val="center"/>
        <w:rPr>
          <w:rFonts w:ascii="Verdana" w:hAnsi="Verdana" w:cs="Arial"/>
          <w:b/>
          <w:bCs/>
          <w:sz w:val="20"/>
          <w:szCs w:val="20"/>
        </w:rPr>
      </w:pPr>
    </w:p>
    <w:p w14:paraId="0F9C7558" w14:textId="77777777" w:rsidR="00820370" w:rsidRDefault="00820370" w:rsidP="00D21D29">
      <w:pPr>
        <w:jc w:val="center"/>
        <w:rPr>
          <w:rFonts w:ascii="Verdana" w:hAnsi="Verdana" w:cs="Arial"/>
          <w:b/>
          <w:bCs/>
          <w:sz w:val="20"/>
          <w:szCs w:val="20"/>
        </w:rPr>
      </w:pPr>
    </w:p>
    <w:p w14:paraId="201DD6C3" w14:textId="35F83F2D" w:rsidR="003B2049" w:rsidRDefault="003B2049" w:rsidP="00D21D29">
      <w:pPr>
        <w:jc w:val="center"/>
        <w:rPr>
          <w:rFonts w:ascii="Verdana" w:hAnsi="Verdana" w:cs="Arial"/>
          <w:b/>
          <w:bCs/>
          <w:sz w:val="20"/>
          <w:szCs w:val="20"/>
        </w:rPr>
      </w:pPr>
      <w:r w:rsidRPr="0076064C">
        <w:rPr>
          <w:rFonts w:ascii="Verdana" w:hAnsi="Verdana" w:cs="Arial"/>
          <w:b/>
          <w:bCs/>
          <w:sz w:val="20"/>
          <w:szCs w:val="20"/>
        </w:rPr>
        <w:t>Gráfica 1. Elaboración Propia. Articulación con Instrumentos Institucionales</w:t>
      </w:r>
    </w:p>
    <w:p w14:paraId="51B2C423" w14:textId="77777777" w:rsidR="006A4E63" w:rsidRDefault="006A4E63" w:rsidP="00D21D29">
      <w:pPr>
        <w:jc w:val="center"/>
        <w:rPr>
          <w:rFonts w:ascii="Verdana" w:hAnsi="Verdana" w:cs="Arial"/>
          <w:b/>
          <w:bCs/>
          <w:sz w:val="20"/>
          <w:szCs w:val="20"/>
        </w:rPr>
      </w:pPr>
    </w:p>
    <w:p w14:paraId="2FE6A140" w14:textId="77777777" w:rsidR="006A4E63" w:rsidRDefault="006A4E63" w:rsidP="00D21D29">
      <w:pPr>
        <w:jc w:val="center"/>
        <w:rPr>
          <w:rFonts w:ascii="Verdana" w:hAnsi="Verdana" w:cs="Arial"/>
          <w:b/>
          <w:bCs/>
          <w:sz w:val="20"/>
          <w:szCs w:val="20"/>
        </w:rPr>
      </w:pPr>
    </w:p>
    <w:p w14:paraId="28014F69" w14:textId="77777777" w:rsidR="006A4E63" w:rsidRDefault="006A4E63" w:rsidP="00D21D29">
      <w:pPr>
        <w:jc w:val="center"/>
        <w:rPr>
          <w:rFonts w:ascii="Verdana" w:hAnsi="Verdana" w:cs="Arial"/>
          <w:b/>
          <w:bCs/>
          <w:sz w:val="20"/>
          <w:szCs w:val="20"/>
        </w:rPr>
      </w:pPr>
    </w:p>
    <w:p w14:paraId="2F7BE30D" w14:textId="77777777" w:rsidR="006A4E63" w:rsidRDefault="006A4E63" w:rsidP="00D21D29">
      <w:pPr>
        <w:jc w:val="center"/>
        <w:rPr>
          <w:rFonts w:ascii="Verdana" w:hAnsi="Verdana" w:cs="Arial"/>
          <w:b/>
          <w:bCs/>
          <w:sz w:val="20"/>
          <w:szCs w:val="20"/>
        </w:rPr>
      </w:pPr>
    </w:p>
    <w:p w14:paraId="59518648" w14:textId="77777777" w:rsidR="006A4E63" w:rsidRDefault="006A4E63" w:rsidP="00D21D29">
      <w:pPr>
        <w:jc w:val="center"/>
        <w:rPr>
          <w:rFonts w:ascii="Verdana" w:hAnsi="Verdana" w:cs="Arial"/>
          <w:b/>
          <w:bCs/>
          <w:sz w:val="20"/>
          <w:szCs w:val="20"/>
        </w:rPr>
      </w:pPr>
    </w:p>
    <w:p w14:paraId="53C89926" w14:textId="77777777" w:rsidR="006A4E63" w:rsidRDefault="006A4E63" w:rsidP="00D21D29">
      <w:pPr>
        <w:jc w:val="center"/>
        <w:rPr>
          <w:rFonts w:ascii="Verdana" w:hAnsi="Verdana" w:cs="Arial"/>
          <w:b/>
          <w:bCs/>
          <w:sz w:val="20"/>
          <w:szCs w:val="20"/>
        </w:rPr>
      </w:pPr>
    </w:p>
    <w:p w14:paraId="31224D13" w14:textId="77777777" w:rsidR="006A4E63" w:rsidRDefault="006A4E63" w:rsidP="00D21D29">
      <w:pPr>
        <w:jc w:val="center"/>
        <w:rPr>
          <w:rFonts w:ascii="Verdana" w:hAnsi="Verdana" w:cs="Arial"/>
          <w:b/>
          <w:bCs/>
          <w:sz w:val="20"/>
          <w:szCs w:val="20"/>
        </w:rPr>
      </w:pPr>
    </w:p>
    <w:p w14:paraId="53B052C7" w14:textId="77777777" w:rsidR="006A4E63" w:rsidRDefault="006A4E63" w:rsidP="00D21D29">
      <w:pPr>
        <w:jc w:val="center"/>
        <w:rPr>
          <w:rFonts w:ascii="Verdana" w:hAnsi="Verdana" w:cs="Arial"/>
          <w:b/>
          <w:bCs/>
          <w:sz w:val="20"/>
          <w:szCs w:val="20"/>
        </w:rPr>
      </w:pPr>
    </w:p>
    <w:p w14:paraId="33C4CBE3" w14:textId="6D1FF0A3" w:rsidR="003B2049" w:rsidRPr="00830653" w:rsidRDefault="003B2049" w:rsidP="00B14E54">
      <w:pPr>
        <w:pStyle w:val="Ttulo2"/>
        <w:numPr>
          <w:ilvl w:val="0"/>
          <w:numId w:val="40"/>
        </w:numPr>
        <w:spacing w:before="0"/>
        <w:jc w:val="both"/>
        <w:rPr>
          <w:rFonts w:ascii="Verdana" w:hAnsi="Verdana" w:cs="Arial"/>
          <w:b/>
          <w:bCs/>
          <w:color w:val="auto"/>
          <w:sz w:val="22"/>
          <w:szCs w:val="22"/>
        </w:rPr>
      </w:pPr>
      <w:bookmarkStart w:id="15" w:name="_Toc213403788"/>
      <w:r w:rsidRPr="00830653">
        <w:rPr>
          <w:rFonts w:ascii="Verdana" w:hAnsi="Verdana" w:cs="Arial"/>
          <w:b/>
          <w:bCs/>
          <w:color w:val="auto"/>
          <w:sz w:val="22"/>
          <w:szCs w:val="22"/>
        </w:rPr>
        <w:lastRenderedPageBreak/>
        <w:t>Tablas de Retención Documental (TRD)</w:t>
      </w:r>
      <w:r w:rsidR="00D33E00" w:rsidRPr="00830653">
        <w:rPr>
          <w:rFonts w:ascii="Verdana" w:hAnsi="Verdana"/>
          <w:b/>
          <w:bCs/>
          <w:color w:val="auto"/>
          <w:sz w:val="22"/>
          <w:szCs w:val="22"/>
        </w:rPr>
        <w:t xml:space="preserve"> </w:t>
      </w:r>
      <w:r w:rsidR="00132B82">
        <w:rPr>
          <w:rFonts w:ascii="Verdana" w:hAnsi="Verdana"/>
          <w:b/>
          <w:bCs/>
          <w:color w:val="auto"/>
          <w:sz w:val="22"/>
          <w:szCs w:val="22"/>
        </w:rPr>
        <w:t>(</w:t>
      </w:r>
      <w:r w:rsidR="00D33E00" w:rsidRPr="00830653">
        <w:rPr>
          <w:rFonts w:ascii="Verdana" w:hAnsi="Verdana" w:cs="Arial"/>
          <w:b/>
          <w:bCs/>
          <w:color w:val="auto"/>
          <w:sz w:val="22"/>
          <w:szCs w:val="22"/>
        </w:rPr>
        <w:t>GDO-FM-008</w:t>
      </w:r>
      <w:r w:rsidR="00132B82">
        <w:rPr>
          <w:rFonts w:ascii="Verdana" w:hAnsi="Verdana" w:cs="Arial"/>
          <w:b/>
          <w:bCs/>
          <w:color w:val="auto"/>
          <w:sz w:val="22"/>
          <w:szCs w:val="22"/>
        </w:rPr>
        <w:t>)</w:t>
      </w:r>
      <w:r w:rsidRPr="00830653">
        <w:rPr>
          <w:rFonts w:ascii="Verdana" w:hAnsi="Verdana" w:cs="Arial"/>
          <w:b/>
          <w:bCs/>
          <w:color w:val="auto"/>
          <w:sz w:val="22"/>
          <w:szCs w:val="22"/>
        </w:rPr>
        <w:t xml:space="preserve"> y Tablas de Valoración Documental (TVD</w:t>
      </w:r>
      <w:bookmarkEnd w:id="15"/>
      <w:r w:rsidR="00D33E00" w:rsidRPr="00830653">
        <w:rPr>
          <w:rFonts w:ascii="Verdana" w:hAnsi="Verdana" w:cs="Arial"/>
          <w:b/>
          <w:bCs/>
          <w:color w:val="auto"/>
          <w:sz w:val="22"/>
          <w:szCs w:val="22"/>
        </w:rPr>
        <w:t>)(</w:t>
      </w:r>
      <w:r w:rsidR="00D33E00" w:rsidRPr="00830653">
        <w:rPr>
          <w:rFonts w:ascii="Verdana" w:hAnsi="Verdana"/>
          <w:b/>
          <w:bCs/>
          <w:color w:val="auto"/>
          <w:sz w:val="22"/>
          <w:szCs w:val="22"/>
        </w:rPr>
        <w:t>GDO</w:t>
      </w:r>
      <w:r w:rsidR="00D33E00" w:rsidRPr="00830653">
        <w:rPr>
          <w:rFonts w:ascii="Verdana" w:hAnsi="Verdana" w:cs="Arial"/>
          <w:b/>
          <w:bCs/>
          <w:color w:val="auto"/>
          <w:sz w:val="22"/>
          <w:szCs w:val="22"/>
        </w:rPr>
        <w:t>-FM-028)</w:t>
      </w:r>
    </w:p>
    <w:p w14:paraId="5BC605F7" w14:textId="0314C3E6" w:rsidR="00896432" w:rsidRDefault="006A4E63" w:rsidP="00B14E54">
      <w:pPr>
        <w:jc w:val="both"/>
        <w:rPr>
          <w:rFonts w:ascii="Verdana" w:hAnsi="Verdana" w:cs="Arial"/>
          <w:sz w:val="22"/>
          <w:szCs w:val="22"/>
        </w:rPr>
      </w:pPr>
      <w:r w:rsidRPr="006A4E63">
        <w:rPr>
          <w:rFonts w:ascii="Verdana" w:hAnsi="Verdana" w:cs="Arial"/>
          <w:sz w:val="22"/>
          <w:szCs w:val="22"/>
        </w:rPr>
        <w:t>Las Tablas de Retención Documental (TRD)</w:t>
      </w:r>
      <w:r>
        <w:rPr>
          <w:rFonts w:ascii="Verdana" w:hAnsi="Verdana" w:cs="Arial"/>
          <w:sz w:val="22"/>
          <w:szCs w:val="22"/>
        </w:rPr>
        <w:t xml:space="preserve"> y las Tablas de Valoración Documental</w:t>
      </w:r>
      <w:r w:rsidRPr="006A4E63">
        <w:rPr>
          <w:rFonts w:ascii="Verdana" w:hAnsi="Verdana" w:cs="Arial"/>
          <w:sz w:val="22"/>
          <w:szCs w:val="22"/>
        </w:rPr>
        <w:t xml:space="preserve"> </w:t>
      </w:r>
      <w:r>
        <w:rPr>
          <w:rFonts w:ascii="Verdana" w:hAnsi="Verdana" w:cs="Arial"/>
          <w:sz w:val="22"/>
          <w:szCs w:val="22"/>
        </w:rPr>
        <w:t>(TVD)</w:t>
      </w:r>
      <w:r w:rsidRPr="006A4E63">
        <w:rPr>
          <w:rFonts w:ascii="Verdana" w:hAnsi="Verdana" w:cs="Arial"/>
          <w:sz w:val="22"/>
          <w:szCs w:val="22"/>
        </w:rPr>
        <w:t>constituyen el instrumento archivístico esencial para la automatización de la Política de Gestión Documental (Código GIN-PO-001). Su implementación garantiza la adecuada clasificación, conservación y disposición final de los documentos electrónicos, articulándose con el estándar MoReq para asegurar la eficacia en los procesos de captura, clasificación automática, alertas de retención y disposición final dentro del Sistema de Gestión de Documentos Electrónicos de Archivo (SGDEA).</w:t>
      </w:r>
    </w:p>
    <w:p w14:paraId="1CEAA679" w14:textId="77777777" w:rsidR="00896432" w:rsidRDefault="00896432" w:rsidP="0024359B">
      <w:pPr>
        <w:jc w:val="both"/>
        <w:rPr>
          <w:rFonts w:ascii="Verdana" w:hAnsi="Verdana" w:cs="Arial"/>
          <w:sz w:val="22"/>
          <w:szCs w:val="22"/>
        </w:rPr>
      </w:pPr>
    </w:p>
    <w:p w14:paraId="0F9BB03E" w14:textId="1426F9D7" w:rsidR="003B2049" w:rsidRDefault="003B2049" w:rsidP="000760E9">
      <w:pPr>
        <w:pStyle w:val="Ttulo2"/>
        <w:numPr>
          <w:ilvl w:val="0"/>
          <w:numId w:val="33"/>
        </w:numPr>
        <w:spacing w:before="0"/>
        <w:jc w:val="both"/>
        <w:rPr>
          <w:rFonts w:ascii="Verdana" w:hAnsi="Verdana" w:cs="Arial"/>
          <w:b/>
          <w:bCs/>
          <w:color w:val="auto"/>
          <w:sz w:val="22"/>
          <w:szCs w:val="22"/>
        </w:rPr>
      </w:pPr>
      <w:bookmarkStart w:id="16" w:name="_Toc213403789"/>
      <w:r w:rsidRPr="00830653">
        <w:rPr>
          <w:rFonts w:ascii="Verdana" w:hAnsi="Verdana" w:cs="Arial"/>
          <w:b/>
          <w:bCs/>
          <w:color w:val="auto"/>
          <w:sz w:val="22"/>
          <w:szCs w:val="22"/>
        </w:rPr>
        <w:t xml:space="preserve">Plan </w:t>
      </w:r>
      <w:r w:rsidRPr="00132B82">
        <w:rPr>
          <w:rFonts w:ascii="Verdana" w:hAnsi="Verdana" w:cs="Arial"/>
          <w:b/>
          <w:bCs/>
          <w:color w:val="auto"/>
          <w:sz w:val="22"/>
          <w:szCs w:val="22"/>
        </w:rPr>
        <w:t xml:space="preserve">Institucional de Archivos </w:t>
      </w:r>
      <w:bookmarkEnd w:id="16"/>
      <w:r w:rsidR="00E75BAE" w:rsidRPr="00E75BAE">
        <w:rPr>
          <w:rFonts w:ascii="Verdana" w:hAnsi="Verdana" w:cs="Arial"/>
          <w:b/>
          <w:bCs/>
          <w:color w:val="auto"/>
          <w:sz w:val="22"/>
          <w:szCs w:val="22"/>
        </w:rPr>
        <w:t>GDO-FM-033</w:t>
      </w:r>
    </w:p>
    <w:p w14:paraId="75956553" w14:textId="433DC531" w:rsidR="00D15F12" w:rsidRDefault="006F2065" w:rsidP="00EC7DF5">
      <w:pPr>
        <w:jc w:val="both"/>
        <w:rPr>
          <w:rFonts w:ascii="Verdana" w:hAnsi="Verdana" w:cs="Arial"/>
          <w:sz w:val="22"/>
          <w:szCs w:val="22"/>
        </w:rPr>
      </w:pPr>
      <w:r w:rsidRPr="006F2065">
        <w:rPr>
          <w:rFonts w:ascii="Verdana" w:hAnsi="Verdana" w:cs="Arial"/>
          <w:sz w:val="22"/>
          <w:szCs w:val="22"/>
        </w:rPr>
        <w:t xml:space="preserve">El PINAR </w:t>
      </w:r>
      <w:r w:rsidR="00D15F12" w:rsidRPr="00FC6A62">
        <w:rPr>
          <w:rFonts w:ascii="Verdana" w:hAnsi="Verdana" w:cs="Arial"/>
          <w:sz w:val="22"/>
          <w:szCs w:val="22"/>
        </w:rPr>
        <w:t>se instaura como el instrumento de planeación estratégica de la función archivística en la Entidad</w:t>
      </w:r>
      <w:r w:rsidR="00D15F12" w:rsidRPr="00F50200">
        <w:rPr>
          <w:rFonts w:ascii="Verdana" w:hAnsi="Verdana" w:cs="Arial"/>
          <w:sz w:val="22"/>
          <w:szCs w:val="22"/>
        </w:rPr>
        <w:t xml:space="preserve"> </w:t>
      </w:r>
      <w:r w:rsidR="00C25CE5" w:rsidRPr="00F50200">
        <w:rPr>
          <w:rFonts w:ascii="Verdana" w:hAnsi="Verdana" w:cs="Arial"/>
          <w:sz w:val="22"/>
          <w:szCs w:val="22"/>
        </w:rPr>
        <w:t xml:space="preserve">establece la ruta </w:t>
      </w:r>
      <w:r w:rsidR="00C25CE5">
        <w:rPr>
          <w:rFonts w:ascii="Verdana" w:hAnsi="Verdana" w:cs="Arial"/>
          <w:sz w:val="22"/>
          <w:szCs w:val="22"/>
        </w:rPr>
        <w:t>a través de</w:t>
      </w:r>
      <w:r w:rsidR="0024359B">
        <w:rPr>
          <w:rFonts w:ascii="Verdana" w:hAnsi="Verdana" w:cs="Arial"/>
          <w:sz w:val="22"/>
          <w:szCs w:val="22"/>
        </w:rPr>
        <w:t xml:space="preserve"> la ejecución de los proyectos y el desarrollo de las </w:t>
      </w:r>
      <w:r w:rsidR="00C25CE5">
        <w:rPr>
          <w:rFonts w:ascii="Verdana" w:hAnsi="Verdana" w:cs="Arial"/>
          <w:sz w:val="22"/>
          <w:szCs w:val="22"/>
        </w:rPr>
        <w:t xml:space="preserve">actividades allí plasmadas </w:t>
      </w:r>
      <w:r w:rsidRPr="006F2065">
        <w:rPr>
          <w:rFonts w:ascii="Verdana" w:hAnsi="Verdana" w:cs="Arial"/>
          <w:sz w:val="22"/>
          <w:szCs w:val="22"/>
        </w:rPr>
        <w:t>y se integra con el MoReq como componente tecnológico y normativo. Esto garantiza la implementación efectiva del Sistema de Gestión de Documento Electrónico de Archivo (SGDEA</w:t>
      </w:r>
      <w:r w:rsidR="00D15F12" w:rsidRPr="006F2065">
        <w:rPr>
          <w:rFonts w:ascii="Verdana" w:hAnsi="Verdana" w:cs="Arial"/>
          <w:sz w:val="22"/>
          <w:szCs w:val="22"/>
        </w:rPr>
        <w:t>)</w:t>
      </w:r>
      <w:r w:rsidR="00D15F12" w:rsidRPr="00FC6A62">
        <w:rPr>
          <w:rFonts w:ascii="Verdana" w:hAnsi="Verdana" w:cs="Arial"/>
          <w:sz w:val="22"/>
          <w:szCs w:val="22"/>
        </w:rPr>
        <w:t xml:space="preserve"> y la aplicación de estrategias de preservación digital a largo plazo, conforme a los estándares de </w:t>
      </w:r>
      <w:r w:rsidR="00D15F12" w:rsidRPr="00EC7DF5">
        <w:rPr>
          <w:rFonts w:ascii="Verdana" w:hAnsi="Verdana" w:cs="Arial"/>
          <w:sz w:val="22"/>
          <w:szCs w:val="22"/>
        </w:rPr>
        <w:t>interoperabilidad y seguridad vigentes</w:t>
      </w:r>
      <w:r w:rsidR="00B14E54" w:rsidRPr="00EC7DF5">
        <w:rPr>
          <w:rFonts w:ascii="Verdana" w:hAnsi="Verdana" w:cs="Arial"/>
          <w:sz w:val="22"/>
          <w:szCs w:val="22"/>
        </w:rPr>
        <w:t>.</w:t>
      </w:r>
    </w:p>
    <w:p w14:paraId="61A559E6" w14:textId="77777777" w:rsidR="00EC7DF5" w:rsidRDefault="00EC7DF5" w:rsidP="00EC7DF5">
      <w:pPr>
        <w:jc w:val="both"/>
        <w:rPr>
          <w:rFonts w:ascii="Verdana" w:hAnsi="Verdana" w:cs="Arial"/>
          <w:sz w:val="22"/>
          <w:szCs w:val="22"/>
        </w:rPr>
      </w:pPr>
    </w:p>
    <w:p w14:paraId="22FCA88C" w14:textId="39449035" w:rsidR="003B2049" w:rsidRPr="004518A2" w:rsidRDefault="00EC7DF5" w:rsidP="0016229E">
      <w:pPr>
        <w:pStyle w:val="Ttulo2"/>
        <w:numPr>
          <w:ilvl w:val="0"/>
          <w:numId w:val="33"/>
        </w:numPr>
        <w:tabs>
          <w:tab w:val="left" w:pos="567"/>
        </w:tabs>
        <w:spacing w:before="0"/>
        <w:ind w:left="0" w:firstLine="0"/>
        <w:jc w:val="both"/>
        <w:rPr>
          <w:rFonts w:ascii="Verdana" w:hAnsi="Verdana" w:cs="Arial"/>
          <w:b/>
          <w:bCs/>
          <w:color w:val="000000" w:themeColor="text1"/>
          <w:sz w:val="22"/>
          <w:szCs w:val="22"/>
        </w:rPr>
      </w:pPr>
      <w:r w:rsidRPr="0016229E">
        <w:rPr>
          <w:rFonts w:ascii="Verdana" w:hAnsi="Verdana" w:cs="Arial"/>
          <w:b/>
          <w:bCs/>
          <w:color w:val="auto"/>
          <w:sz w:val="22"/>
          <w:szCs w:val="22"/>
        </w:rPr>
        <w:t>Programa</w:t>
      </w:r>
      <w:r>
        <w:rPr>
          <w:rFonts w:ascii="Verdana" w:hAnsi="Verdana" w:cs="Arial"/>
          <w:sz w:val="22"/>
          <w:szCs w:val="22"/>
        </w:rPr>
        <w:t xml:space="preserve"> </w:t>
      </w:r>
      <w:bookmarkStart w:id="17" w:name="_Toc213403790"/>
      <w:r w:rsidR="003B2049" w:rsidRPr="00EC7DF5">
        <w:rPr>
          <w:rFonts w:ascii="Verdana" w:hAnsi="Verdana" w:cs="Arial"/>
          <w:b/>
          <w:bCs/>
          <w:color w:val="auto"/>
          <w:sz w:val="22"/>
          <w:szCs w:val="22"/>
        </w:rPr>
        <w:t>Sistema Integrado de Conservación (SIC)</w:t>
      </w:r>
      <w:bookmarkEnd w:id="17"/>
      <w:r w:rsidR="00637D24" w:rsidRPr="00EC7DF5">
        <w:rPr>
          <w:rFonts w:ascii="Verdana" w:hAnsi="Verdana" w:cs="Arial"/>
          <w:b/>
          <w:bCs/>
          <w:color w:val="auto"/>
          <w:sz w:val="22"/>
          <w:szCs w:val="22"/>
        </w:rPr>
        <w:t xml:space="preserve"> </w:t>
      </w:r>
      <w:r w:rsidR="000760E9" w:rsidRPr="004518A2">
        <w:rPr>
          <w:rFonts w:ascii="Verdana" w:hAnsi="Verdana" w:cs="Arial"/>
          <w:b/>
          <w:bCs/>
          <w:color w:val="000000" w:themeColor="text1"/>
          <w:sz w:val="22"/>
          <w:szCs w:val="22"/>
          <w:lang w:val="es-MX"/>
        </w:rPr>
        <w:t>GDO-PG-00</w:t>
      </w:r>
      <w:r w:rsidR="004518A2" w:rsidRPr="004518A2">
        <w:rPr>
          <w:rFonts w:ascii="Verdana" w:hAnsi="Verdana" w:cs="Arial"/>
          <w:b/>
          <w:bCs/>
          <w:color w:val="000000" w:themeColor="text1"/>
          <w:sz w:val="22"/>
          <w:szCs w:val="22"/>
          <w:lang w:val="es-MX"/>
        </w:rPr>
        <w:t>2</w:t>
      </w:r>
    </w:p>
    <w:p w14:paraId="7C613D18" w14:textId="77777777" w:rsidR="00132B82" w:rsidRPr="004518A2" w:rsidRDefault="00132B82" w:rsidP="000760E9">
      <w:pPr>
        <w:jc w:val="both"/>
        <w:rPr>
          <w:rFonts w:ascii="Verdana" w:hAnsi="Verdana" w:cs="Arial"/>
          <w:color w:val="000000" w:themeColor="text1"/>
          <w:sz w:val="22"/>
          <w:szCs w:val="22"/>
        </w:rPr>
      </w:pPr>
      <w:r w:rsidRPr="004518A2">
        <w:rPr>
          <w:rFonts w:ascii="Verdana" w:hAnsi="Verdana" w:cs="Arial"/>
          <w:color w:val="000000" w:themeColor="text1"/>
          <w:sz w:val="22"/>
          <w:szCs w:val="22"/>
        </w:rPr>
        <w:t>El Sistema Integrado de Conservación (SIC) establece los lineamientos para la preservación física y digital de los documentos institucionales. Este se articula con el MoReq para garantizar que las medidas de seguridad, migración tecnológica y preservación a largo plazo cumplan con dichos estándares, fortaleciendo así la preservación integral de la memoria institucional.</w:t>
      </w:r>
    </w:p>
    <w:p w14:paraId="0DB1E231" w14:textId="77777777" w:rsidR="00744041" w:rsidRPr="004518A2" w:rsidRDefault="00744041" w:rsidP="00744041">
      <w:pPr>
        <w:jc w:val="both"/>
        <w:rPr>
          <w:rFonts w:ascii="Verdana" w:hAnsi="Verdana" w:cs="Arial"/>
          <w:color w:val="000000" w:themeColor="text1"/>
          <w:sz w:val="22"/>
          <w:szCs w:val="22"/>
        </w:rPr>
      </w:pPr>
    </w:p>
    <w:p w14:paraId="52BF22CE" w14:textId="0B94E886" w:rsidR="003B2049" w:rsidRPr="004518A2" w:rsidRDefault="008420F1" w:rsidP="0016229E">
      <w:pPr>
        <w:pStyle w:val="Ttulo2"/>
        <w:numPr>
          <w:ilvl w:val="0"/>
          <w:numId w:val="33"/>
        </w:numPr>
        <w:spacing w:before="0"/>
        <w:ind w:left="0" w:hanging="567"/>
        <w:jc w:val="center"/>
        <w:rPr>
          <w:rFonts w:ascii="Times New Roman" w:hAnsi="Times New Roman" w:cs="Times New Roman"/>
          <w:color w:val="000000" w:themeColor="text1"/>
          <w:sz w:val="24"/>
          <w:szCs w:val="24"/>
        </w:rPr>
      </w:pPr>
      <w:bookmarkStart w:id="18" w:name="_Toc213403791"/>
      <w:r w:rsidRPr="004518A2">
        <w:rPr>
          <w:rFonts w:ascii="Verdana" w:hAnsi="Verdana" w:cs="Arial"/>
          <w:b/>
          <w:bCs/>
          <w:color w:val="000000" w:themeColor="text1"/>
          <w:sz w:val="22"/>
          <w:szCs w:val="22"/>
        </w:rPr>
        <w:t xml:space="preserve">Programa </w:t>
      </w:r>
      <w:r w:rsidR="003B2049" w:rsidRPr="004518A2">
        <w:rPr>
          <w:rFonts w:ascii="Verdana" w:hAnsi="Verdana" w:cs="Arial"/>
          <w:b/>
          <w:bCs/>
          <w:color w:val="000000" w:themeColor="text1"/>
          <w:sz w:val="22"/>
          <w:szCs w:val="22"/>
        </w:rPr>
        <w:t>Sistema de Información Documental (SID</w:t>
      </w:r>
      <w:bookmarkEnd w:id="18"/>
      <w:r w:rsidR="00F857E9" w:rsidRPr="004518A2">
        <w:rPr>
          <w:rFonts w:ascii="Verdana" w:hAnsi="Verdana" w:cs="Arial"/>
          <w:color w:val="000000" w:themeColor="text1"/>
          <w:sz w:val="22"/>
          <w:szCs w:val="22"/>
        </w:rPr>
        <w:t>)</w:t>
      </w:r>
      <w:r w:rsidR="00FF1B8C" w:rsidRPr="004518A2">
        <w:rPr>
          <w:rFonts w:ascii="Verdana" w:hAnsi="Verdana" w:cs="Arial"/>
          <w:color w:val="000000" w:themeColor="text1"/>
          <w:sz w:val="22"/>
          <w:szCs w:val="22"/>
        </w:rPr>
        <w:t xml:space="preserve"> </w:t>
      </w:r>
      <w:r w:rsidR="00FF1B8C" w:rsidRPr="004518A2">
        <w:rPr>
          <w:rFonts w:ascii="Verdana" w:hAnsi="Verdana" w:cs="Arial"/>
          <w:b/>
          <w:bCs/>
          <w:color w:val="000000" w:themeColor="text1"/>
          <w:sz w:val="22"/>
          <w:szCs w:val="22"/>
          <w:lang w:val="es-MX"/>
        </w:rPr>
        <w:t>GDO-PG-00</w:t>
      </w:r>
      <w:r w:rsidR="004518A2" w:rsidRPr="004518A2">
        <w:rPr>
          <w:rFonts w:ascii="Verdana" w:hAnsi="Verdana" w:cs="Arial"/>
          <w:b/>
          <w:bCs/>
          <w:color w:val="000000" w:themeColor="text1"/>
          <w:sz w:val="22"/>
          <w:szCs w:val="22"/>
          <w:lang w:val="es-MX"/>
        </w:rPr>
        <w:t>3</w:t>
      </w:r>
    </w:p>
    <w:p w14:paraId="0F80AC2A" w14:textId="45A52CA9" w:rsidR="00744041" w:rsidRPr="00744041" w:rsidRDefault="00744041" w:rsidP="00744041">
      <w:pPr>
        <w:tabs>
          <w:tab w:val="left" w:pos="142"/>
        </w:tabs>
        <w:jc w:val="both"/>
        <w:rPr>
          <w:rFonts w:ascii="Verdana" w:hAnsi="Verdana" w:cs="Arial"/>
          <w:sz w:val="22"/>
          <w:szCs w:val="22"/>
        </w:rPr>
      </w:pPr>
      <w:r w:rsidRPr="00744041">
        <w:rPr>
          <w:rFonts w:ascii="Verdana" w:hAnsi="Verdana" w:cs="Arial"/>
          <w:sz w:val="22"/>
          <w:szCs w:val="22"/>
        </w:rPr>
        <w:t>El SID establece la estructura operativa y funcional de la gestión documental, integrando al MoReq como el marco de requisitos técnicos y funcionales. Esta vinculación asegura que la operación del SGDEA GeDeSS se realiza bajo estándares normalizados de captura, metadatos, trazabilidad, interoperabilidad y preservación digital.</w:t>
      </w:r>
    </w:p>
    <w:p w14:paraId="48D42B8A" w14:textId="77777777" w:rsidR="0090239A" w:rsidRDefault="0090239A" w:rsidP="000D3CC6">
      <w:pPr>
        <w:jc w:val="both"/>
        <w:rPr>
          <w:rFonts w:ascii="Verdana" w:hAnsi="Verdana" w:cs="Arial"/>
          <w:sz w:val="22"/>
          <w:szCs w:val="22"/>
        </w:rPr>
      </w:pPr>
    </w:p>
    <w:p w14:paraId="4F1F0EA8" w14:textId="77777777" w:rsidR="00CC208E" w:rsidRDefault="00CC208E" w:rsidP="000D3CC6">
      <w:pPr>
        <w:jc w:val="both"/>
        <w:rPr>
          <w:rFonts w:ascii="Verdana" w:hAnsi="Verdana" w:cs="Arial"/>
          <w:sz w:val="22"/>
          <w:szCs w:val="22"/>
        </w:rPr>
      </w:pPr>
    </w:p>
    <w:p w14:paraId="5FE2D908" w14:textId="77777777" w:rsidR="00CC208E" w:rsidRDefault="00CC208E" w:rsidP="000D3CC6">
      <w:pPr>
        <w:jc w:val="both"/>
        <w:rPr>
          <w:rFonts w:ascii="Verdana" w:hAnsi="Verdana" w:cs="Arial"/>
          <w:sz w:val="22"/>
          <w:szCs w:val="22"/>
        </w:rPr>
      </w:pPr>
    </w:p>
    <w:p w14:paraId="18803258" w14:textId="77777777" w:rsidR="00CC208E" w:rsidRDefault="00CC208E" w:rsidP="000D3CC6">
      <w:pPr>
        <w:jc w:val="both"/>
        <w:rPr>
          <w:rFonts w:ascii="Verdana" w:hAnsi="Verdana" w:cs="Arial"/>
          <w:sz w:val="22"/>
          <w:szCs w:val="22"/>
        </w:rPr>
      </w:pPr>
    </w:p>
    <w:p w14:paraId="48C40A6D" w14:textId="77777777" w:rsidR="00CC208E" w:rsidRDefault="00CC208E" w:rsidP="000D3CC6">
      <w:pPr>
        <w:jc w:val="both"/>
        <w:rPr>
          <w:rFonts w:ascii="Verdana" w:hAnsi="Verdana" w:cs="Arial"/>
          <w:sz w:val="22"/>
          <w:szCs w:val="22"/>
        </w:rPr>
      </w:pPr>
    </w:p>
    <w:p w14:paraId="041995FF" w14:textId="77777777" w:rsidR="00CC208E" w:rsidRDefault="00CC208E" w:rsidP="000D3CC6">
      <w:pPr>
        <w:jc w:val="both"/>
        <w:rPr>
          <w:rFonts w:ascii="Verdana" w:hAnsi="Verdana" w:cs="Arial"/>
          <w:sz w:val="22"/>
          <w:szCs w:val="22"/>
        </w:rPr>
      </w:pPr>
    </w:p>
    <w:p w14:paraId="74EBDD15" w14:textId="77777777" w:rsidR="00CC208E" w:rsidRDefault="00CC208E" w:rsidP="000D3CC6">
      <w:pPr>
        <w:jc w:val="both"/>
        <w:rPr>
          <w:rFonts w:ascii="Verdana" w:hAnsi="Verdana" w:cs="Arial"/>
          <w:sz w:val="22"/>
          <w:szCs w:val="22"/>
        </w:rPr>
      </w:pPr>
    </w:p>
    <w:p w14:paraId="1801C55F" w14:textId="77777777" w:rsidR="00CC208E" w:rsidRPr="00830653" w:rsidRDefault="00CC208E" w:rsidP="000D3CC6">
      <w:pPr>
        <w:jc w:val="both"/>
        <w:rPr>
          <w:rFonts w:ascii="Verdana" w:hAnsi="Verdana" w:cs="Arial"/>
          <w:sz w:val="22"/>
          <w:szCs w:val="22"/>
        </w:rPr>
      </w:pPr>
    </w:p>
    <w:p w14:paraId="69AC86B5" w14:textId="4FC194E5" w:rsidR="003B2049" w:rsidRPr="00830653" w:rsidRDefault="003B2049" w:rsidP="00A27AA5">
      <w:pPr>
        <w:pStyle w:val="Ttulo2"/>
        <w:numPr>
          <w:ilvl w:val="0"/>
          <w:numId w:val="33"/>
        </w:numPr>
        <w:spacing w:before="0"/>
        <w:jc w:val="both"/>
        <w:rPr>
          <w:rFonts w:ascii="Verdana" w:hAnsi="Verdana" w:cs="Arial"/>
          <w:b/>
          <w:bCs/>
          <w:color w:val="auto"/>
          <w:sz w:val="22"/>
          <w:szCs w:val="22"/>
        </w:rPr>
      </w:pPr>
      <w:bookmarkStart w:id="19" w:name="_Toc213403792"/>
      <w:r w:rsidRPr="00830653">
        <w:rPr>
          <w:rFonts w:ascii="Verdana" w:hAnsi="Verdana" w:cs="Arial"/>
          <w:b/>
          <w:bCs/>
          <w:color w:val="auto"/>
          <w:sz w:val="22"/>
          <w:szCs w:val="22"/>
        </w:rPr>
        <w:lastRenderedPageBreak/>
        <w:t>Políticas de Gobierno Digital y Modelo Integrado de Planeación y Gestión (MIPG)</w:t>
      </w:r>
      <w:bookmarkEnd w:id="19"/>
    </w:p>
    <w:p w14:paraId="4F461FBA" w14:textId="77777777" w:rsidR="00E97879" w:rsidRDefault="00E97879" w:rsidP="00EB4DF9">
      <w:pPr>
        <w:jc w:val="both"/>
        <w:rPr>
          <w:rFonts w:ascii="Verdana" w:hAnsi="Verdana" w:cs="Arial"/>
          <w:color w:val="000000" w:themeColor="text1"/>
          <w:sz w:val="22"/>
          <w:szCs w:val="22"/>
        </w:rPr>
      </w:pPr>
    </w:p>
    <w:p w14:paraId="1AB8BA2E" w14:textId="7F648B6F" w:rsidR="003B2049" w:rsidRPr="006D34E2" w:rsidRDefault="003B2049" w:rsidP="0023320A">
      <w:pPr>
        <w:jc w:val="both"/>
        <w:rPr>
          <w:rFonts w:ascii="Verdana" w:hAnsi="Verdana" w:cs="Arial"/>
          <w:color w:val="000000" w:themeColor="text1"/>
          <w:sz w:val="22"/>
          <w:szCs w:val="22"/>
        </w:rPr>
      </w:pPr>
      <w:r w:rsidRPr="006D34E2">
        <w:rPr>
          <w:rFonts w:ascii="Verdana" w:hAnsi="Verdana" w:cs="Arial"/>
          <w:color w:val="000000" w:themeColor="text1"/>
          <w:sz w:val="22"/>
          <w:szCs w:val="22"/>
        </w:rPr>
        <w:t>El MoReq responde a las políticas de Gobierno Digital y al MIPG, asegurando que la gestión documental electrónica no solo cumpla con requisitos archivísticos, sino que se convierta en un habilitador de eficiencia administrativa, transparencia, rendición de cuentas e innovación tecnológica. De esta manera, la articulación con estos marcos asegura que la información esté disponible, sea accesible y confiable, tanto para los servidores públicos como para la ciudadanía.</w:t>
      </w:r>
    </w:p>
    <w:p w14:paraId="4A19AB1E" w14:textId="77777777" w:rsidR="00DC0D40" w:rsidRPr="006D34E2" w:rsidRDefault="00DC0D40" w:rsidP="001E1A72">
      <w:pPr>
        <w:jc w:val="both"/>
        <w:rPr>
          <w:rFonts w:ascii="Verdana" w:hAnsi="Verdana" w:cs="Arial"/>
          <w:color w:val="000000" w:themeColor="text1"/>
          <w:sz w:val="22"/>
          <w:szCs w:val="22"/>
        </w:rPr>
      </w:pPr>
    </w:p>
    <w:p w14:paraId="334846A9" w14:textId="17D21B9E" w:rsidR="00A70CE6" w:rsidRDefault="006D34E2" w:rsidP="00B250A8">
      <w:pPr>
        <w:jc w:val="both"/>
        <w:rPr>
          <w:rFonts w:ascii="Verdana" w:hAnsi="Verdana"/>
          <w:sz w:val="22"/>
          <w:szCs w:val="22"/>
        </w:rPr>
      </w:pPr>
      <w:r w:rsidRPr="006D34E2">
        <w:rPr>
          <w:rFonts w:ascii="Verdana" w:hAnsi="Verdana"/>
          <w:sz w:val="22"/>
          <w:szCs w:val="22"/>
        </w:rPr>
        <w:t xml:space="preserve">Reconociendo que proteger sus activos de información es vital para su misión institucional, la entidad se </w:t>
      </w:r>
      <w:r w:rsidR="00F47909">
        <w:rPr>
          <w:rFonts w:ascii="Verdana" w:hAnsi="Verdana"/>
          <w:sz w:val="22"/>
          <w:szCs w:val="22"/>
        </w:rPr>
        <w:t xml:space="preserve">encuentra </w:t>
      </w:r>
      <w:r w:rsidR="00F47909" w:rsidRPr="006D34E2">
        <w:rPr>
          <w:rFonts w:ascii="Verdana" w:hAnsi="Verdana"/>
          <w:sz w:val="22"/>
          <w:szCs w:val="22"/>
        </w:rPr>
        <w:t>comprome</w:t>
      </w:r>
      <w:r w:rsidR="00F47909">
        <w:rPr>
          <w:rFonts w:ascii="Verdana" w:hAnsi="Verdana"/>
          <w:sz w:val="22"/>
          <w:szCs w:val="22"/>
        </w:rPr>
        <w:t>tida</w:t>
      </w:r>
      <w:r w:rsidRPr="006D34E2">
        <w:rPr>
          <w:rFonts w:ascii="Verdana" w:hAnsi="Verdana"/>
          <w:sz w:val="22"/>
          <w:szCs w:val="22"/>
        </w:rPr>
        <w:t xml:space="preserve"> a</w:t>
      </w:r>
      <w:r w:rsidR="00F47909">
        <w:rPr>
          <w:rFonts w:ascii="Verdana" w:hAnsi="Verdana"/>
          <w:sz w:val="22"/>
          <w:szCs w:val="22"/>
        </w:rPr>
        <w:t>l</w:t>
      </w:r>
      <w:r w:rsidRPr="006D34E2">
        <w:rPr>
          <w:rFonts w:ascii="Verdana" w:hAnsi="Verdana"/>
          <w:sz w:val="22"/>
          <w:szCs w:val="22"/>
        </w:rPr>
        <w:t xml:space="preserve"> implementar, mantener y mejorar continuamente su Sistema de Gestión de Seguridad de la Información (SGSI)</w:t>
      </w:r>
      <w:r w:rsidR="0080454A">
        <w:rPr>
          <w:rFonts w:ascii="Verdana" w:hAnsi="Verdana"/>
          <w:sz w:val="22"/>
          <w:szCs w:val="22"/>
        </w:rPr>
        <w:t>, e</w:t>
      </w:r>
      <w:r w:rsidRPr="006D34E2">
        <w:rPr>
          <w:rFonts w:ascii="Verdana" w:hAnsi="Verdana"/>
          <w:sz w:val="22"/>
          <w:szCs w:val="22"/>
        </w:rPr>
        <w:t xml:space="preserve">ste compromiso se materializa mediante el cumplimiento de las políticas de Gestión de Información Estadística, Gobierno Digital y Seguridad Digital (código GIN-PO-001), alineadas con la Resolución 500 de 2021 y el Decreto 767 de 2022. </w:t>
      </w:r>
      <w:r w:rsidR="0080454A">
        <w:rPr>
          <w:rFonts w:ascii="Verdana" w:hAnsi="Verdana"/>
          <w:sz w:val="22"/>
          <w:szCs w:val="22"/>
        </w:rPr>
        <w:t>Y así garantizar</w:t>
      </w:r>
      <w:r w:rsidRPr="006D34E2">
        <w:rPr>
          <w:rFonts w:ascii="Verdana" w:hAnsi="Verdana"/>
          <w:sz w:val="22"/>
          <w:szCs w:val="22"/>
        </w:rPr>
        <w:t xml:space="preserve"> la confidencialidad, integridad y disponibilidad de los datos, bajo los lineamientos de la Estrategia de Uso y Apropiación de TI (GTI-GU-023), el Modelo de Gobierno de Datos (GTI-MA-001) y los procedimientos de estrategia e intercambio de información (GTI-PR-004 y GTI-PR-020)</w:t>
      </w:r>
    </w:p>
    <w:p w14:paraId="7C311623" w14:textId="77777777" w:rsidR="0080454A" w:rsidRDefault="0080454A" w:rsidP="00B250A8">
      <w:pPr>
        <w:jc w:val="both"/>
        <w:rPr>
          <w:rFonts w:ascii="Verdana" w:hAnsi="Verdana"/>
          <w:sz w:val="22"/>
          <w:szCs w:val="22"/>
        </w:rPr>
      </w:pPr>
    </w:p>
    <w:p w14:paraId="4272BA54" w14:textId="2651FC9A" w:rsidR="0080454A" w:rsidRDefault="004B5EF6" w:rsidP="00B250A8">
      <w:pPr>
        <w:jc w:val="both"/>
        <w:rPr>
          <w:rFonts w:ascii="Verdana" w:hAnsi="Verdana"/>
          <w:sz w:val="22"/>
          <w:szCs w:val="22"/>
        </w:rPr>
      </w:pPr>
      <w:r>
        <w:rPr>
          <w:rFonts w:ascii="Verdana" w:hAnsi="Verdana"/>
          <w:sz w:val="22"/>
          <w:szCs w:val="22"/>
        </w:rPr>
        <w:t xml:space="preserve">Cabe mencionar que </w:t>
      </w:r>
      <w:r w:rsidR="00170359">
        <w:rPr>
          <w:rFonts w:ascii="Verdana" w:hAnsi="Verdana"/>
          <w:sz w:val="22"/>
          <w:szCs w:val="22"/>
        </w:rPr>
        <w:t>e</w:t>
      </w:r>
      <w:r w:rsidR="0080454A">
        <w:rPr>
          <w:rFonts w:ascii="Verdana" w:hAnsi="Verdana"/>
          <w:sz w:val="22"/>
          <w:szCs w:val="22"/>
        </w:rPr>
        <w:t xml:space="preserve">ntre las actividades que se desarrollan </w:t>
      </w:r>
      <w:r w:rsidR="00170359">
        <w:rPr>
          <w:rFonts w:ascii="Verdana" w:hAnsi="Verdana"/>
          <w:sz w:val="22"/>
          <w:szCs w:val="22"/>
        </w:rPr>
        <w:t>en pro de las políticas de Gobierno Digital y MIPG se encuentran:</w:t>
      </w:r>
    </w:p>
    <w:p w14:paraId="02CE994A" w14:textId="77777777" w:rsidR="00C0453C" w:rsidRDefault="00C0453C" w:rsidP="00B250A8">
      <w:pPr>
        <w:jc w:val="both"/>
        <w:rPr>
          <w:rFonts w:ascii="Verdana" w:hAnsi="Verdana"/>
          <w:sz w:val="22"/>
          <w:szCs w:val="22"/>
        </w:rPr>
      </w:pPr>
    </w:p>
    <w:p w14:paraId="2B296615" w14:textId="77777777" w:rsidR="004861DC" w:rsidRPr="00170359" w:rsidRDefault="004861DC" w:rsidP="004861DC">
      <w:pPr>
        <w:pStyle w:val="Prrafodelista"/>
        <w:numPr>
          <w:ilvl w:val="0"/>
          <w:numId w:val="33"/>
        </w:numPr>
        <w:jc w:val="both"/>
        <w:rPr>
          <w:rFonts w:ascii="Verdana" w:hAnsi="Verdana" w:cs="Arial"/>
          <w:color w:val="000000" w:themeColor="text1"/>
          <w:sz w:val="22"/>
          <w:szCs w:val="22"/>
        </w:rPr>
      </w:pPr>
      <w:r w:rsidRPr="0080454A">
        <w:rPr>
          <w:rFonts w:ascii="Verdana" w:hAnsi="Verdana" w:cs="Arial"/>
          <w:color w:val="000000" w:themeColor="text1"/>
          <w:sz w:val="22"/>
          <w:szCs w:val="22"/>
        </w:rPr>
        <w:t>Actualiza</w:t>
      </w:r>
      <w:r>
        <w:rPr>
          <w:rFonts w:ascii="Verdana" w:hAnsi="Verdana" w:cs="Arial"/>
          <w:color w:val="000000" w:themeColor="text1"/>
          <w:sz w:val="22"/>
          <w:szCs w:val="22"/>
        </w:rPr>
        <w:t>ción de</w:t>
      </w:r>
      <w:r w:rsidRPr="0080454A">
        <w:rPr>
          <w:rFonts w:ascii="Verdana" w:hAnsi="Verdana" w:cs="Arial"/>
          <w:color w:val="000000" w:themeColor="text1"/>
          <w:sz w:val="22"/>
          <w:szCs w:val="22"/>
        </w:rPr>
        <w:t>l mapa de procesos institucional para asegurar la operatividad</w:t>
      </w:r>
    </w:p>
    <w:p w14:paraId="1B1B0EA6" w14:textId="0F5CEB7E" w:rsidR="00C0453C" w:rsidRPr="00170359" w:rsidRDefault="00C0453C" w:rsidP="00C0453C">
      <w:pPr>
        <w:pStyle w:val="Prrafodelista"/>
        <w:numPr>
          <w:ilvl w:val="0"/>
          <w:numId w:val="33"/>
        </w:numPr>
        <w:jc w:val="both"/>
        <w:rPr>
          <w:rFonts w:ascii="Verdana" w:hAnsi="Verdana" w:cs="Arial"/>
          <w:color w:val="000000" w:themeColor="text1"/>
          <w:sz w:val="22"/>
          <w:szCs w:val="22"/>
        </w:rPr>
      </w:pPr>
      <w:r w:rsidRPr="00170359">
        <w:rPr>
          <w:rFonts w:ascii="Verdana" w:hAnsi="Verdana" w:cs="Arial"/>
          <w:color w:val="000000" w:themeColor="text1"/>
          <w:sz w:val="22"/>
          <w:szCs w:val="22"/>
        </w:rPr>
        <w:t>Habilitación de canales presenciales y virtuales para fomentar la participación ciudadana activa.</w:t>
      </w:r>
    </w:p>
    <w:p w14:paraId="6FB301F1" w14:textId="77777777" w:rsidR="004861DC" w:rsidRPr="00170359" w:rsidRDefault="004861DC" w:rsidP="004861DC">
      <w:pPr>
        <w:pStyle w:val="Prrafodelista"/>
        <w:numPr>
          <w:ilvl w:val="0"/>
          <w:numId w:val="33"/>
        </w:numPr>
        <w:jc w:val="both"/>
        <w:rPr>
          <w:rFonts w:ascii="Verdana" w:hAnsi="Verdana"/>
          <w:sz w:val="22"/>
          <w:szCs w:val="22"/>
        </w:rPr>
      </w:pPr>
      <w:r w:rsidRPr="0080454A">
        <w:rPr>
          <w:rFonts w:ascii="Verdana" w:hAnsi="Verdana" w:cs="Arial"/>
          <w:color w:val="000000" w:themeColor="text1"/>
          <w:sz w:val="22"/>
          <w:szCs w:val="22"/>
        </w:rPr>
        <w:t>Identifica</w:t>
      </w:r>
      <w:r>
        <w:rPr>
          <w:rFonts w:ascii="Verdana" w:hAnsi="Verdana" w:cs="Arial"/>
          <w:color w:val="000000" w:themeColor="text1"/>
          <w:sz w:val="22"/>
          <w:szCs w:val="22"/>
        </w:rPr>
        <w:t>ción y mon</w:t>
      </w:r>
      <w:r w:rsidRPr="0080454A">
        <w:rPr>
          <w:rFonts w:ascii="Verdana" w:hAnsi="Verdana" w:cs="Arial"/>
          <w:color w:val="000000" w:themeColor="text1"/>
          <w:sz w:val="22"/>
          <w:szCs w:val="22"/>
        </w:rPr>
        <w:t>itore</w:t>
      </w:r>
      <w:r>
        <w:rPr>
          <w:rFonts w:ascii="Verdana" w:hAnsi="Verdana" w:cs="Arial"/>
          <w:color w:val="000000" w:themeColor="text1"/>
          <w:sz w:val="22"/>
          <w:szCs w:val="22"/>
        </w:rPr>
        <w:t>o de</w:t>
      </w:r>
      <w:r w:rsidRPr="0080454A">
        <w:rPr>
          <w:rFonts w:ascii="Verdana" w:hAnsi="Verdana" w:cs="Arial"/>
          <w:color w:val="000000" w:themeColor="text1"/>
          <w:sz w:val="22"/>
          <w:szCs w:val="22"/>
        </w:rPr>
        <w:t xml:space="preserve"> riesgos</w:t>
      </w:r>
    </w:p>
    <w:p w14:paraId="28BF21CA" w14:textId="77777777" w:rsidR="000B59A9" w:rsidRPr="000B59A9" w:rsidRDefault="000B59A9" w:rsidP="000B59A9">
      <w:pPr>
        <w:pStyle w:val="Prrafodelista"/>
        <w:numPr>
          <w:ilvl w:val="0"/>
          <w:numId w:val="33"/>
        </w:numPr>
        <w:jc w:val="both"/>
        <w:rPr>
          <w:rFonts w:ascii="Verdana" w:hAnsi="Verdana" w:cs="Arial"/>
          <w:color w:val="000000" w:themeColor="text1"/>
          <w:sz w:val="22"/>
          <w:szCs w:val="22"/>
        </w:rPr>
      </w:pPr>
      <w:r w:rsidRPr="000B59A9">
        <w:rPr>
          <w:rFonts w:ascii="Verdana" w:hAnsi="Verdana" w:cs="Arial"/>
          <w:color w:val="000000" w:themeColor="text1"/>
          <w:sz w:val="22"/>
          <w:szCs w:val="22"/>
        </w:rPr>
        <w:t>Seguimiento y atención de la solicitudes según los término de respuesta.</w:t>
      </w:r>
    </w:p>
    <w:p w14:paraId="520A60B5" w14:textId="77777777" w:rsidR="00170359" w:rsidRPr="00170359" w:rsidRDefault="00170359" w:rsidP="00170359">
      <w:pPr>
        <w:pStyle w:val="Prrafodelista"/>
        <w:numPr>
          <w:ilvl w:val="0"/>
          <w:numId w:val="33"/>
        </w:numPr>
        <w:jc w:val="both"/>
        <w:rPr>
          <w:rFonts w:ascii="Verdana" w:hAnsi="Verdana" w:cs="Arial"/>
          <w:color w:val="000000" w:themeColor="text1"/>
          <w:sz w:val="22"/>
          <w:szCs w:val="22"/>
        </w:rPr>
      </w:pPr>
      <w:r w:rsidRPr="00170359">
        <w:rPr>
          <w:rFonts w:ascii="Verdana" w:hAnsi="Verdana" w:cs="Arial"/>
          <w:color w:val="000000" w:themeColor="text1"/>
          <w:sz w:val="22"/>
          <w:szCs w:val="22"/>
        </w:rPr>
        <w:t>Acceso a la información pública.</w:t>
      </w:r>
    </w:p>
    <w:p w14:paraId="096C79AB" w14:textId="77777777" w:rsidR="00170359" w:rsidRPr="00170359" w:rsidRDefault="00170359" w:rsidP="00170359">
      <w:pPr>
        <w:pStyle w:val="Prrafodelista"/>
        <w:numPr>
          <w:ilvl w:val="0"/>
          <w:numId w:val="33"/>
        </w:numPr>
        <w:jc w:val="both"/>
        <w:rPr>
          <w:rFonts w:ascii="Verdana" w:hAnsi="Verdana" w:cs="Arial"/>
          <w:color w:val="000000" w:themeColor="text1"/>
          <w:sz w:val="22"/>
          <w:szCs w:val="22"/>
        </w:rPr>
      </w:pPr>
      <w:r w:rsidRPr="00170359">
        <w:rPr>
          <w:rFonts w:ascii="Verdana" w:hAnsi="Verdana" w:cs="Arial"/>
          <w:color w:val="000000" w:themeColor="text1"/>
          <w:sz w:val="22"/>
          <w:szCs w:val="22"/>
        </w:rPr>
        <w:t>Ejecución de jornadas de rendición de cuentas para informar sobre la gestión institucional.</w:t>
      </w:r>
    </w:p>
    <w:p w14:paraId="44A1A102" w14:textId="77777777" w:rsidR="0023320A" w:rsidRPr="006D34E2" w:rsidRDefault="0023320A" w:rsidP="00B250A8">
      <w:pPr>
        <w:jc w:val="both"/>
        <w:rPr>
          <w:rFonts w:ascii="Verdana" w:hAnsi="Verdana" w:cs="Arial"/>
          <w:color w:val="000000" w:themeColor="text1"/>
          <w:sz w:val="22"/>
          <w:szCs w:val="22"/>
        </w:rPr>
      </w:pPr>
    </w:p>
    <w:p w14:paraId="3BCB23D1" w14:textId="2F80F4ED" w:rsidR="003B2049" w:rsidRDefault="00093298" w:rsidP="00B250A8">
      <w:pPr>
        <w:pStyle w:val="Ttulo2"/>
        <w:spacing w:before="0"/>
        <w:jc w:val="both"/>
        <w:rPr>
          <w:rFonts w:ascii="Verdana" w:hAnsi="Verdana" w:cs="Arial"/>
          <w:b/>
          <w:bCs/>
          <w:color w:val="auto"/>
          <w:sz w:val="22"/>
          <w:szCs w:val="22"/>
        </w:rPr>
      </w:pPr>
      <w:bookmarkStart w:id="20" w:name="_Toc213403793"/>
      <w:r>
        <w:rPr>
          <w:rFonts w:ascii="Verdana" w:hAnsi="Verdana" w:cs="Arial"/>
          <w:b/>
          <w:bCs/>
          <w:color w:val="auto"/>
          <w:sz w:val="22"/>
          <w:szCs w:val="22"/>
        </w:rPr>
        <w:t>5.</w:t>
      </w:r>
      <w:r w:rsidR="00446BE1">
        <w:rPr>
          <w:rFonts w:ascii="Verdana" w:hAnsi="Verdana" w:cs="Arial"/>
          <w:b/>
          <w:bCs/>
          <w:color w:val="auto"/>
          <w:sz w:val="22"/>
          <w:szCs w:val="22"/>
        </w:rPr>
        <w:t>8</w:t>
      </w:r>
      <w:r>
        <w:rPr>
          <w:rFonts w:ascii="Verdana" w:hAnsi="Verdana" w:cs="Arial"/>
          <w:b/>
          <w:bCs/>
          <w:color w:val="auto"/>
          <w:sz w:val="22"/>
          <w:szCs w:val="22"/>
        </w:rPr>
        <w:t xml:space="preserve">.1. </w:t>
      </w:r>
      <w:r w:rsidR="003B2049" w:rsidRPr="00830653">
        <w:rPr>
          <w:rFonts w:ascii="Verdana" w:hAnsi="Verdana" w:cs="Arial"/>
          <w:b/>
          <w:bCs/>
          <w:color w:val="auto"/>
          <w:sz w:val="22"/>
          <w:szCs w:val="22"/>
        </w:rPr>
        <w:t>Capacidades Institucionales para la implementación del MoReq</w:t>
      </w:r>
      <w:bookmarkEnd w:id="20"/>
    </w:p>
    <w:p w14:paraId="1E1684FD" w14:textId="77777777" w:rsidR="00EF0FE1" w:rsidRPr="00EF0FE1" w:rsidRDefault="00EF0FE1" w:rsidP="00B250A8"/>
    <w:p w14:paraId="12ECF3DC" w14:textId="30AB07C5" w:rsidR="003B2049" w:rsidRDefault="003B2049" w:rsidP="00B250A8">
      <w:pPr>
        <w:jc w:val="both"/>
        <w:rPr>
          <w:rFonts w:ascii="Verdana" w:hAnsi="Verdana" w:cs="Arial"/>
          <w:sz w:val="22"/>
          <w:szCs w:val="22"/>
        </w:rPr>
      </w:pPr>
      <w:r w:rsidRPr="0090239A">
        <w:rPr>
          <w:rFonts w:ascii="Verdana" w:hAnsi="Verdana" w:cs="Arial"/>
          <w:sz w:val="22"/>
          <w:szCs w:val="22"/>
        </w:rPr>
        <w:t>La implementación efectiva del Modelo de Requisitos para la Gestión de Documentos Electrónicos de Archivo (MoReq) en la Superintendenci</w:t>
      </w:r>
      <w:r w:rsidR="0090796D">
        <w:rPr>
          <w:rFonts w:ascii="Verdana" w:hAnsi="Verdana" w:cs="Arial"/>
          <w:sz w:val="22"/>
          <w:szCs w:val="22"/>
        </w:rPr>
        <w:t>a</w:t>
      </w:r>
      <w:r w:rsidRPr="0090239A">
        <w:rPr>
          <w:rFonts w:ascii="Verdana" w:hAnsi="Verdana" w:cs="Arial"/>
          <w:sz w:val="22"/>
          <w:szCs w:val="22"/>
        </w:rPr>
        <w:t xml:space="preserve"> de Sociedades requiere consolidar un conjunto de capacidades institucionales que aseguren la sostenibilidad del sistema, la formación del personal y la disponibilidad de recursos tecnológicos, financieros y humanos.</w:t>
      </w:r>
      <w:r w:rsidR="0090796D">
        <w:rPr>
          <w:rFonts w:ascii="Verdana" w:hAnsi="Verdana" w:cs="Arial"/>
          <w:sz w:val="22"/>
          <w:szCs w:val="22"/>
        </w:rPr>
        <w:t xml:space="preserve">  </w:t>
      </w:r>
      <w:r w:rsidR="00E61DFE">
        <w:rPr>
          <w:rFonts w:ascii="Verdana" w:hAnsi="Verdana" w:cs="Arial"/>
          <w:sz w:val="22"/>
          <w:szCs w:val="22"/>
        </w:rPr>
        <w:t>De acuerdo</w:t>
      </w:r>
      <w:r w:rsidR="0090796D">
        <w:rPr>
          <w:rFonts w:ascii="Verdana" w:hAnsi="Verdana" w:cs="Arial"/>
          <w:sz w:val="22"/>
          <w:szCs w:val="22"/>
        </w:rPr>
        <w:t xml:space="preserve"> los requerimientos establecidos en el PIC de cada año, por parte de la entidad.</w:t>
      </w:r>
    </w:p>
    <w:p w14:paraId="3292CBE8" w14:textId="77777777" w:rsidR="00551386" w:rsidRDefault="00551386" w:rsidP="00291E82">
      <w:pPr>
        <w:jc w:val="both"/>
        <w:rPr>
          <w:rFonts w:ascii="Verdana" w:hAnsi="Verdana" w:cs="Arial"/>
          <w:sz w:val="22"/>
          <w:szCs w:val="22"/>
        </w:rPr>
      </w:pPr>
    </w:p>
    <w:p w14:paraId="59C38D85" w14:textId="0140E265" w:rsidR="003B2049" w:rsidRPr="00830653" w:rsidRDefault="00093298" w:rsidP="00B34019">
      <w:pPr>
        <w:pStyle w:val="Ttulo2"/>
        <w:spacing w:before="0"/>
        <w:jc w:val="both"/>
        <w:rPr>
          <w:rFonts w:ascii="Verdana" w:hAnsi="Verdana" w:cs="Arial"/>
          <w:b/>
          <w:bCs/>
          <w:color w:val="auto"/>
          <w:sz w:val="22"/>
          <w:szCs w:val="22"/>
        </w:rPr>
      </w:pPr>
      <w:bookmarkStart w:id="21" w:name="_Toc213403794"/>
      <w:r>
        <w:rPr>
          <w:rFonts w:ascii="Verdana" w:hAnsi="Verdana" w:cs="Arial"/>
          <w:b/>
          <w:bCs/>
          <w:color w:val="auto"/>
          <w:sz w:val="22"/>
          <w:szCs w:val="22"/>
        </w:rPr>
        <w:lastRenderedPageBreak/>
        <w:t>5.</w:t>
      </w:r>
      <w:r w:rsidR="00446BE1">
        <w:rPr>
          <w:rFonts w:ascii="Verdana" w:hAnsi="Verdana" w:cs="Arial"/>
          <w:b/>
          <w:bCs/>
          <w:color w:val="auto"/>
          <w:sz w:val="22"/>
          <w:szCs w:val="22"/>
        </w:rPr>
        <w:t>8</w:t>
      </w:r>
      <w:r>
        <w:rPr>
          <w:rFonts w:ascii="Verdana" w:hAnsi="Verdana" w:cs="Arial"/>
          <w:b/>
          <w:bCs/>
          <w:color w:val="auto"/>
          <w:sz w:val="22"/>
          <w:szCs w:val="22"/>
        </w:rPr>
        <w:t>.</w:t>
      </w:r>
      <w:r w:rsidR="00D27D58">
        <w:rPr>
          <w:rFonts w:ascii="Verdana" w:hAnsi="Verdana" w:cs="Arial"/>
          <w:b/>
          <w:bCs/>
          <w:color w:val="auto"/>
          <w:sz w:val="22"/>
          <w:szCs w:val="22"/>
        </w:rPr>
        <w:t>2</w:t>
      </w:r>
      <w:r>
        <w:rPr>
          <w:rFonts w:ascii="Verdana" w:hAnsi="Verdana" w:cs="Arial"/>
          <w:b/>
          <w:bCs/>
          <w:color w:val="auto"/>
          <w:sz w:val="22"/>
          <w:szCs w:val="22"/>
        </w:rPr>
        <w:t>.</w:t>
      </w:r>
      <w:r w:rsidR="009A6CC5">
        <w:rPr>
          <w:rFonts w:ascii="Verdana" w:hAnsi="Verdana" w:cs="Arial"/>
          <w:b/>
          <w:bCs/>
          <w:color w:val="auto"/>
          <w:sz w:val="22"/>
          <w:szCs w:val="22"/>
        </w:rPr>
        <w:t xml:space="preserve"> </w:t>
      </w:r>
      <w:r w:rsidR="003B2049" w:rsidRPr="00830653">
        <w:rPr>
          <w:rFonts w:ascii="Verdana" w:hAnsi="Verdana" w:cs="Arial"/>
          <w:b/>
          <w:bCs/>
          <w:color w:val="auto"/>
          <w:sz w:val="22"/>
          <w:szCs w:val="22"/>
        </w:rPr>
        <w:t>Roles y Responsabilidades</w:t>
      </w:r>
      <w:bookmarkEnd w:id="21"/>
    </w:p>
    <w:p w14:paraId="3E190C65" w14:textId="7C04D97F" w:rsidR="003B2049" w:rsidRDefault="003B2049" w:rsidP="00B34019">
      <w:pPr>
        <w:jc w:val="both"/>
        <w:rPr>
          <w:rFonts w:ascii="Verdana" w:hAnsi="Verdana" w:cs="Arial"/>
          <w:sz w:val="22"/>
          <w:szCs w:val="22"/>
        </w:rPr>
      </w:pPr>
      <w:r w:rsidRPr="0090239A">
        <w:rPr>
          <w:rFonts w:ascii="Verdana" w:hAnsi="Verdana" w:cs="Arial"/>
          <w:sz w:val="22"/>
          <w:szCs w:val="22"/>
        </w:rPr>
        <w:t>La implementación del MoReq se desarrolla mediante la coordinación entre las</w:t>
      </w:r>
      <w:r w:rsidR="00B34019">
        <w:rPr>
          <w:rFonts w:ascii="Verdana" w:hAnsi="Verdana" w:cs="Arial"/>
          <w:sz w:val="22"/>
          <w:szCs w:val="22"/>
        </w:rPr>
        <w:t xml:space="preserve"> dependencias misionales, de apoyo y seguimiento,</w:t>
      </w:r>
      <w:r w:rsidRPr="00AE1FAD">
        <w:rPr>
          <w:rFonts w:ascii="Verdana" w:hAnsi="Verdana" w:cs="Arial"/>
          <w:sz w:val="22"/>
          <w:szCs w:val="22"/>
        </w:rPr>
        <w:t xml:space="preserve"> con roles claramente definidos:</w:t>
      </w:r>
    </w:p>
    <w:p w14:paraId="09C41D23" w14:textId="77777777" w:rsidR="00B34019" w:rsidRDefault="00B34019" w:rsidP="00B34019">
      <w:pPr>
        <w:jc w:val="both"/>
        <w:rPr>
          <w:rFonts w:ascii="Verdana" w:hAnsi="Verdana" w:cs="Arial"/>
          <w:sz w:val="22"/>
          <w:szCs w:val="22"/>
        </w:rPr>
      </w:pPr>
    </w:p>
    <w:p w14:paraId="61FD59CD" w14:textId="15D4C958" w:rsidR="003B2049" w:rsidRPr="00B463E0" w:rsidRDefault="008E09E8" w:rsidP="00A27AA5">
      <w:pPr>
        <w:numPr>
          <w:ilvl w:val="0"/>
          <w:numId w:val="20"/>
        </w:numPr>
        <w:jc w:val="both"/>
        <w:rPr>
          <w:rFonts w:ascii="Verdana" w:hAnsi="Verdana" w:cs="Arial"/>
          <w:sz w:val="22"/>
          <w:szCs w:val="22"/>
        </w:rPr>
      </w:pPr>
      <w:r w:rsidRPr="00B463E0">
        <w:rPr>
          <w:rFonts w:ascii="Verdana" w:hAnsi="Verdana" w:cs="Arial"/>
          <w:b/>
          <w:bCs/>
          <w:sz w:val="22"/>
          <w:szCs w:val="22"/>
        </w:rPr>
        <w:t>Liderazgo estratégico:</w:t>
      </w:r>
      <w:r w:rsidRPr="00B463E0">
        <w:rPr>
          <w:rFonts w:ascii="Verdana" w:hAnsi="Verdana" w:cs="Arial"/>
          <w:sz w:val="22"/>
          <w:szCs w:val="22"/>
        </w:rPr>
        <w:t xml:space="preserve"> Proceso de Gestión Integral a través de la Oficina Asesora de planeación y el proceso de Gestión de Infraestructura y Tecnologías de Información, por medio de la Dirección de Tecnologías de la Información y las Comunicaciones, responsable de la gobernanza del SGDEA y del alineamiento con la estrategia de Gobierno Digital</w:t>
      </w:r>
      <w:r w:rsidR="003B2049" w:rsidRPr="00B463E0">
        <w:rPr>
          <w:rFonts w:ascii="Verdana" w:hAnsi="Verdana" w:cs="Arial"/>
          <w:sz w:val="22"/>
          <w:szCs w:val="22"/>
        </w:rPr>
        <w:t>.</w:t>
      </w:r>
    </w:p>
    <w:p w14:paraId="319D4157" w14:textId="77777777" w:rsidR="008E09E8" w:rsidRPr="00B463E0" w:rsidRDefault="008E09E8" w:rsidP="008E09E8">
      <w:pPr>
        <w:jc w:val="both"/>
        <w:rPr>
          <w:rFonts w:ascii="Verdana" w:hAnsi="Verdana" w:cs="Arial"/>
          <w:sz w:val="22"/>
          <w:szCs w:val="22"/>
        </w:rPr>
      </w:pPr>
    </w:p>
    <w:p w14:paraId="02F7774E" w14:textId="77777777" w:rsidR="006C1207" w:rsidRPr="00B463E0" w:rsidRDefault="006C1207" w:rsidP="006C1207">
      <w:pPr>
        <w:numPr>
          <w:ilvl w:val="0"/>
          <w:numId w:val="20"/>
        </w:numPr>
        <w:jc w:val="both"/>
        <w:rPr>
          <w:rFonts w:ascii="Verdana" w:hAnsi="Verdana" w:cs="Arial"/>
          <w:sz w:val="22"/>
          <w:szCs w:val="22"/>
        </w:rPr>
      </w:pPr>
      <w:r w:rsidRPr="00B463E0">
        <w:rPr>
          <w:rFonts w:ascii="Verdana" w:hAnsi="Verdana" w:cs="Arial"/>
          <w:b/>
          <w:bCs/>
          <w:sz w:val="22"/>
          <w:szCs w:val="22"/>
        </w:rPr>
        <w:t>Proceso de Gestión Documental- Coordinación de Gestión Documental:</w:t>
      </w:r>
      <w:r w:rsidRPr="00B463E0">
        <w:rPr>
          <w:rFonts w:ascii="Verdana" w:hAnsi="Verdana" w:cs="Arial"/>
          <w:sz w:val="22"/>
          <w:szCs w:val="22"/>
        </w:rPr>
        <w:t xml:space="preserve"> Proceso de gestión documental, encargada de la gestión documental, la aplicación de instrumentos archivísticos y la trazabilidad de los procesos.</w:t>
      </w:r>
    </w:p>
    <w:p w14:paraId="04EAAEB7" w14:textId="77777777" w:rsidR="006C1207" w:rsidRPr="00B463E0" w:rsidRDefault="006C1207" w:rsidP="006C1207">
      <w:pPr>
        <w:numPr>
          <w:ilvl w:val="0"/>
          <w:numId w:val="20"/>
        </w:numPr>
        <w:jc w:val="both"/>
        <w:rPr>
          <w:rFonts w:ascii="Verdana" w:hAnsi="Verdana" w:cs="Arial"/>
          <w:sz w:val="22"/>
          <w:szCs w:val="22"/>
        </w:rPr>
      </w:pPr>
      <w:r w:rsidRPr="00B463E0">
        <w:rPr>
          <w:rFonts w:ascii="Verdana" w:hAnsi="Verdana" w:cs="Arial"/>
          <w:b/>
          <w:bCs/>
          <w:sz w:val="22"/>
          <w:szCs w:val="22"/>
        </w:rPr>
        <w:t>Apoyo técnico:</w:t>
      </w:r>
      <w:r w:rsidRPr="00B463E0">
        <w:rPr>
          <w:rFonts w:ascii="Verdana" w:hAnsi="Verdana" w:cs="Arial"/>
          <w:sz w:val="22"/>
          <w:szCs w:val="22"/>
        </w:rPr>
        <w:t xml:space="preserve"> Dirección de Tecnologías de la Información y las Comunicaciones, encargada del mantenimiento del SGDEA, interoperabilidad y respaldo de datos.</w:t>
      </w:r>
    </w:p>
    <w:p w14:paraId="294E0EC0" w14:textId="77777777" w:rsidR="006C1207" w:rsidRPr="00B463E0" w:rsidRDefault="006C1207" w:rsidP="006C1207">
      <w:pPr>
        <w:numPr>
          <w:ilvl w:val="0"/>
          <w:numId w:val="20"/>
        </w:numPr>
        <w:jc w:val="both"/>
        <w:rPr>
          <w:rFonts w:ascii="Verdana" w:hAnsi="Verdana" w:cs="Arial"/>
          <w:sz w:val="22"/>
          <w:szCs w:val="22"/>
        </w:rPr>
      </w:pPr>
      <w:r w:rsidRPr="00B463E0">
        <w:rPr>
          <w:rFonts w:ascii="Verdana" w:hAnsi="Verdana" w:cs="Arial"/>
          <w:b/>
          <w:bCs/>
          <w:sz w:val="22"/>
          <w:szCs w:val="22"/>
        </w:rPr>
        <w:t>Control y seguimiento:</w:t>
      </w:r>
      <w:r w:rsidRPr="00B463E0">
        <w:rPr>
          <w:rFonts w:ascii="Verdana" w:hAnsi="Verdana" w:cs="Arial"/>
          <w:sz w:val="22"/>
          <w:szCs w:val="22"/>
        </w:rPr>
        <w:t xml:space="preserve"> Oficina de Control Interno, que evalúa la eficacia del sistema y los riesgos de incumplimiento normativo.</w:t>
      </w:r>
    </w:p>
    <w:p w14:paraId="6665AD31" w14:textId="77777777" w:rsidR="00291E82" w:rsidRPr="00B463E0" w:rsidRDefault="00291E82" w:rsidP="00291E82">
      <w:pPr>
        <w:ind w:left="720"/>
        <w:jc w:val="both"/>
        <w:rPr>
          <w:rFonts w:ascii="Verdana" w:hAnsi="Verdana" w:cs="Arial"/>
          <w:sz w:val="22"/>
          <w:szCs w:val="22"/>
        </w:rPr>
      </w:pPr>
    </w:p>
    <w:p w14:paraId="14769B01" w14:textId="73E56DFC" w:rsidR="003B2049" w:rsidRPr="00B463E0" w:rsidRDefault="003B2049" w:rsidP="00291E82">
      <w:pPr>
        <w:jc w:val="both"/>
        <w:rPr>
          <w:rFonts w:ascii="Verdana" w:hAnsi="Verdana" w:cs="Arial"/>
          <w:sz w:val="22"/>
          <w:szCs w:val="22"/>
        </w:rPr>
      </w:pPr>
      <w:r w:rsidRPr="00B463E0">
        <w:rPr>
          <w:rFonts w:ascii="Verdana" w:hAnsi="Verdana" w:cs="Arial"/>
          <w:sz w:val="22"/>
          <w:szCs w:val="22"/>
        </w:rPr>
        <w:t>Estos roles se articulan a través del</w:t>
      </w:r>
      <w:r w:rsidR="00B34019" w:rsidRPr="00B463E0">
        <w:rPr>
          <w:rFonts w:ascii="Verdana" w:hAnsi="Verdana" w:cs="Arial"/>
          <w:sz w:val="22"/>
          <w:szCs w:val="22"/>
        </w:rPr>
        <w:t xml:space="preserve"> Comité Institucional De Gestión Y Desempeño</w:t>
      </w:r>
      <w:r w:rsidRPr="00B463E0">
        <w:rPr>
          <w:rFonts w:ascii="Verdana" w:hAnsi="Verdana" w:cs="Arial"/>
          <w:sz w:val="22"/>
          <w:szCs w:val="22"/>
        </w:rPr>
        <w:t xml:space="preserve"> instancia de decisión que orienta la implementación, evaluación y continuidad del MoReq 2025 para el SGDEA de la Superintendencia de Sociedades.</w:t>
      </w:r>
    </w:p>
    <w:p w14:paraId="6BBE9BB8" w14:textId="1DFE4C2D" w:rsidR="003B2049" w:rsidRPr="00B463E0" w:rsidRDefault="003B2049" w:rsidP="00D27D58">
      <w:pPr>
        <w:pStyle w:val="Prrafodelista"/>
        <w:ind w:left="720"/>
        <w:contextualSpacing/>
        <w:jc w:val="both"/>
        <w:rPr>
          <w:rFonts w:ascii="Verdana" w:hAnsi="Verdana" w:cs="Arial"/>
          <w:sz w:val="22"/>
          <w:szCs w:val="22"/>
        </w:rPr>
      </w:pPr>
    </w:p>
    <w:p w14:paraId="1E18DE2D" w14:textId="77777777" w:rsidR="00490CC8" w:rsidRPr="00B463E0" w:rsidRDefault="00490CC8" w:rsidP="00DC43DB">
      <w:pPr>
        <w:jc w:val="both"/>
        <w:rPr>
          <w:rFonts w:ascii="Verdana" w:hAnsi="Verdana" w:cs="Arial"/>
          <w:sz w:val="22"/>
          <w:szCs w:val="22"/>
        </w:rPr>
      </w:pPr>
    </w:p>
    <w:p w14:paraId="310711B1" w14:textId="18911E59" w:rsidR="003B2049" w:rsidRPr="00B463E0" w:rsidRDefault="00430479" w:rsidP="00CE5702">
      <w:pPr>
        <w:pStyle w:val="Ttulo2"/>
        <w:spacing w:before="0"/>
        <w:rPr>
          <w:rFonts w:ascii="Verdana" w:hAnsi="Verdana" w:cs="Arial"/>
          <w:b/>
          <w:bCs/>
          <w:color w:val="auto"/>
          <w:sz w:val="22"/>
          <w:szCs w:val="22"/>
        </w:rPr>
      </w:pPr>
      <w:bookmarkStart w:id="22" w:name="_Toc213403801"/>
      <w:r w:rsidRPr="00B463E0">
        <w:rPr>
          <w:rFonts w:ascii="Verdana" w:hAnsi="Verdana" w:cs="Arial"/>
          <w:b/>
          <w:bCs/>
          <w:color w:val="auto"/>
          <w:sz w:val="22"/>
          <w:szCs w:val="22"/>
        </w:rPr>
        <w:t>5.</w:t>
      </w:r>
      <w:r w:rsidR="00446BE1" w:rsidRPr="00B463E0">
        <w:rPr>
          <w:rFonts w:ascii="Verdana" w:hAnsi="Verdana" w:cs="Arial"/>
          <w:b/>
          <w:bCs/>
          <w:color w:val="auto"/>
          <w:sz w:val="22"/>
          <w:szCs w:val="22"/>
        </w:rPr>
        <w:t>8</w:t>
      </w:r>
      <w:r w:rsidRPr="00B463E0">
        <w:rPr>
          <w:rFonts w:ascii="Verdana" w:hAnsi="Verdana" w:cs="Arial"/>
          <w:b/>
          <w:bCs/>
          <w:color w:val="auto"/>
          <w:sz w:val="22"/>
          <w:szCs w:val="22"/>
        </w:rPr>
        <w:t>.</w:t>
      </w:r>
      <w:r w:rsidR="00446BE1" w:rsidRPr="00B463E0">
        <w:rPr>
          <w:rFonts w:ascii="Verdana" w:hAnsi="Verdana" w:cs="Arial"/>
          <w:b/>
          <w:bCs/>
          <w:color w:val="auto"/>
          <w:sz w:val="22"/>
          <w:szCs w:val="22"/>
        </w:rPr>
        <w:t>3</w:t>
      </w:r>
      <w:r w:rsidRPr="00B463E0">
        <w:rPr>
          <w:rFonts w:ascii="Verdana" w:hAnsi="Verdana" w:cs="Arial"/>
          <w:b/>
          <w:bCs/>
          <w:color w:val="auto"/>
          <w:sz w:val="22"/>
          <w:szCs w:val="22"/>
        </w:rPr>
        <w:t xml:space="preserve">. </w:t>
      </w:r>
      <w:r w:rsidR="003B2049" w:rsidRPr="00B463E0">
        <w:rPr>
          <w:rFonts w:ascii="Verdana" w:hAnsi="Verdana" w:cs="Arial"/>
          <w:b/>
          <w:bCs/>
          <w:color w:val="auto"/>
          <w:sz w:val="22"/>
          <w:szCs w:val="22"/>
        </w:rPr>
        <w:t xml:space="preserve">Aplicaciones </w:t>
      </w:r>
      <w:bookmarkEnd w:id="22"/>
      <w:r w:rsidR="00D27D58" w:rsidRPr="00B463E0">
        <w:rPr>
          <w:rFonts w:ascii="Verdana" w:hAnsi="Verdana" w:cs="Arial"/>
          <w:b/>
          <w:bCs/>
          <w:color w:val="auto"/>
          <w:sz w:val="22"/>
          <w:szCs w:val="22"/>
        </w:rPr>
        <w:t xml:space="preserve">con las que el Gestor Documental </w:t>
      </w:r>
      <w:r w:rsidR="0070174B" w:rsidRPr="00B463E0">
        <w:rPr>
          <w:rFonts w:ascii="Verdana" w:hAnsi="Verdana" w:cs="Arial"/>
          <w:b/>
          <w:bCs/>
          <w:color w:val="auto"/>
          <w:sz w:val="22"/>
          <w:szCs w:val="22"/>
        </w:rPr>
        <w:t>Interactúa</w:t>
      </w:r>
    </w:p>
    <w:p w14:paraId="773E839F" w14:textId="77777777" w:rsidR="003B2049" w:rsidRPr="00B463E0" w:rsidRDefault="003B2049" w:rsidP="00A80C04">
      <w:pPr>
        <w:rPr>
          <w:rFonts w:ascii="Verdana" w:hAnsi="Verdana"/>
          <w:sz w:val="22"/>
          <w:szCs w:val="22"/>
        </w:rPr>
      </w:pPr>
    </w:p>
    <w:p w14:paraId="344C602D" w14:textId="32A32732" w:rsidR="003B2049" w:rsidRPr="00B463E0" w:rsidRDefault="003B2049" w:rsidP="00A80C04">
      <w:pPr>
        <w:jc w:val="both"/>
        <w:rPr>
          <w:rFonts w:ascii="Verdana" w:hAnsi="Verdana" w:cs="Arial"/>
          <w:sz w:val="22"/>
          <w:szCs w:val="22"/>
        </w:rPr>
      </w:pPr>
      <w:r w:rsidRPr="00B463E0">
        <w:rPr>
          <w:rFonts w:ascii="Verdana" w:hAnsi="Verdana" w:cs="Arial"/>
          <w:sz w:val="22"/>
          <w:szCs w:val="22"/>
        </w:rPr>
        <w:t>Además de los sistemas relacionados, la Superintendencia de Sociedades dispone de un conjunto de sistemas y aplicativos tecnológicos que fortalecen su gestión institucional y el cumplimiento de sus funciones de inspección, vigilancia y control las cuales se relacionan en la sección anterior.</w:t>
      </w:r>
    </w:p>
    <w:p w14:paraId="441DDDC7" w14:textId="77777777" w:rsidR="00A80C04" w:rsidRPr="00B463E0" w:rsidRDefault="00A80C04" w:rsidP="00A80C04">
      <w:pPr>
        <w:jc w:val="both"/>
        <w:rPr>
          <w:rFonts w:ascii="Verdana" w:hAnsi="Verdana" w:cs="Arial"/>
          <w:sz w:val="22"/>
          <w:szCs w:val="22"/>
        </w:rPr>
      </w:pPr>
    </w:p>
    <w:p w14:paraId="71126A19" w14:textId="77777777" w:rsidR="003B2049" w:rsidRPr="00B463E0" w:rsidRDefault="003B2049" w:rsidP="00A80C04">
      <w:pPr>
        <w:jc w:val="both"/>
        <w:rPr>
          <w:rFonts w:ascii="Verdana" w:hAnsi="Verdana" w:cs="Arial"/>
          <w:sz w:val="22"/>
          <w:szCs w:val="22"/>
        </w:rPr>
      </w:pPr>
      <w:r w:rsidRPr="00B463E0">
        <w:rPr>
          <w:rFonts w:ascii="Verdana" w:hAnsi="Verdana" w:cs="Arial"/>
          <w:sz w:val="22"/>
          <w:szCs w:val="22"/>
        </w:rPr>
        <w:t>Estas herramientas, desarrolladas o contratadas en diferentes momentos, abarcan desde soluciones de inteligencia artificial para la consulta y resolución de litigios, hasta plataformas de gestión documental, automatización de procesos, atención ciudadana y preservación digital, constituyendo un ecosistema integral que respalda la modernización administrativa y la implementación del MoReq 2025.</w:t>
      </w:r>
    </w:p>
    <w:p w14:paraId="25085683" w14:textId="77777777" w:rsidR="00D27D58" w:rsidRPr="00B463E0" w:rsidRDefault="00D27D58" w:rsidP="00A80C04">
      <w:pPr>
        <w:jc w:val="both"/>
        <w:rPr>
          <w:rFonts w:ascii="Verdana" w:hAnsi="Verdana" w:cs="Arial"/>
          <w:sz w:val="22"/>
          <w:szCs w:val="22"/>
        </w:rPr>
      </w:pPr>
    </w:p>
    <w:p w14:paraId="7B32684B" w14:textId="5D5A4D5C" w:rsidR="003B2049" w:rsidRPr="00B463E0" w:rsidRDefault="003B2049" w:rsidP="00CE5702">
      <w:pPr>
        <w:jc w:val="both"/>
        <w:rPr>
          <w:rFonts w:ascii="Verdana" w:hAnsi="Verdana"/>
          <w:sz w:val="22"/>
          <w:szCs w:val="22"/>
        </w:rPr>
      </w:pPr>
      <w:r w:rsidRPr="00B463E0">
        <w:rPr>
          <w:rFonts w:ascii="Verdana" w:hAnsi="Verdana"/>
          <w:sz w:val="22"/>
          <w:szCs w:val="22"/>
        </w:rPr>
        <w:t>Se presenta la relación de los principales sistemas y aplicativos de la Superintendencia de Sociedades, organizados según su función y alcance institucional:</w:t>
      </w:r>
      <w:bookmarkStart w:id="23" w:name="_Toc213403802"/>
      <w:r w:rsidRPr="00B463E0">
        <w:rPr>
          <w:rFonts w:ascii="Verdana" w:hAnsi="Verdana"/>
          <w:sz w:val="22"/>
          <w:szCs w:val="22"/>
        </w:rPr>
        <w:t>17.1.1. Aplicaciones para presentación y reporte de Información</w:t>
      </w:r>
      <w:bookmarkEnd w:id="23"/>
      <w:r w:rsidR="008714F0" w:rsidRPr="00B463E0">
        <w:rPr>
          <w:rFonts w:ascii="Verdana" w:hAnsi="Verdana"/>
          <w:sz w:val="22"/>
          <w:szCs w:val="22"/>
        </w:rPr>
        <w:t>:</w:t>
      </w:r>
    </w:p>
    <w:p w14:paraId="2F7FD5CF" w14:textId="77777777" w:rsidR="00A02DD2" w:rsidRPr="00B463E0" w:rsidRDefault="00A02DD2" w:rsidP="00CE5702">
      <w:pPr>
        <w:jc w:val="both"/>
        <w:rPr>
          <w:rFonts w:ascii="Verdana" w:hAnsi="Verdana"/>
          <w:sz w:val="22"/>
          <w:szCs w:val="22"/>
        </w:rPr>
      </w:pPr>
    </w:p>
    <w:p w14:paraId="71C8351C" w14:textId="77777777" w:rsidR="00E61DFE" w:rsidRPr="00B463E0" w:rsidRDefault="003B2049" w:rsidP="00E61DFE">
      <w:pPr>
        <w:spacing w:after="200"/>
        <w:jc w:val="both"/>
        <w:rPr>
          <w:rFonts w:ascii="Verdana" w:hAnsi="Verdana" w:cs="Arial"/>
          <w:color w:val="000000" w:themeColor="text1"/>
          <w:sz w:val="22"/>
          <w:szCs w:val="22"/>
        </w:rPr>
      </w:pPr>
      <w:r w:rsidRPr="00B463E0">
        <w:rPr>
          <w:rFonts w:ascii="Verdana" w:hAnsi="Verdana" w:cs="Arial"/>
          <w:b/>
          <w:bCs/>
          <w:color w:val="000000" w:themeColor="text1"/>
          <w:sz w:val="22"/>
          <w:szCs w:val="22"/>
        </w:rPr>
        <w:lastRenderedPageBreak/>
        <w:t>STORM User</w:t>
      </w:r>
      <w:r w:rsidRPr="00B463E0">
        <w:rPr>
          <w:rFonts w:ascii="Verdana" w:hAnsi="Verdana" w:cs="Arial"/>
          <w:color w:val="000000" w:themeColor="text1"/>
          <w:sz w:val="22"/>
          <w:szCs w:val="22"/>
        </w:rPr>
        <w:t>: Aplicativo de escritorio para diligenciar informes no financieros (financieros, económicos, contables y jurídicos) en formatos estandarizados (.STR)</w:t>
      </w:r>
      <w:r w:rsidR="00E61DFE" w:rsidRPr="00B463E0">
        <w:rPr>
          <w:rFonts w:ascii="Verdana" w:hAnsi="Verdana" w:cs="Arial"/>
          <w:color w:val="000000" w:themeColor="text1"/>
          <w:sz w:val="22"/>
          <w:szCs w:val="22"/>
        </w:rPr>
        <w:t>.</w:t>
      </w:r>
    </w:p>
    <w:p w14:paraId="4AB198EE" w14:textId="575C5AAA" w:rsidR="003B2049" w:rsidRPr="00B463E0" w:rsidRDefault="003B2049" w:rsidP="00E61DFE">
      <w:pPr>
        <w:spacing w:after="200"/>
        <w:jc w:val="both"/>
        <w:rPr>
          <w:rFonts w:ascii="Verdana" w:hAnsi="Verdana" w:cs="Arial"/>
          <w:b/>
          <w:bCs/>
          <w:color w:val="000000" w:themeColor="text1"/>
          <w:sz w:val="22"/>
          <w:szCs w:val="22"/>
        </w:rPr>
      </w:pPr>
      <w:r w:rsidRPr="00B463E0">
        <w:rPr>
          <w:rFonts w:ascii="Verdana" w:hAnsi="Verdana" w:cs="Arial"/>
          <w:b/>
          <w:bCs/>
          <w:color w:val="000000" w:themeColor="text1"/>
          <w:sz w:val="22"/>
          <w:szCs w:val="22"/>
        </w:rPr>
        <w:t>STORM Web</w:t>
      </w:r>
      <w:r w:rsidRPr="00B463E0">
        <w:rPr>
          <w:rFonts w:ascii="Verdana" w:hAnsi="Verdana" w:cs="Arial"/>
          <w:color w:val="000000" w:themeColor="text1"/>
          <w:sz w:val="22"/>
          <w:szCs w:val="22"/>
        </w:rPr>
        <w:t xml:space="preserve">: Permite al usuario cargar los archivos generados (.STR), enviar documentos adicionales y consultar y descargar los radicados correctos </w:t>
      </w:r>
    </w:p>
    <w:p w14:paraId="58D094F7" w14:textId="254FB163" w:rsidR="003B2049" w:rsidRPr="00B463E0" w:rsidRDefault="003B2049" w:rsidP="00A13A3F">
      <w:pPr>
        <w:spacing w:after="200"/>
        <w:contextualSpacing/>
        <w:jc w:val="both"/>
        <w:rPr>
          <w:rFonts w:ascii="Verdana" w:hAnsi="Verdana" w:cs="Arial"/>
          <w:color w:val="000000" w:themeColor="text1"/>
          <w:sz w:val="22"/>
          <w:szCs w:val="22"/>
        </w:rPr>
      </w:pPr>
      <w:r w:rsidRPr="00B463E0">
        <w:rPr>
          <w:rFonts w:ascii="Verdana" w:hAnsi="Verdana" w:cs="Arial"/>
          <w:b/>
          <w:bCs/>
          <w:color w:val="000000" w:themeColor="text1"/>
          <w:sz w:val="22"/>
          <w:szCs w:val="22"/>
        </w:rPr>
        <w:t>XBRL Express</w:t>
      </w:r>
      <w:r w:rsidRPr="00B463E0">
        <w:rPr>
          <w:rFonts w:ascii="Verdana" w:hAnsi="Verdana" w:cs="Arial"/>
          <w:color w:val="000000" w:themeColor="text1"/>
          <w:sz w:val="22"/>
          <w:szCs w:val="22"/>
        </w:rPr>
        <w:t>: Aplicativo instalado localmente tras obtener una licencia específica por sociedad, para diligenciar informes en formato XBRL bajo NIIF u otros estándares contables.</w:t>
      </w:r>
    </w:p>
    <w:p w14:paraId="11EFB372" w14:textId="77777777" w:rsidR="002907AE" w:rsidRPr="00B463E0" w:rsidRDefault="002907AE" w:rsidP="00A13A3F">
      <w:pPr>
        <w:spacing w:after="200"/>
        <w:contextualSpacing/>
        <w:jc w:val="both"/>
        <w:rPr>
          <w:rFonts w:ascii="Verdana" w:hAnsi="Verdana" w:cs="Arial"/>
          <w:b/>
          <w:bCs/>
          <w:color w:val="000000" w:themeColor="text1"/>
          <w:sz w:val="22"/>
          <w:szCs w:val="22"/>
        </w:rPr>
      </w:pPr>
    </w:p>
    <w:p w14:paraId="54EFA397" w14:textId="77777777" w:rsidR="003B2049" w:rsidRPr="00B463E0" w:rsidRDefault="003B2049" w:rsidP="002907AE">
      <w:pPr>
        <w:jc w:val="both"/>
        <w:rPr>
          <w:rFonts w:ascii="Verdana" w:hAnsi="Verdana" w:cs="Arial"/>
          <w:color w:val="000000" w:themeColor="text1"/>
          <w:sz w:val="22"/>
          <w:szCs w:val="22"/>
        </w:rPr>
      </w:pPr>
      <w:r w:rsidRPr="00B463E0">
        <w:rPr>
          <w:rFonts w:ascii="Verdana" w:hAnsi="Verdana" w:cs="Arial"/>
          <w:b/>
          <w:bCs/>
          <w:color w:val="000000" w:themeColor="text1"/>
          <w:sz w:val="22"/>
          <w:szCs w:val="22"/>
        </w:rPr>
        <w:t>SIRFIN</w:t>
      </w:r>
      <w:r w:rsidRPr="00B463E0">
        <w:rPr>
          <w:rFonts w:ascii="Verdana" w:hAnsi="Verdana" w:cs="Arial"/>
          <w:color w:val="000000" w:themeColor="text1"/>
          <w:sz w:val="22"/>
          <w:szCs w:val="22"/>
        </w:rPr>
        <w:t xml:space="preserve"> (Sistema Integrado de Reportes Financieros): Portal en línea donde se envían los archivos XBRL generados; permite consultar estado del envío, resultados de procesamiento, documentos radicados y manuales e instructivos </w:t>
      </w:r>
    </w:p>
    <w:p w14:paraId="402FABEE" w14:textId="77777777" w:rsidR="003B2049" w:rsidRPr="00B463E0" w:rsidRDefault="003B2049" w:rsidP="00E87A70">
      <w:pPr>
        <w:rPr>
          <w:rFonts w:ascii="Verdana" w:hAnsi="Verdana"/>
          <w:color w:val="000000" w:themeColor="text1"/>
          <w:sz w:val="22"/>
          <w:szCs w:val="22"/>
        </w:rPr>
      </w:pPr>
    </w:p>
    <w:p w14:paraId="7FE3AF82" w14:textId="2F65A81E" w:rsidR="003B2049" w:rsidRPr="00B463E0" w:rsidRDefault="003B2049" w:rsidP="002907AE">
      <w:pPr>
        <w:contextualSpacing/>
        <w:jc w:val="both"/>
        <w:rPr>
          <w:rFonts w:ascii="Verdana" w:hAnsi="Verdana" w:cs="Arial"/>
          <w:b/>
          <w:bCs/>
          <w:color w:val="000000" w:themeColor="text1"/>
          <w:sz w:val="22"/>
          <w:szCs w:val="22"/>
        </w:rPr>
      </w:pPr>
      <w:r w:rsidRPr="00B463E0">
        <w:rPr>
          <w:rFonts w:ascii="Verdana" w:hAnsi="Verdana" w:cs="Arial"/>
          <w:b/>
          <w:bCs/>
          <w:color w:val="000000" w:themeColor="text1"/>
          <w:sz w:val="22"/>
          <w:szCs w:val="22"/>
        </w:rPr>
        <w:t>SIIS – Sistema Integrado de Información Societaria</w:t>
      </w:r>
    </w:p>
    <w:p w14:paraId="5CD11D90" w14:textId="2583B825" w:rsidR="003B2049" w:rsidRPr="00B463E0" w:rsidRDefault="003B2049" w:rsidP="002907AE">
      <w:pPr>
        <w:jc w:val="both"/>
        <w:rPr>
          <w:rFonts w:ascii="Verdana" w:hAnsi="Verdana" w:cs="Arial"/>
          <w:color w:val="000000" w:themeColor="text1"/>
          <w:sz w:val="22"/>
          <w:szCs w:val="22"/>
        </w:rPr>
      </w:pPr>
      <w:r w:rsidRPr="00B463E0">
        <w:rPr>
          <w:rFonts w:ascii="Verdana" w:hAnsi="Verdana" w:cs="Arial"/>
          <w:color w:val="000000" w:themeColor="text1"/>
          <w:sz w:val="22"/>
          <w:szCs w:val="22"/>
        </w:rPr>
        <w:t>Ofrece consulta pública en línea de datos legales y financieros de sociedades, personas naturales y sucursales extranjeras desde aproximadamente el 2015.</w:t>
      </w:r>
    </w:p>
    <w:p w14:paraId="18AD3AE5" w14:textId="77777777" w:rsidR="00D27D58" w:rsidRPr="00B463E0" w:rsidRDefault="00D27D58" w:rsidP="00D8263F">
      <w:pPr>
        <w:jc w:val="both"/>
        <w:rPr>
          <w:rFonts w:ascii="Verdana" w:hAnsi="Verdana" w:cs="Arial"/>
          <w:color w:val="000000" w:themeColor="text1"/>
          <w:sz w:val="22"/>
          <w:szCs w:val="22"/>
        </w:rPr>
      </w:pPr>
    </w:p>
    <w:p w14:paraId="7B448506" w14:textId="77777777" w:rsidR="003B2049" w:rsidRPr="00B463E0" w:rsidRDefault="003B2049" w:rsidP="002907AE">
      <w:pPr>
        <w:jc w:val="both"/>
        <w:rPr>
          <w:rFonts w:ascii="Verdana" w:hAnsi="Verdana" w:cs="Arial"/>
          <w:color w:val="000000" w:themeColor="text1"/>
          <w:sz w:val="22"/>
          <w:szCs w:val="22"/>
        </w:rPr>
      </w:pPr>
      <w:r w:rsidRPr="00B463E0">
        <w:rPr>
          <w:rFonts w:ascii="Verdana" w:hAnsi="Verdana" w:cs="Arial"/>
          <w:b/>
          <w:bCs/>
          <w:color w:val="000000" w:themeColor="text1"/>
          <w:sz w:val="22"/>
          <w:szCs w:val="22"/>
        </w:rPr>
        <w:t>Certificados en línea</w:t>
      </w:r>
      <w:r w:rsidRPr="00B463E0">
        <w:rPr>
          <w:rFonts w:ascii="Verdana" w:hAnsi="Verdana" w:cs="Arial"/>
          <w:color w:val="000000" w:themeColor="text1"/>
          <w:sz w:val="22"/>
          <w:szCs w:val="22"/>
        </w:rPr>
        <w:t>: Permite generar certificados como estado de inspección, representación legal de cámaras de comercio, etc.</w:t>
      </w:r>
    </w:p>
    <w:p w14:paraId="1DC899B9" w14:textId="77777777" w:rsidR="002907AE" w:rsidRPr="00B463E0" w:rsidRDefault="002907AE" w:rsidP="002907AE">
      <w:pPr>
        <w:jc w:val="both"/>
        <w:rPr>
          <w:rFonts w:ascii="Verdana" w:hAnsi="Verdana" w:cs="Arial"/>
          <w:color w:val="000000" w:themeColor="text1"/>
          <w:sz w:val="22"/>
          <w:szCs w:val="22"/>
        </w:rPr>
      </w:pPr>
    </w:p>
    <w:p w14:paraId="0EB0269A" w14:textId="6C1BE301" w:rsidR="003B2049" w:rsidRPr="00B463E0" w:rsidRDefault="003B2049" w:rsidP="002907AE">
      <w:pPr>
        <w:jc w:val="both"/>
        <w:rPr>
          <w:rFonts w:ascii="Verdana" w:hAnsi="Verdana" w:cs="Arial"/>
          <w:color w:val="000000" w:themeColor="text1"/>
          <w:sz w:val="22"/>
          <w:szCs w:val="22"/>
        </w:rPr>
      </w:pPr>
      <w:r w:rsidRPr="00B463E0">
        <w:rPr>
          <w:rFonts w:ascii="Verdana" w:hAnsi="Verdana" w:cs="Arial"/>
          <w:b/>
          <w:bCs/>
          <w:color w:val="000000" w:themeColor="text1"/>
          <w:sz w:val="22"/>
          <w:szCs w:val="22"/>
        </w:rPr>
        <w:t>Registro de usuario</w:t>
      </w:r>
      <w:r w:rsidRPr="00B463E0">
        <w:rPr>
          <w:rFonts w:ascii="Verdana" w:hAnsi="Verdana" w:cs="Arial"/>
          <w:color w:val="000000" w:themeColor="text1"/>
          <w:sz w:val="22"/>
          <w:szCs w:val="22"/>
        </w:rPr>
        <w:t>: Portal para que la ciudadanía cree usuario y contraseña que habilite el uso de aplicativos como SIRFIN, STORM o SIIS</w:t>
      </w:r>
    </w:p>
    <w:p w14:paraId="6F4DB852" w14:textId="77777777" w:rsidR="00CE5702" w:rsidRPr="00B463E0" w:rsidRDefault="00CE5702" w:rsidP="003B2049">
      <w:pPr>
        <w:pStyle w:val="Ttulo2"/>
        <w:rPr>
          <w:rFonts w:ascii="Verdana" w:hAnsi="Verdana" w:cs="Arial"/>
          <w:color w:val="000000" w:themeColor="text1"/>
          <w:sz w:val="22"/>
          <w:szCs w:val="22"/>
        </w:rPr>
      </w:pPr>
      <w:bookmarkStart w:id="24" w:name="_Toc213403804"/>
    </w:p>
    <w:bookmarkEnd w:id="24"/>
    <w:p w14:paraId="0849D142" w14:textId="2549BE63" w:rsidR="003B2049" w:rsidRPr="00B463E0" w:rsidRDefault="003B2049" w:rsidP="002907AE">
      <w:pPr>
        <w:spacing w:after="200"/>
        <w:contextualSpacing/>
        <w:jc w:val="both"/>
        <w:rPr>
          <w:rFonts w:ascii="Verdana" w:hAnsi="Verdana" w:cs="Arial"/>
          <w:b/>
          <w:bCs/>
          <w:color w:val="000000" w:themeColor="text1"/>
          <w:sz w:val="22"/>
          <w:szCs w:val="22"/>
        </w:rPr>
      </w:pPr>
      <w:r w:rsidRPr="00B463E0">
        <w:rPr>
          <w:rFonts w:ascii="Verdana" w:hAnsi="Verdana" w:cs="Arial"/>
          <w:b/>
          <w:bCs/>
          <w:color w:val="000000" w:themeColor="text1"/>
          <w:sz w:val="22"/>
          <w:szCs w:val="22"/>
        </w:rPr>
        <w:t>Baranda Virtual</w:t>
      </w:r>
      <w:r w:rsidR="002907AE" w:rsidRPr="00B463E0">
        <w:rPr>
          <w:rFonts w:ascii="Verdana" w:hAnsi="Verdana" w:cs="Arial"/>
          <w:b/>
          <w:bCs/>
          <w:color w:val="000000" w:themeColor="text1"/>
          <w:sz w:val="22"/>
          <w:szCs w:val="22"/>
        </w:rPr>
        <w:t xml:space="preserve">: </w:t>
      </w:r>
      <w:r w:rsidRPr="00B463E0">
        <w:rPr>
          <w:rFonts w:ascii="Verdana" w:hAnsi="Verdana" w:cs="Arial"/>
          <w:color w:val="000000" w:themeColor="text1"/>
          <w:sz w:val="22"/>
          <w:szCs w:val="22"/>
        </w:rPr>
        <w:t>Portal de seguimiento de procesos mercantiles e insolvencia (estados, traslados, radicaciones). Consulta pública mediante NIT o número de expediente. No permite descarga directa de autos.</w:t>
      </w:r>
    </w:p>
    <w:p w14:paraId="62CA18A1" w14:textId="77777777" w:rsidR="00986D58" w:rsidRPr="002907AE" w:rsidRDefault="00986D58" w:rsidP="00E87A70">
      <w:pPr>
        <w:jc w:val="both"/>
        <w:rPr>
          <w:rFonts w:ascii="Verdana" w:hAnsi="Verdana" w:cs="Arial"/>
          <w:color w:val="000000" w:themeColor="text1"/>
          <w:sz w:val="22"/>
          <w:szCs w:val="22"/>
        </w:rPr>
      </w:pPr>
    </w:p>
    <w:p w14:paraId="55320A01" w14:textId="77777777" w:rsidR="00986D58" w:rsidRPr="002907AE" w:rsidRDefault="00986D58" w:rsidP="00E87A70">
      <w:pPr>
        <w:jc w:val="both"/>
        <w:rPr>
          <w:rFonts w:ascii="Verdana" w:hAnsi="Verdana" w:cs="Arial"/>
          <w:color w:val="000000" w:themeColor="text1"/>
          <w:sz w:val="22"/>
          <w:szCs w:val="22"/>
        </w:rPr>
      </w:pPr>
    </w:p>
    <w:p w14:paraId="3C303120" w14:textId="617C5F8C" w:rsidR="003B2049" w:rsidRPr="002907AE" w:rsidRDefault="003B2049" w:rsidP="002907AE">
      <w:pPr>
        <w:spacing w:after="200"/>
        <w:contextualSpacing/>
        <w:jc w:val="both"/>
        <w:rPr>
          <w:rFonts w:ascii="Verdana" w:hAnsi="Verdana" w:cs="Arial"/>
          <w:b/>
          <w:bCs/>
          <w:color w:val="000000" w:themeColor="text1"/>
          <w:sz w:val="22"/>
          <w:szCs w:val="22"/>
        </w:rPr>
      </w:pPr>
      <w:r w:rsidRPr="0068779B">
        <w:rPr>
          <w:rFonts w:ascii="Verdana" w:hAnsi="Verdana" w:cs="Arial"/>
          <w:b/>
          <w:bCs/>
          <w:color w:val="000000" w:themeColor="text1"/>
          <w:sz w:val="22"/>
          <w:szCs w:val="22"/>
        </w:rPr>
        <w:t>Expediente Digital</w:t>
      </w:r>
      <w:r w:rsidR="0068779B">
        <w:rPr>
          <w:rFonts w:ascii="Verdana" w:hAnsi="Verdana" w:cs="Arial"/>
          <w:b/>
          <w:bCs/>
          <w:color w:val="000000" w:themeColor="text1"/>
          <w:sz w:val="22"/>
          <w:szCs w:val="22"/>
        </w:rPr>
        <w:t xml:space="preserve">: </w:t>
      </w:r>
      <w:r w:rsidRPr="002907AE">
        <w:rPr>
          <w:rFonts w:ascii="Verdana" w:hAnsi="Verdana" w:cs="Arial"/>
          <w:color w:val="000000" w:themeColor="text1"/>
          <w:sz w:val="22"/>
          <w:szCs w:val="22"/>
        </w:rPr>
        <w:t xml:space="preserve">Aplicativo para consultar documentos integrales de expedientes iniciados después de abril de 2017 en procesos especiales o comerciales (acceso restringido mediante usuario del apoderado) </w:t>
      </w:r>
    </w:p>
    <w:p w14:paraId="21AED547" w14:textId="04344958" w:rsidR="0068779B" w:rsidRDefault="00D27D58" w:rsidP="0068779B">
      <w:pPr>
        <w:pStyle w:val="Ttulo2"/>
        <w:rPr>
          <w:color w:val="000000" w:themeColor="text1"/>
        </w:rPr>
      </w:pPr>
      <w:r w:rsidRPr="002907AE">
        <w:rPr>
          <w:rFonts w:ascii="Verdana" w:eastAsia="Times New Roman" w:hAnsi="Verdana" w:cs="Arial"/>
          <w:b/>
          <w:bCs/>
          <w:color w:val="000000" w:themeColor="text1"/>
          <w:sz w:val="22"/>
          <w:szCs w:val="22"/>
        </w:rPr>
        <w:t>Servicios</w:t>
      </w:r>
      <w:r w:rsidR="00972218" w:rsidRPr="002907AE">
        <w:rPr>
          <w:rFonts w:ascii="Verdana" w:eastAsia="Times New Roman" w:hAnsi="Verdana" w:cs="Arial"/>
          <w:b/>
          <w:bCs/>
          <w:color w:val="000000" w:themeColor="text1"/>
          <w:sz w:val="22"/>
          <w:szCs w:val="22"/>
        </w:rPr>
        <w:t xml:space="preserve"> Digitales </w:t>
      </w:r>
      <w:r w:rsidRPr="002907AE">
        <w:rPr>
          <w:rFonts w:ascii="Verdana" w:eastAsia="Times New Roman" w:hAnsi="Verdana" w:cs="Arial"/>
          <w:b/>
          <w:bCs/>
          <w:color w:val="000000" w:themeColor="text1"/>
          <w:sz w:val="22"/>
          <w:szCs w:val="22"/>
        </w:rPr>
        <w:t xml:space="preserve"> </w:t>
      </w:r>
      <w:r w:rsidR="003B2049" w:rsidRPr="002907AE">
        <w:rPr>
          <w:rFonts w:ascii="Verdana" w:eastAsia="Times New Roman" w:hAnsi="Verdana" w:cs="Arial"/>
          <w:b/>
          <w:bCs/>
          <w:color w:val="000000" w:themeColor="text1"/>
          <w:sz w:val="22"/>
          <w:szCs w:val="22"/>
        </w:rPr>
        <w:t xml:space="preserve"> / Ventanilla única</w:t>
      </w:r>
      <w:r w:rsidR="00972218" w:rsidRPr="002907AE">
        <w:rPr>
          <w:rFonts w:ascii="Verdana" w:eastAsia="Times New Roman" w:hAnsi="Verdana" w:cs="Arial"/>
          <w:b/>
          <w:bCs/>
          <w:color w:val="000000" w:themeColor="text1"/>
          <w:sz w:val="22"/>
          <w:szCs w:val="22"/>
        </w:rPr>
        <w:t xml:space="preserve"> / Trámites de la entidad</w:t>
      </w:r>
      <w:r w:rsidR="0068779B">
        <w:rPr>
          <w:rFonts w:ascii="Verdana" w:eastAsia="Times New Roman" w:hAnsi="Verdana" w:cs="Arial"/>
          <w:b/>
          <w:bCs/>
          <w:color w:val="000000" w:themeColor="text1"/>
          <w:sz w:val="22"/>
          <w:szCs w:val="22"/>
        </w:rPr>
        <w:t xml:space="preserve">: </w:t>
      </w:r>
      <w:r w:rsidR="003B2049" w:rsidRPr="0068779B">
        <w:rPr>
          <w:color w:val="000000" w:themeColor="text1"/>
        </w:rPr>
        <w:t>Permite radicar trámites administrativos o jurisdiccionales, hacer seguimiento y verificar los estados en línea</w:t>
      </w:r>
      <w:r w:rsidR="0068779B">
        <w:rPr>
          <w:color w:val="000000" w:themeColor="text1"/>
        </w:rPr>
        <w:t>.</w:t>
      </w:r>
    </w:p>
    <w:p w14:paraId="11AB4D38" w14:textId="77777777" w:rsidR="0068779B" w:rsidRPr="0068779B" w:rsidRDefault="0068779B" w:rsidP="0068779B"/>
    <w:p w14:paraId="311AF08D" w14:textId="2ECAD88E" w:rsidR="003B2049" w:rsidRDefault="003B2049" w:rsidP="0068779B">
      <w:pPr>
        <w:spacing w:after="200"/>
        <w:contextualSpacing/>
        <w:jc w:val="both"/>
        <w:rPr>
          <w:rFonts w:ascii="Verdana" w:hAnsi="Verdana" w:cs="Arial"/>
          <w:color w:val="000000" w:themeColor="text1"/>
        </w:rPr>
      </w:pPr>
      <w:bookmarkStart w:id="25" w:name="_Toc213403806"/>
      <w:r w:rsidRPr="0068779B">
        <w:rPr>
          <w:rFonts w:ascii="Verdana" w:hAnsi="Verdana" w:cs="Arial"/>
          <w:b/>
          <w:bCs/>
          <w:color w:val="000000" w:themeColor="text1"/>
          <w:sz w:val="22"/>
          <w:szCs w:val="22"/>
        </w:rPr>
        <w:t>Módulo de PQRS (Peticiones, Quejas, Reclamos, Sugerencias</w:t>
      </w:r>
      <w:bookmarkEnd w:id="25"/>
      <w:r w:rsidR="0068779B" w:rsidRPr="0068779B">
        <w:rPr>
          <w:rFonts w:ascii="Verdana" w:hAnsi="Verdana" w:cs="Arial"/>
          <w:b/>
          <w:bCs/>
          <w:color w:val="000000" w:themeColor="text1"/>
          <w:sz w:val="22"/>
          <w:szCs w:val="22"/>
        </w:rPr>
        <w:t>):</w:t>
      </w:r>
      <w:r w:rsidR="0068779B" w:rsidRPr="0068779B">
        <w:rPr>
          <w:rFonts w:ascii="Verdana" w:hAnsi="Verdana" w:cs="Arial"/>
          <w:color w:val="000000" w:themeColor="text1"/>
          <w:sz w:val="22"/>
          <w:szCs w:val="22"/>
        </w:rPr>
        <w:t xml:space="preserve"> Servicio</w:t>
      </w:r>
      <w:r w:rsidRPr="0068779B">
        <w:rPr>
          <w:rFonts w:ascii="Verdana" w:hAnsi="Verdana" w:cs="Arial"/>
          <w:color w:val="000000" w:themeColor="text1"/>
          <w:sz w:val="22"/>
          <w:szCs w:val="22"/>
        </w:rPr>
        <w:t xml:space="preserve"> para radicar y hacer seguimiento a peticiones, quejas o solicitudes de información; integrado al sistema gestor documental interno</w:t>
      </w:r>
      <w:r w:rsidRPr="0068779B">
        <w:rPr>
          <w:rFonts w:ascii="Verdana" w:hAnsi="Verdana" w:cs="Arial"/>
          <w:color w:val="000000" w:themeColor="text1"/>
        </w:rPr>
        <w:t>.</w:t>
      </w:r>
    </w:p>
    <w:p w14:paraId="06DBBD47" w14:textId="77777777" w:rsidR="003D7297" w:rsidRPr="0068779B" w:rsidRDefault="003D7297" w:rsidP="0068779B">
      <w:pPr>
        <w:spacing w:after="200"/>
        <w:contextualSpacing/>
        <w:jc w:val="both"/>
        <w:rPr>
          <w:rFonts w:ascii="Verdana" w:hAnsi="Verdana" w:cs="Arial"/>
          <w:b/>
          <w:bCs/>
          <w:color w:val="000000" w:themeColor="text1"/>
          <w:sz w:val="22"/>
          <w:szCs w:val="22"/>
        </w:rPr>
      </w:pPr>
    </w:p>
    <w:p w14:paraId="05E4CB95" w14:textId="726AC8D5" w:rsidR="003B2049" w:rsidRPr="00E87A70" w:rsidRDefault="003B2049" w:rsidP="00E87A70">
      <w:pPr>
        <w:jc w:val="both"/>
        <w:rPr>
          <w:rFonts w:ascii="Verdana" w:hAnsi="Verdana" w:cs="Arial"/>
          <w:sz w:val="22"/>
          <w:szCs w:val="22"/>
        </w:rPr>
      </w:pPr>
      <w:bookmarkStart w:id="26" w:name="_Toc213403807"/>
      <w:r w:rsidRPr="003D7297">
        <w:rPr>
          <w:rFonts w:ascii="Verdana" w:hAnsi="Verdana" w:cs="Arial"/>
          <w:b/>
          <w:bCs/>
          <w:color w:val="000000" w:themeColor="text1"/>
          <w:sz w:val="22"/>
          <w:szCs w:val="22"/>
        </w:rPr>
        <w:lastRenderedPageBreak/>
        <w:t>Aplicación móvil</w:t>
      </w:r>
      <w:bookmarkEnd w:id="26"/>
      <w:r w:rsidR="00A13A3F" w:rsidRPr="003D7297">
        <w:rPr>
          <w:rFonts w:ascii="Verdana" w:hAnsi="Verdana" w:cs="Arial"/>
          <w:b/>
          <w:bCs/>
          <w:color w:val="000000" w:themeColor="text1"/>
          <w:sz w:val="22"/>
          <w:szCs w:val="22"/>
        </w:rPr>
        <w:t>:</w:t>
      </w:r>
      <w:r w:rsidR="00A13A3F" w:rsidRPr="00A13A3F">
        <w:rPr>
          <w:rFonts w:ascii="Verdana" w:hAnsi="Verdana" w:cs="Arial"/>
          <w:color w:val="000000" w:themeColor="text1"/>
          <w:sz w:val="22"/>
          <w:szCs w:val="22"/>
        </w:rPr>
        <w:t xml:space="preserve"> </w:t>
      </w:r>
      <w:r w:rsidRPr="00A13A3F">
        <w:rPr>
          <w:rFonts w:ascii="Verdana" w:hAnsi="Verdana" w:cs="Arial"/>
          <w:color w:val="000000" w:themeColor="text1"/>
          <w:sz w:val="22"/>
          <w:szCs w:val="22"/>
        </w:rPr>
        <w:t>App "Superintendencia de Sociedades" (Android / iOS)</w:t>
      </w:r>
      <w:r w:rsidR="00D27D58" w:rsidRPr="00A13A3F">
        <w:rPr>
          <w:rFonts w:ascii="Verdana" w:hAnsi="Verdana" w:cs="Arial"/>
          <w:color w:val="000000" w:themeColor="text1"/>
          <w:sz w:val="22"/>
          <w:szCs w:val="22"/>
        </w:rPr>
        <w:t xml:space="preserve"> SignAPP Supersociedades</w:t>
      </w:r>
      <w:r w:rsidR="00A13A3F">
        <w:rPr>
          <w:rFonts w:ascii="Verdana" w:hAnsi="Verdana" w:cs="Arial"/>
          <w:color w:val="000000" w:themeColor="text1"/>
          <w:sz w:val="22"/>
          <w:szCs w:val="22"/>
        </w:rPr>
        <w:t xml:space="preserve">. </w:t>
      </w:r>
      <w:r w:rsidRPr="00E87A70">
        <w:rPr>
          <w:rFonts w:ascii="Verdana" w:hAnsi="Verdana" w:cs="Arial"/>
          <w:sz w:val="22"/>
          <w:szCs w:val="22"/>
        </w:rPr>
        <w:t xml:space="preserve">Aplicación móvil gratuita disponible desde 2017. Permite consultar estado de procesos, presentar PQRS y obtener información básica de sociedades </w:t>
      </w:r>
      <w:r w:rsidR="00920833" w:rsidRPr="00E87A70">
        <w:rPr>
          <w:rFonts w:ascii="Verdana" w:hAnsi="Verdana" w:cs="Arial"/>
          <w:sz w:val="22"/>
          <w:szCs w:val="22"/>
        </w:rPr>
        <w:t>vigiladas.</w:t>
      </w:r>
    </w:p>
    <w:p w14:paraId="3562BCAD" w14:textId="77777777" w:rsidR="003B2049" w:rsidRPr="00E87A70" w:rsidRDefault="003B2049" w:rsidP="00E87A70">
      <w:pPr>
        <w:jc w:val="both"/>
        <w:rPr>
          <w:rFonts w:ascii="Verdana" w:hAnsi="Verdana" w:cs="Arial"/>
          <w:sz w:val="22"/>
          <w:szCs w:val="22"/>
        </w:rPr>
      </w:pPr>
    </w:p>
    <w:p w14:paraId="07C9FD95" w14:textId="68E85A9A" w:rsidR="00005EFD" w:rsidRDefault="003B2049" w:rsidP="003D7297">
      <w:pPr>
        <w:jc w:val="both"/>
        <w:sectPr w:rsidR="00005EFD" w:rsidSect="00005EFD">
          <w:headerReference w:type="default" r:id="rId16"/>
          <w:footerReference w:type="default" r:id="rId17"/>
          <w:pgSz w:w="12242" w:h="15842" w:code="119"/>
          <w:pgMar w:top="1418" w:right="1185" w:bottom="851" w:left="1418" w:header="709" w:footer="709" w:gutter="0"/>
          <w:cols w:space="708"/>
          <w:docGrid w:linePitch="360"/>
        </w:sectPr>
      </w:pPr>
      <w:bookmarkStart w:id="27" w:name="_Toc213403808"/>
      <w:r w:rsidRPr="0068779B">
        <w:rPr>
          <w:rFonts w:ascii="Verdana" w:hAnsi="Verdana"/>
          <w:b/>
          <w:bCs/>
          <w:color w:val="000000" w:themeColor="text1"/>
          <w:sz w:val="22"/>
          <w:szCs w:val="22"/>
        </w:rPr>
        <w:t>Portales de información jurídica y formación</w:t>
      </w:r>
      <w:bookmarkEnd w:id="27"/>
      <w:r w:rsidR="0068779B" w:rsidRPr="0068779B">
        <w:rPr>
          <w:rFonts w:ascii="Verdana" w:hAnsi="Verdana"/>
          <w:b/>
          <w:bCs/>
          <w:color w:val="000000" w:themeColor="text1"/>
          <w:sz w:val="22"/>
          <w:szCs w:val="22"/>
        </w:rPr>
        <w:t xml:space="preserve"> </w:t>
      </w:r>
      <w:r w:rsidRPr="0068779B">
        <w:rPr>
          <w:rFonts w:ascii="Verdana" w:hAnsi="Verdana" w:cs="Arial"/>
          <w:b/>
          <w:bCs/>
          <w:color w:val="000000" w:themeColor="text1"/>
          <w:sz w:val="22"/>
          <w:szCs w:val="22"/>
        </w:rPr>
        <w:t xml:space="preserve">SuperTips (Aula virtual y Doctrina / </w:t>
      </w:r>
      <w:r w:rsidR="0068779B" w:rsidRPr="0068779B">
        <w:rPr>
          <w:rFonts w:ascii="Verdana" w:hAnsi="Verdana" w:cs="Arial"/>
          <w:b/>
          <w:bCs/>
          <w:color w:val="000000" w:themeColor="text1"/>
          <w:sz w:val="22"/>
          <w:szCs w:val="22"/>
        </w:rPr>
        <w:t>Jurisprudencia)</w:t>
      </w:r>
      <w:r w:rsidR="0068779B" w:rsidRPr="0068779B">
        <w:rPr>
          <w:rFonts w:ascii="Verdana" w:hAnsi="Verdana" w:cs="Arial"/>
          <w:color w:val="000000" w:themeColor="text1"/>
          <w:sz w:val="22"/>
          <w:szCs w:val="22"/>
        </w:rPr>
        <w:t xml:space="preserve"> Sección</w:t>
      </w:r>
      <w:r w:rsidRPr="0068779B">
        <w:rPr>
          <w:rFonts w:ascii="Verdana" w:hAnsi="Verdana" w:cs="Arial"/>
          <w:color w:val="000000" w:themeColor="text1"/>
          <w:sz w:val="22"/>
          <w:szCs w:val="22"/>
        </w:rPr>
        <w:t xml:space="preserve"> con cursos gratuitos sobre soborno transnacional, lavado de activos, sociedades BIC, etc.</w:t>
      </w:r>
      <w:bookmarkStart w:id="28" w:name="_Toc213403810"/>
    </w:p>
    <w:p w14:paraId="204360F2" w14:textId="1245EB6D" w:rsidR="003B2049" w:rsidRDefault="0096454C" w:rsidP="000A5B3E">
      <w:pPr>
        <w:jc w:val="both"/>
        <w:rPr>
          <w:rFonts w:ascii="Verdana" w:hAnsi="Verdana" w:cs="Arial"/>
          <w:b/>
          <w:bCs/>
          <w:sz w:val="22"/>
          <w:szCs w:val="22"/>
        </w:rPr>
      </w:pPr>
      <w:r>
        <w:rPr>
          <w:rFonts w:ascii="Verdana" w:hAnsi="Verdana" w:cs="Arial"/>
          <w:b/>
          <w:bCs/>
          <w:sz w:val="22"/>
          <w:szCs w:val="22"/>
        </w:rPr>
        <w:lastRenderedPageBreak/>
        <w:t>5.</w:t>
      </w:r>
      <w:r w:rsidR="00446BE1">
        <w:rPr>
          <w:rFonts w:ascii="Verdana" w:hAnsi="Verdana" w:cs="Arial"/>
          <w:b/>
          <w:bCs/>
          <w:sz w:val="22"/>
          <w:szCs w:val="22"/>
        </w:rPr>
        <w:t>8.4</w:t>
      </w:r>
      <w:r>
        <w:rPr>
          <w:rFonts w:ascii="Verdana" w:hAnsi="Verdana" w:cs="Arial"/>
          <w:b/>
          <w:bCs/>
          <w:sz w:val="22"/>
          <w:szCs w:val="22"/>
        </w:rPr>
        <w:t xml:space="preserve"> </w:t>
      </w:r>
      <w:bookmarkEnd w:id="28"/>
      <w:r w:rsidR="003B2049" w:rsidRPr="000A5B3E">
        <w:rPr>
          <w:rFonts w:ascii="Verdana" w:hAnsi="Verdana" w:cs="Arial"/>
          <w:b/>
          <w:bCs/>
          <w:sz w:val="22"/>
          <w:szCs w:val="22"/>
        </w:rPr>
        <w:t xml:space="preserve">Indicadores de Seguimiento </w:t>
      </w:r>
    </w:p>
    <w:tbl>
      <w:tblPr>
        <w:tblW w:w="14106" w:type="dxa"/>
        <w:tblCellMar>
          <w:left w:w="70" w:type="dxa"/>
          <w:right w:w="70" w:type="dxa"/>
        </w:tblCellMar>
        <w:tblLook w:val="04A0" w:firstRow="1" w:lastRow="0" w:firstColumn="1" w:lastColumn="0" w:noHBand="0" w:noVBand="1"/>
      </w:tblPr>
      <w:tblGrid>
        <w:gridCol w:w="4600"/>
        <w:gridCol w:w="4600"/>
        <w:gridCol w:w="1847"/>
        <w:gridCol w:w="1675"/>
        <w:gridCol w:w="1619"/>
      </w:tblGrid>
      <w:tr w:rsidR="00005EFD" w:rsidRPr="00005EFD" w14:paraId="7B87837C" w14:textId="77777777" w:rsidTr="00005EFD">
        <w:trPr>
          <w:trHeight w:val="295"/>
        </w:trPr>
        <w:tc>
          <w:tcPr>
            <w:tcW w:w="4600" w:type="dxa"/>
            <w:tcBorders>
              <w:top w:val="single" w:sz="8" w:space="0" w:color="auto"/>
              <w:left w:val="single" w:sz="8" w:space="0" w:color="auto"/>
              <w:bottom w:val="single" w:sz="8" w:space="0" w:color="auto"/>
              <w:right w:val="nil"/>
            </w:tcBorders>
            <w:shd w:val="clear" w:color="000000" w:fill="962D46"/>
            <w:noWrap/>
            <w:vAlign w:val="bottom"/>
            <w:hideMark/>
          </w:tcPr>
          <w:p w14:paraId="1A3F969D" w14:textId="69AFA2D5" w:rsidR="00005EFD" w:rsidRPr="00005EFD" w:rsidRDefault="00C74065">
            <w:pPr>
              <w:jc w:val="center"/>
              <w:rPr>
                <w:rFonts w:ascii="Verdana" w:hAnsi="Verdana"/>
                <w:color w:val="FFFFFF" w:themeColor="background1"/>
                <w:sz w:val="20"/>
                <w:szCs w:val="20"/>
                <w:lang w:val="es-CO" w:eastAsia="es-CO"/>
              </w:rPr>
            </w:pPr>
            <w:r>
              <w:rPr>
                <w:rFonts w:ascii="Verdana" w:hAnsi="Verdana"/>
                <w:color w:val="FFFFFF" w:themeColor="background1"/>
                <w:sz w:val="20"/>
                <w:szCs w:val="20"/>
                <w:lang w:val="es-CO" w:eastAsia="es-CO"/>
              </w:rPr>
              <w:t>TIPO DE INDICADOR</w:t>
            </w:r>
          </w:p>
        </w:tc>
        <w:tc>
          <w:tcPr>
            <w:tcW w:w="4600" w:type="dxa"/>
            <w:tcBorders>
              <w:top w:val="single" w:sz="8" w:space="0" w:color="auto"/>
              <w:left w:val="single" w:sz="8" w:space="0" w:color="auto"/>
              <w:bottom w:val="single" w:sz="8" w:space="0" w:color="auto"/>
              <w:right w:val="single" w:sz="8" w:space="0" w:color="auto"/>
            </w:tcBorders>
            <w:shd w:val="clear" w:color="000000" w:fill="962D46"/>
            <w:noWrap/>
            <w:vAlign w:val="bottom"/>
            <w:hideMark/>
          </w:tcPr>
          <w:p w14:paraId="1481D37D" w14:textId="77777777" w:rsidR="00005EFD" w:rsidRPr="00005EFD" w:rsidRDefault="00005EFD">
            <w:pPr>
              <w:jc w:val="center"/>
              <w:rPr>
                <w:rFonts w:ascii="Verdana" w:hAnsi="Verdana"/>
                <w:color w:val="FFFFFF" w:themeColor="background1"/>
                <w:sz w:val="20"/>
                <w:szCs w:val="20"/>
              </w:rPr>
            </w:pPr>
            <w:r w:rsidRPr="00005EFD">
              <w:rPr>
                <w:rFonts w:ascii="Verdana" w:hAnsi="Verdana"/>
                <w:color w:val="FFFFFF" w:themeColor="background1"/>
                <w:sz w:val="20"/>
                <w:szCs w:val="20"/>
              </w:rPr>
              <w:t>INDICADOR/ OBJETIVO</w:t>
            </w:r>
          </w:p>
        </w:tc>
        <w:tc>
          <w:tcPr>
            <w:tcW w:w="1847" w:type="dxa"/>
            <w:tcBorders>
              <w:top w:val="single" w:sz="8" w:space="0" w:color="auto"/>
              <w:left w:val="nil"/>
              <w:bottom w:val="single" w:sz="8" w:space="0" w:color="auto"/>
              <w:right w:val="single" w:sz="8" w:space="0" w:color="auto"/>
            </w:tcBorders>
            <w:shd w:val="clear" w:color="000000" w:fill="962D46"/>
            <w:noWrap/>
            <w:vAlign w:val="bottom"/>
            <w:hideMark/>
          </w:tcPr>
          <w:p w14:paraId="539B1CB4" w14:textId="77777777" w:rsidR="00005EFD" w:rsidRPr="00005EFD" w:rsidRDefault="00005EFD">
            <w:pPr>
              <w:jc w:val="center"/>
              <w:rPr>
                <w:rFonts w:ascii="Verdana" w:hAnsi="Verdana"/>
                <w:color w:val="FFFFFF" w:themeColor="background1"/>
                <w:sz w:val="20"/>
                <w:szCs w:val="20"/>
              </w:rPr>
            </w:pPr>
            <w:r w:rsidRPr="00005EFD">
              <w:rPr>
                <w:rFonts w:ascii="Verdana" w:hAnsi="Verdana"/>
                <w:color w:val="FFFFFF" w:themeColor="background1"/>
                <w:sz w:val="20"/>
                <w:szCs w:val="20"/>
              </w:rPr>
              <w:t>FÓRMULA</w:t>
            </w:r>
          </w:p>
        </w:tc>
        <w:tc>
          <w:tcPr>
            <w:tcW w:w="1440" w:type="dxa"/>
            <w:tcBorders>
              <w:top w:val="single" w:sz="8" w:space="0" w:color="auto"/>
              <w:left w:val="nil"/>
              <w:bottom w:val="single" w:sz="8" w:space="0" w:color="auto"/>
              <w:right w:val="single" w:sz="8" w:space="0" w:color="auto"/>
            </w:tcBorders>
            <w:shd w:val="clear" w:color="000000" w:fill="962D46"/>
            <w:noWrap/>
            <w:vAlign w:val="bottom"/>
            <w:hideMark/>
          </w:tcPr>
          <w:p w14:paraId="00A90B5F" w14:textId="77777777" w:rsidR="00005EFD" w:rsidRPr="00005EFD" w:rsidRDefault="00005EFD">
            <w:pPr>
              <w:jc w:val="center"/>
              <w:rPr>
                <w:rFonts w:ascii="Verdana" w:hAnsi="Verdana"/>
                <w:color w:val="FFFFFF" w:themeColor="background1"/>
                <w:sz w:val="20"/>
                <w:szCs w:val="20"/>
              </w:rPr>
            </w:pPr>
            <w:r w:rsidRPr="00005EFD">
              <w:rPr>
                <w:rFonts w:ascii="Verdana" w:hAnsi="Verdana"/>
                <w:color w:val="FFFFFF" w:themeColor="background1"/>
                <w:sz w:val="20"/>
                <w:szCs w:val="20"/>
              </w:rPr>
              <w:t>PERIODICIDAD</w:t>
            </w:r>
          </w:p>
        </w:tc>
        <w:tc>
          <w:tcPr>
            <w:tcW w:w="1619" w:type="dxa"/>
            <w:tcBorders>
              <w:top w:val="single" w:sz="8" w:space="0" w:color="auto"/>
              <w:left w:val="nil"/>
              <w:bottom w:val="single" w:sz="8" w:space="0" w:color="auto"/>
              <w:right w:val="single" w:sz="8" w:space="0" w:color="auto"/>
            </w:tcBorders>
            <w:shd w:val="clear" w:color="000000" w:fill="962D46"/>
            <w:noWrap/>
            <w:vAlign w:val="bottom"/>
            <w:hideMark/>
          </w:tcPr>
          <w:p w14:paraId="7025F727" w14:textId="77777777" w:rsidR="00005EFD" w:rsidRPr="00005EFD" w:rsidRDefault="00005EFD">
            <w:pPr>
              <w:jc w:val="center"/>
              <w:rPr>
                <w:rFonts w:ascii="Verdana" w:hAnsi="Verdana"/>
                <w:color w:val="FFFFFF" w:themeColor="background1"/>
                <w:sz w:val="20"/>
                <w:szCs w:val="20"/>
              </w:rPr>
            </w:pPr>
            <w:r w:rsidRPr="00005EFD">
              <w:rPr>
                <w:rFonts w:ascii="Verdana" w:hAnsi="Verdana"/>
                <w:color w:val="FFFFFF" w:themeColor="background1"/>
                <w:sz w:val="20"/>
                <w:szCs w:val="20"/>
              </w:rPr>
              <w:t>RESPONSABLE</w:t>
            </w:r>
          </w:p>
        </w:tc>
      </w:tr>
      <w:tr w:rsidR="00005EFD" w:rsidRPr="00005EFD" w14:paraId="1784D5CC" w14:textId="77777777" w:rsidTr="00005EFD">
        <w:trPr>
          <w:trHeight w:val="1592"/>
        </w:trPr>
        <w:tc>
          <w:tcPr>
            <w:tcW w:w="4600" w:type="dxa"/>
            <w:tcBorders>
              <w:top w:val="nil"/>
              <w:left w:val="single" w:sz="4" w:space="0" w:color="auto"/>
              <w:bottom w:val="single" w:sz="4" w:space="0" w:color="auto"/>
              <w:right w:val="single" w:sz="4" w:space="0" w:color="auto"/>
            </w:tcBorders>
            <w:hideMark/>
          </w:tcPr>
          <w:p w14:paraId="18CC1C38" w14:textId="77777777" w:rsidR="00005EFD" w:rsidRPr="00005EFD" w:rsidRDefault="00005EFD">
            <w:pPr>
              <w:jc w:val="center"/>
              <w:rPr>
                <w:rFonts w:ascii="Verdana" w:hAnsi="Verdana"/>
                <w:color w:val="000000" w:themeColor="text1"/>
                <w:sz w:val="16"/>
                <w:szCs w:val="16"/>
              </w:rPr>
            </w:pPr>
            <w:r w:rsidRPr="00005EFD">
              <w:rPr>
                <w:rFonts w:ascii="Verdana" w:hAnsi="Verdana"/>
                <w:color w:val="000000" w:themeColor="text1"/>
                <w:sz w:val="16"/>
                <w:szCs w:val="16"/>
              </w:rPr>
              <w:t>Calidad: Estos indicadores buscan medir aspectos relacionados con la capacidad de la entidad para atender a las necesidades y demandas de sus usuarios bajo preceptos de rapidez e inmediatez a la hora de prestar los bienes o servicios que ofrece.</w:t>
            </w:r>
          </w:p>
        </w:tc>
        <w:tc>
          <w:tcPr>
            <w:tcW w:w="4600" w:type="dxa"/>
            <w:tcBorders>
              <w:top w:val="nil"/>
              <w:left w:val="nil"/>
              <w:bottom w:val="single" w:sz="4" w:space="0" w:color="auto"/>
              <w:right w:val="single" w:sz="4" w:space="0" w:color="auto"/>
            </w:tcBorders>
            <w:hideMark/>
          </w:tcPr>
          <w:p w14:paraId="696340AC" w14:textId="77777777" w:rsidR="00005EFD" w:rsidRPr="00005EFD" w:rsidRDefault="00005EFD">
            <w:pPr>
              <w:jc w:val="center"/>
              <w:rPr>
                <w:rFonts w:ascii="Verdana" w:hAnsi="Verdana"/>
                <w:color w:val="000000" w:themeColor="text1"/>
                <w:sz w:val="16"/>
                <w:szCs w:val="16"/>
              </w:rPr>
            </w:pPr>
            <w:r w:rsidRPr="00005EFD">
              <w:rPr>
                <w:rFonts w:ascii="Verdana" w:hAnsi="Verdana"/>
                <w:color w:val="000000" w:themeColor="text1"/>
                <w:sz w:val="16"/>
                <w:szCs w:val="16"/>
              </w:rPr>
              <w:t>Administrar el flujo documental de la entidad mediante el uso del gestor documental institucional, la estandarización, el control de acceso documental y la implementación de instrumentos archivísticos, aplicando políticas de seguridad y lineamientos normativos, con el propósito de mantener la información actualizada, segura y disponible, garantizando una atención oportuna, confiable y eficiente a las solicitudes de los grupos de interés.</w:t>
            </w:r>
          </w:p>
        </w:tc>
        <w:tc>
          <w:tcPr>
            <w:tcW w:w="1847" w:type="dxa"/>
            <w:tcBorders>
              <w:top w:val="nil"/>
              <w:left w:val="nil"/>
              <w:bottom w:val="single" w:sz="4" w:space="0" w:color="auto"/>
              <w:right w:val="single" w:sz="4" w:space="0" w:color="auto"/>
            </w:tcBorders>
            <w:hideMark/>
          </w:tcPr>
          <w:p w14:paraId="1FB4E665" w14:textId="77777777" w:rsidR="00005EFD" w:rsidRPr="00005EFD" w:rsidRDefault="00005EFD">
            <w:pPr>
              <w:jc w:val="center"/>
              <w:rPr>
                <w:rFonts w:ascii="Verdana" w:hAnsi="Verdana"/>
                <w:color w:val="000000" w:themeColor="text1"/>
                <w:sz w:val="16"/>
                <w:szCs w:val="16"/>
              </w:rPr>
            </w:pPr>
            <w:r w:rsidRPr="00005EFD">
              <w:rPr>
                <w:rFonts w:ascii="Verdana" w:hAnsi="Verdana"/>
                <w:color w:val="000000" w:themeColor="text1"/>
                <w:sz w:val="16"/>
                <w:szCs w:val="16"/>
              </w:rPr>
              <w:t>Número de correos electrónicos radicados / Total de correos electrónicos allegados a través de la webmaster en el periodo evaluado</w:t>
            </w:r>
          </w:p>
        </w:tc>
        <w:tc>
          <w:tcPr>
            <w:tcW w:w="1440" w:type="dxa"/>
            <w:tcBorders>
              <w:top w:val="nil"/>
              <w:left w:val="nil"/>
              <w:bottom w:val="single" w:sz="4" w:space="0" w:color="auto"/>
              <w:right w:val="single" w:sz="4" w:space="0" w:color="auto"/>
            </w:tcBorders>
            <w:hideMark/>
          </w:tcPr>
          <w:p w14:paraId="79F77758" w14:textId="77777777" w:rsidR="00005EFD" w:rsidRPr="00005EFD" w:rsidRDefault="00005EFD">
            <w:pPr>
              <w:jc w:val="center"/>
              <w:rPr>
                <w:rFonts w:ascii="Verdana" w:hAnsi="Verdana"/>
                <w:color w:val="000000" w:themeColor="text1"/>
                <w:sz w:val="16"/>
                <w:szCs w:val="16"/>
              </w:rPr>
            </w:pPr>
            <w:r w:rsidRPr="00005EFD">
              <w:rPr>
                <w:rFonts w:ascii="Verdana" w:hAnsi="Verdana"/>
                <w:color w:val="000000" w:themeColor="text1"/>
                <w:sz w:val="16"/>
                <w:szCs w:val="16"/>
              </w:rPr>
              <w:t>Trimestral</w:t>
            </w:r>
          </w:p>
        </w:tc>
        <w:tc>
          <w:tcPr>
            <w:tcW w:w="1619" w:type="dxa"/>
            <w:tcBorders>
              <w:top w:val="nil"/>
              <w:left w:val="nil"/>
              <w:bottom w:val="single" w:sz="4" w:space="0" w:color="auto"/>
              <w:right w:val="single" w:sz="4" w:space="0" w:color="auto"/>
            </w:tcBorders>
            <w:hideMark/>
          </w:tcPr>
          <w:p w14:paraId="25AA7630" w14:textId="77777777" w:rsidR="00005EFD" w:rsidRPr="00005EFD" w:rsidRDefault="00005EFD">
            <w:pPr>
              <w:jc w:val="center"/>
              <w:rPr>
                <w:rFonts w:ascii="Verdana" w:hAnsi="Verdana"/>
                <w:color w:val="000000" w:themeColor="text1"/>
                <w:sz w:val="16"/>
                <w:szCs w:val="16"/>
              </w:rPr>
            </w:pPr>
            <w:r w:rsidRPr="00005EFD">
              <w:rPr>
                <w:rFonts w:ascii="Verdana" w:hAnsi="Verdana"/>
                <w:color w:val="000000" w:themeColor="text1"/>
                <w:sz w:val="16"/>
                <w:szCs w:val="16"/>
              </w:rPr>
              <w:t>Grupo de Gestión Documental</w:t>
            </w:r>
          </w:p>
        </w:tc>
      </w:tr>
      <w:tr w:rsidR="00005EFD" w:rsidRPr="00005EFD" w14:paraId="3A275805" w14:textId="77777777" w:rsidTr="00005EFD">
        <w:trPr>
          <w:trHeight w:val="1042"/>
        </w:trPr>
        <w:tc>
          <w:tcPr>
            <w:tcW w:w="4600" w:type="dxa"/>
            <w:tcBorders>
              <w:top w:val="nil"/>
              <w:left w:val="single" w:sz="4" w:space="0" w:color="auto"/>
              <w:bottom w:val="single" w:sz="4" w:space="0" w:color="auto"/>
              <w:right w:val="single" w:sz="4" w:space="0" w:color="auto"/>
            </w:tcBorders>
            <w:hideMark/>
          </w:tcPr>
          <w:p w14:paraId="5E0ABC17" w14:textId="77777777" w:rsidR="00005EFD" w:rsidRPr="00005EFD" w:rsidRDefault="00005EFD">
            <w:pPr>
              <w:jc w:val="center"/>
              <w:rPr>
                <w:rFonts w:ascii="Verdana" w:hAnsi="Verdana"/>
                <w:color w:val="000000" w:themeColor="text1"/>
                <w:sz w:val="16"/>
                <w:szCs w:val="16"/>
              </w:rPr>
            </w:pPr>
            <w:r w:rsidRPr="00005EFD">
              <w:rPr>
                <w:rFonts w:ascii="Verdana" w:hAnsi="Verdana"/>
                <w:color w:val="000000" w:themeColor="text1"/>
                <w:sz w:val="16"/>
                <w:szCs w:val="16"/>
              </w:rPr>
              <w:t>Calidad: Estos indicadores buscan medir aspectos relacionados con la capacidad de la entidad para atender a las necesidades y demandas de sus usuarios bajo preceptos de rapidez e inmediatez a la hora de prestar los bienes o servicios que ofrece.</w:t>
            </w:r>
          </w:p>
        </w:tc>
        <w:tc>
          <w:tcPr>
            <w:tcW w:w="4600" w:type="dxa"/>
            <w:tcBorders>
              <w:top w:val="nil"/>
              <w:left w:val="nil"/>
              <w:bottom w:val="single" w:sz="4" w:space="0" w:color="auto"/>
              <w:right w:val="single" w:sz="4" w:space="0" w:color="auto"/>
            </w:tcBorders>
            <w:hideMark/>
          </w:tcPr>
          <w:p w14:paraId="5CDE950C" w14:textId="77777777" w:rsidR="00005EFD" w:rsidRPr="00005EFD" w:rsidRDefault="00005EFD">
            <w:pPr>
              <w:jc w:val="center"/>
              <w:rPr>
                <w:rFonts w:ascii="Verdana" w:hAnsi="Verdana"/>
                <w:color w:val="000000" w:themeColor="text1"/>
                <w:sz w:val="16"/>
                <w:szCs w:val="16"/>
              </w:rPr>
            </w:pPr>
            <w:r w:rsidRPr="00005EFD">
              <w:rPr>
                <w:rFonts w:ascii="Verdana" w:hAnsi="Verdana"/>
                <w:color w:val="000000" w:themeColor="text1"/>
                <w:sz w:val="16"/>
                <w:szCs w:val="16"/>
              </w:rPr>
              <w:t>Garantizar la atención oportuna, eficiente y de calidad a los requerimientos presentados por los usuarios externos, con el fin de fortalecer la satisfacción, confianza y continuidad en el uso de los servicios ofrecidos por la entidad.</w:t>
            </w:r>
          </w:p>
        </w:tc>
        <w:tc>
          <w:tcPr>
            <w:tcW w:w="1847" w:type="dxa"/>
            <w:tcBorders>
              <w:top w:val="nil"/>
              <w:left w:val="nil"/>
              <w:bottom w:val="single" w:sz="4" w:space="0" w:color="auto"/>
              <w:right w:val="single" w:sz="4" w:space="0" w:color="auto"/>
            </w:tcBorders>
            <w:hideMark/>
          </w:tcPr>
          <w:p w14:paraId="6208CD44" w14:textId="544771D2" w:rsidR="00005EFD" w:rsidRPr="00005EFD" w:rsidRDefault="00005EFD">
            <w:pPr>
              <w:jc w:val="center"/>
              <w:rPr>
                <w:rFonts w:ascii="Verdana" w:hAnsi="Verdana"/>
                <w:color w:val="000000" w:themeColor="text1"/>
                <w:sz w:val="16"/>
                <w:szCs w:val="16"/>
              </w:rPr>
            </w:pPr>
            <w:r w:rsidRPr="00005EFD">
              <w:rPr>
                <w:rFonts w:ascii="Verdana" w:hAnsi="Verdana"/>
                <w:color w:val="000000" w:themeColor="text1"/>
                <w:sz w:val="16"/>
                <w:szCs w:val="16"/>
              </w:rPr>
              <w:t>Total, de requerimientos atendidos / Total requerimientos gestionados</w:t>
            </w:r>
          </w:p>
        </w:tc>
        <w:tc>
          <w:tcPr>
            <w:tcW w:w="1440" w:type="dxa"/>
            <w:tcBorders>
              <w:top w:val="nil"/>
              <w:left w:val="nil"/>
              <w:bottom w:val="single" w:sz="4" w:space="0" w:color="auto"/>
              <w:right w:val="single" w:sz="4" w:space="0" w:color="auto"/>
            </w:tcBorders>
            <w:hideMark/>
          </w:tcPr>
          <w:p w14:paraId="06B796BA" w14:textId="77777777" w:rsidR="00005EFD" w:rsidRPr="00005EFD" w:rsidRDefault="00005EFD">
            <w:pPr>
              <w:jc w:val="center"/>
              <w:rPr>
                <w:rFonts w:ascii="Verdana" w:hAnsi="Verdana"/>
                <w:color w:val="000000" w:themeColor="text1"/>
                <w:sz w:val="16"/>
                <w:szCs w:val="16"/>
              </w:rPr>
            </w:pPr>
            <w:r w:rsidRPr="00005EFD">
              <w:rPr>
                <w:rFonts w:ascii="Verdana" w:hAnsi="Verdana"/>
                <w:color w:val="000000" w:themeColor="text1"/>
                <w:sz w:val="16"/>
                <w:szCs w:val="16"/>
              </w:rPr>
              <w:t>Trimestral</w:t>
            </w:r>
          </w:p>
        </w:tc>
        <w:tc>
          <w:tcPr>
            <w:tcW w:w="1619" w:type="dxa"/>
            <w:tcBorders>
              <w:top w:val="nil"/>
              <w:left w:val="nil"/>
              <w:bottom w:val="single" w:sz="4" w:space="0" w:color="auto"/>
              <w:right w:val="single" w:sz="4" w:space="0" w:color="auto"/>
            </w:tcBorders>
            <w:hideMark/>
          </w:tcPr>
          <w:p w14:paraId="4C1E1C0F" w14:textId="77777777" w:rsidR="00005EFD" w:rsidRPr="00005EFD" w:rsidRDefault="00005EFD">
            <w:pPr>
              <w:jc w:val="center"/>
              <w:rPr>
                <w:rFonts w:ascii="Verdana" w:hAnsi="Verdana"/>
                <w:color w:val="000000" w:themeColor="text1"/>
                <w:sz w:val="16"/>
                <w:szCs w:val="16"/>
              </w:rPr>
            </w:pPr>
            <w:r w:rsidRPr="00005EFD">
              <w:rPr>
                <w:rFonts w:ascii="Verdana" w:hAnsi="Verdana"/>
                <w:color w:val="000000" w:themeColor="text1"/>
                <w:sz w:val="16"/>
                <w:szCs w:val="16"/>
              </w:rPr>
              <w:t>Grupo de Gestión Documental</w:t>
            </w:r>
          </w:p>
        </w:tc>
      </w:tr>
      <w:tr w:rsidR="00005EFD" w:rsidRPr="00005EFD" w14:paraId="6BAD72F4" w14:textId="77777777" w:rsidTr="00005EFD">
        <w:trPr>
          <w:trHeight w:val="1409"/>
        </w:trPr>
        <w:tc>
          <w:tcPr>
            <w:tcW w:w="4600" w:type="dxa"/>
            <w:tcBorders>
              <w:top w:val="nil"/>
              <w:left w:val="single" w:sz="4" w:space="0" w:color="auto"/>
              <w:bottom w:val="single" w:sz="4" w:space="0" w:color="auto"/>
              <w:right w:val="single" w:sz="4" w:space="0" w:color="auto"/>
            </w:tcBorders>
            <w:hideMark/>
          </w:tcPr>
          <w:p w14:paraId="1268993A" w14:textId="77777777" w:rsidR="00005EFD" w:rsidRPr="00005EFD" w:rsidRDefault="00005EFD">
            <w:pPr>
              <w:jc w:val="center"/>
              <w:rPr>
                <w:rFonts w:ascii="Verdana" w:hAnsi="Verdana"/>
                <w:color w:val="000000" w:themeColor="text1"/>
                <w:sz w:val="16"/>
                <w:szCs w:val="16"/>
              </w:rPr>
            </w:pPr>
            <w:r w:rsidRPr="00005EFD">
              <w:rPr>
                <w:rFonts w:ascii="Verdana" w:hAnsi="Verdana"/>
                <w:color w:val="000000" w:themeColor="text1"/>
                <w:sz w:val="16"/>
                <w:szCs w:val="16"/>
              </w:rPr>
              <w:t>Eficiencia: Este tipo de indicadores pretenden medir la relación existente entre el avance en el logro de un determinado objetivo y los recursos empleados para la consecución de este.</w:t>
            </w:r>
          </w:p>
        </w:tc>
        <w:tc>
          <w:tcPr>
            <w:tcW w:w="4600" w:type="dxa"/>
            <w:tcBorders>
              <w:top w:val="nil"/>
              <w:left w:val="nil"/>
              <w:bottom w:val="single" w:sz="4" w:space="0" w:color="auto"/>
              <w:right w:val="single" w:sz="4" w:space="0" w:color="auto"/>
            </w:tcBorders>
            <w:hideMark/>
          </w:tcPr>
          <w:p w14:paraId="51CAFEA4" w14:textId="77777777" w:rsidR="00005EFD" w:rsidRPr="00005EFD" w:rsidRDefault="00005EFD">
            <w:pPr>
              <w:jc w:val="center"/>
              <w:rPr>
                <w:rFonts w:ascii="Verdana" w:hAnsi="Verdana"/>
                <w:color w:val="000000" w:themeColor="text1"/>
                <w:sz w:val="16"/>
                <w:szCs w:val="16"/>
              </w:rPr>
            </w:pPr>
            <w:r w:rsidRPr="00005EFD">
              <w:rPr>
                <w:rFonts w:ascii="Verdana" w:hAnsi="Verdana"/>
                <w:color w:val="000000" w:themeColor="text1"/>
                <w:sz w:val="16"/>
                <w:szCs w:val="16"/>
              </w:rPr>
              <w:t>Administrar el flujo documental de la entidad mediante el uso del gestor documental institucional, la estandarización, el control de acceso documental y la implementación de instrumentos archivísticos, aplicando políticas de seguridad y lineamientos normativos, con el propósito de mantener la información actualizada, segura y disponible, garantizando una atención oportuna, confiable y eficiente a las solicitudes de los grupos de interés.</w:t>
            </w:r>
          </w:p>
        </w:tc>
        <w:tc>
          <w:tcPr>
            <w:tcW w:w="1847" w:type="dxa"/>
            <w:tcBorders>
              <w:top w:val="nil"/>
              <w:left w:val="nil"/>
              <w:bottom w:val="single" w:sz="4" w:space="0" w:color="auto"/>
              <w:right w:val="single" w:sz="4" w:space="0" w:color="auto"/>
            </w:tcBorders>
            <w:hideMark/>
          </w:tcPr>
          <w:p w14:paraId="7397B8BC" w14:textId="77777777" w:rsidR="00005EFD" w:rsidRPr="00005EFD" w:rsidRDefault="00005EFD">
            <w:pPr>
              <w:jc w:val="center"/>
              <w:rPr>
                <w:rFonts w:ascii="Verdana" w:hAnsi="Verdana"/>
                <w:color w:val="000000" w:themeColor="text1"/>
                <w:sz w:val="16"/>
                <w:szCs w:val="16"/>
              </w:rPr>
            </w:pPr>
            <w:r w:rsidRPr="00005EFD">
              <w:rPr>
                <w:rFonts w:ascii="Verdana" w:hAnsi="Verdana"/>
                <w:color w:val="000000" w:themeColor="text1"/>
                <w:sz w:val="16"/>
                <w:szCs w:val="16"/>
              </w:rPr>
              <w:t>N° solicitudes atendidas /N° solicitudes recibidas</w:t>
            </w:r>
          </w:p>
        </w:tc>
        <w:tc>
          <w:tcPr>
            <w:tcW w:w="1440" w:type="dxa"/>
            <w:tcBorders>
              <w:top w:val="nil"/>
              <w:left w:val="nil"/>
              <w:bottom w:val="single" w:sz="4" w:space="0" w:color="auto"/>
              <w:right w:val="single" w:sz="4" w:space="0" w:color="auto"/>
            </w:tcBorders>
            <w:hideMark/>
          </w:tcPr>
          <w:p w14:paraId="1E96F85D" w14:textId="77777777" w:rsidR="00005EFD" w:rsidRPr="00005EFD" w:rsidRDefault="00005EFD">
            <w:pPr>
              <w:jc w:val="center"/>
              <w:rPr>
                <w:rFonts w:ascii="Verdana" w:hAnsi="Verdana"/>
                <w:color w:val="000000" w:themeColor="text1"/>
                <w:sz w:val="16"/>
                <w:szCs w:val="16"/>
              </w:rPr>
            </w:pPr>
            <w:r w:rsidRPr="00005EFD">
              <w:rPr>
                <w:rFonts w:ascii="Verdana" w:hAnsi="Verdana"/>
                <w:color w:val="000000" w:themeColor="text1"/>
                <w:sz w:val="16"/>
                <w:szCs w:val="16"/>
              </w:rPr>
              <w:t>Trimestral</w:t>
            </w:r>
          </w:p>
        </w:tc>
        <w:tc>
          <w:tcPr>
            <w:tcW w:w="1619" w:type="dxa"/>
            <w:tcBorders>
              <w:top w:val="nil"/>
              <w:left w:val="nil"/>
              <w:bottom w:val="single" w:sz="4" w:space="0" w:color="auto"/>
              <w:right w:val="single" w:sz="4" w:space="0" w:color="auto"/>
            </w:tcBorders>
            <w:hideMark/>
          </w:tcPr>
          <w:p w14:paraId="20C2C933" w14:textId="77777777" w:rsidR="00005EFD" w:rsidRPr="00005EFD" w:rsidRDefault="00005EFD">
            <w:pPr>
              <w:jc w:val="center"/>
              <w:rPr>
                <w:rFonts w:ascii="Verdana" w:hAnsi="Verdana"/>
                <w:color w:val="000000" w:themeColor="text1"/>
                <w:sz w:val="16"/>
                <w:szCs w:val="16"/>
              </w:rPr>
            </w:pPr>
            <w:r w:rsidRPr="00005EFD">
              <w:rPr>
                <w:rFonts w:ascii="Verdana" w:hAnsi="Verdana"/>
                <w:color w:val="000000" w:themeColor="text1"/>
                <w:sz w:val="16"/>
                <w:szCs w:val="16"/>
              </w:rPr>
              <w:t>Grupo de Gestión Documental</w:t>
            </w:r>
          </w:p>
        </w:tc>
      </w:tr>
      <w:tr w:rsidR="00005EFD" w:rsidRPr="00005EFD" w14:paraId="7FCA6C0F" w14:textId="77777777" w:rsidTr="00005EFD">
        <w:trPr>
          <w:trHeight w:val="1395"/>
        </w:trPr>
        <w:tc>
          <w:tcPr>
            <w:tcW w:w="4600" w:type="dxa"/>
            <w:tcBorders>
              <w:top w:val="nil"/>
              <w:left w:val="single" w:sz="4" w:space="0" w:color="auto"/>
              <w:bottom w:val="single" w:sz="4" w:space="0" w:color="auto"/>
              <w:right w:val="single" w:sz="4" w:space="0" w:color="auto"/>
            </w:tcBorders>
            <w:hideMark/>
          </w:tcPr>
          <w:p w14:paraId="781FFB24" w14:textId="77777777" w:rsidR="00005EFD" w:rsidRPr="00005EFD" w:rsidRDefault="00005EFD">
            <w:pPr>
              <w:jc w:val="center"/>
              <w:rPr>
                <w:rFonts w:ascii="Verdana" w:hAnsi="Verdana"/>
                <w:color w:val="000000" w:themeColor="text1"/>
                <w:sz w:val="16"/>
                <w:szCs w:val="16"/>
              </w:rPr>
            </w:pPr>
            <w:r w:rsidRPr="00005EFD">
              <w:rPr>
                <w:rFonts w:ascii="Verdana" w:hAnsi="Verdana"/>
                <w:color w:val="000000" w:themeColor="text1"/>
                <w:sz w:val="16"/>
                <w:szCs w:val="16"/>
              </w:rPr>
              <w:t>Eficiencia: Este tipo de indicadores pretenden medir la relación existente entre el avance en el logro de un determinado objetivo y los recursos empleados para la consecución de este.</w:t>
            </w:r>
          </w:p>
        </w:tc>
        <w:tc>
          <w:tcPr>
            <w:tcW w:w="4600" w:type="dxa"/>
            <w:tcBorders>
              <w:top w:val="nil"/>
              <w:left w:val="nil"/>
              <w:bottom w:val="single" w:sz="4" w:space="0" w:color="auto"/>
              <w:right w:val="single" w:sz="4" w:space="0" w:color="auto"/>
            </w:tcBorders>
            <w:hideMark/>
          </w:tcPr>
          <w:p w14:paraId="7DF281B2" w14:textId="77777777" w:rsidR="00005EFD" w:rsidRPr="00005EFD" w:rsidRDefault="00005EFD">
            <w:pPr>
              <w:jc w:val="center"/>
              <w:rPr>
                <w:rFonts w:ascii="Verdana" w:hAnsi="Verdana"/>
                <w:color w:val="000000" w:themeColor="text1"/>
                <w:sz w:val="16"/>
                <w:szCs w:val="16"/>
              </w:rPr>
            </w:pPr>
            <w:r w:rsidRPr="00005EFD">
              <w:rPr>
                <w:rFonts w:ascii="Verdana" w:hAnsi="Verdana"/>
                <w:color w:val="000000" w:themeColor="text1"/>
                <w:sz w:val="16"/>
                <w:szCs w:val="16"/>
              </w:rPr>
              <w:t>Administrar el flujo documental de la entidad mediante el uso del gestor documental institucional, la estandarización, el control de acceso documental y la implementación de instrumentos archivísticos, aplicando políticas de seguridad y lineamientos normativos, con el propósito de mantener la información actualizada, segura y disponible, garantizando una atención oportuna, confiable y eficiente a las solicitudes de los grupos de interés.</w:t>
            </w:r>
          </w:p>
        </w:tc>
        <w:tc>
          <w:tcPr>
            <w:tcW w:w="1847" w:type="dxa"/>
            <w:tcBorders>
              <w:top w:val="nil"/>
              <w:left w:val="nil"/>
              <w:bottom w:val="single" w:sz="4" w:space="0" w:color="auto"/>
              <w:right w:val="single" w:sz="4" w:space="0" w:color="auto"/>
            </w:tcBorders>
            <w:hideMark/>
          </w:tcPr>
          <w:p w14:paraId="5B667FF9" w14:textId="77777777" w:rsidR="00005EFD" w:rsidRPr="00005EFD" w:rsidRDefault="00005EFD">
            <w:pPr>
              <w:jc w:val="center"/>
              <w:rPr>
                <w:rFonts w:ascii="Verdana" w:hAnsi="Verdana"/>
                <w:color w:val="000000" w:themeColor="text1"/>
                <w:sz w:val="16"/>
                <w:szCs w:val="16"/>
              </w:rPr>
            </w:pPr>
            <w:r w:rsidRPr="00005EFD">
              <w:rPr>
                <w:rFonts w:ascii="Verdana" w:hAnsi="Verdana"/>
                <w:color w:val="000000" w:themeColor="text1"/>
                <w:sz w:val="16"/>
                <w:szCs w:val="16"/>
              </w:rPr>
              <w:t>Número de resmas consumidas en el mes</w:t>
            </w:r>
          </w:p>
        </w:tc>
        <w:tc>
          <w:tcPr>
            <w:tcW w:w="1440" w:type="dxa"/>
            <w:tcBorders>
              <w:top w:val="nil"/>
              <w:left w:val="nil"/>
              <w:bottom w:val="single" w:sz="4" w:space="0" w:color="auto"/>
              <w:right w:val="single" w:sz="4" w:space="0" w:color="auto"/>
            </w:tcBorders>
            <w:hideMark/>
          </w:tcPr>
          <w:p w14:paraId="06486C78" w14:textId="77777777" w:rsidR="00005EFD" w:rsidRPr="00005EFD" w:rsidRDefault="00005EFD">
            <w:pPr>
              <w:jc w:val="center"/>
              <w:rPr>
                <w:rFonts w:ascii="Verdana" w:hAnsi="Verdana"/>
                <w:color w:val="000000" w:themeColor="text1"/>
                <w:sz w:val="16"/>
                <w:szCs w:val="16"/>
              </w:rPr>
            </w:pPr>
            <w:r w:rsidRPr="00005EFD">
              <w:rPr>
                <w:rFonts w:ascii="Verdana" w:hAnsi="Verdana"/>
                <w:color w:val="000000" w:themeColor="text1"/>
                <w:sz w:val="16"/>
                <w:szCs w:val="16"/>
              </w:rPr>
              <w:t>Trimestral</w:t>
            </w:r>
          </w:p>
        </w:tc>
        <w:tc>
          <w:tcPr>
            <w:tcW w:w="1619" w:type="dxa"/>
            <w:tcBorders>
              <w:top w:val="nil"/>
              <w:left w:val="nil"/>
              <w:bottom w:val="single" w:sz="4" w:space="0" w:color="auto"/>
              <w:right w:val="single" w:sz="4" w:space="0" w:color="auto"/>
            </w:tcBorders>
            <w:hideMark/>
          </w:tcPr>
          <w:p w14:paraId="2375F87C" w14:textId="77777777" w:rsidR="00005EFD" w:rsidRPr="00005EFD" w:rsidRDefault="00005EFD">
            <w:pPr>
              <w:jc w:val="center"/>
              <w:rPr>
                <w:rFonts w:ascii="Verdana" w:hAnsi="Verdana"/>
                <w:color w:val="000000" w:themeColor="text1"/>
                <w:sz w:val="16"/>
                <w:szCs w:val="16"/>
              </w:rPr>
            </w:pPr>
            <w:r w:rsidRPr="00005EFD">
              <w:rPr>
                <w:rFonts w:ascii="Verdana" w:hAnsi="Verdana"/>
                <w:color w:val="000000" w:themeColor="text1"/>
                <w:sz w:val="16"/>
                <w:szCs w:val="16"/>
              </w:rPr>
              <w:t>Grupo de Gestión Documental</w:t>
            </w:r>
          </w:p>
        </w:tc>
      </w:tr>
    </w:tbl>
    <w:p w14:paraId="53EAD97D" w14:textId="0715A05F" w:rsidR="003B2049" w:rsidRPr="00005EFD" w:rsidRDefault="003B2049" w:rsidP="000B607E">
      <w:pPr>
        <w:jc w:val="center"/>
        <w:rPr>
          <w:rFonts w:ascii="Verdana" w:hAnsi="Verdana" w:cs="Arial"/>
          <w:i/>
          <w:iCs/>
          <w:color w:val="000000" w:themeColor="text1"/>
          <w:sz w:val="22"/>
          <w:szCs w:val="22"/>
        </w:rPr>
      </w:pPr>
      <w:r w:rsidRPr="00005EFD">
        <w:rPr>
          <w:rFonts w:ascii="Verdana" w:hAnsi="Verdana" w:cs="Arial"/>
          <w:b/>
          <w:bCs/>
          <w:color w:val="000000" w:themeColor="text1"/>
          <w:sz w:val="22"/>
          <w:szCs w:val="22"/>
        </w:rPr>
        <w:t>Tabla N°2. Elaboración Propia. Indicadores de Seguimiento</w:t>
      </w:r>
    </w:p>
    <w:p w14:paraId="77CC733E" w14:textId="77777777" w:rsidR="000A5B3E" w:rsidRPr="00005EFD" w:rsidRDefault="000A5B3E" w:rsidP="000A5B3E">
      <w:pPr>
        <w:jc w:val="center"/>
        <w:rPr>
          <w:rFonts w:ascii="Verdana" w:hAnsi="Verdana" w:cs="Arial"/>
          <w:color w:val="000000" w:themeColor="text1"/>
          <w:sz w:val="22"/>
          <w:szCs w:val="22"/>
        </w:rPr>
      </w:pPr>
    </w:p>
    <w:p w14:paraId="71C44FD0" w14:textId="77777777" w:rsidR="00005EFD" w:rsidRDefault="00005EFD" w:rsidP="000A5B3E">
      <w:pPr>
        <w:jc w:val="both"/>
        <w:rPr>
          <w:rFonts w:ascii="Verdana" w:hAnsi="Verdana" w:cs="Arial"/>
          <w:color w:val="000000" w:themeColor="text1"/>
          <w:sz w:val="22"/>
          <w:szCs w:val="22"/>
        </w:rPr>
        <w:sectPr w:rsidR="00005EFD" w:rsidSect="00005EFD">
          <w:pgSz w:w="15842" w:h="12242" w:orient="landscape" w:code="119"/>
          <w:pgMar w:top="1418" w:right="1418" w:bottom="1185" w:left="851" w:header="709" w:footer="709" w:gutter="0"/>
          <w:cols w:space="708"/>
          <w:docGrid w:linePitch="360"/>
        </w:sectPr>
      </w:pPr>
    </w:p>
    <w:p w14:paraId="73A66560" w14:textId="710F7A4D" w:rsidR="003B2049" w:rsidRPr="00005EFD" w:rsidRDefault="003B2049" w:rsidP="000A5B3E">
      <w:pPr>
        <w:jc w:val="both"/>
        <w:rPr>
          <w:rFonts w:ascii="Verdana" w:hAnsi="Verdana" w:cs="Arial"/>
          <w:color w:val="000000" w:themeColor="text1"/>
          <w:sz w:val="22"/>
          <w:szCs w:val="22"/>
        </w:rPr>
      </w:pPr>
      <w:r w:rsidRPr="00005EFD">
        <w:rPr>
          <w:rFonts w:ascii="Verdana" w:hAnsi="Verdana" w:cs="Arial"/>
          <w:color w:val="000000" w:themeColor="text1"/>
          <w:sz w:val="22"/>
          <w:szCs w:val="22"/>
        </w:rPr>
        <w:lastRenderedPageBreak/>
        <w:t>La integración de esta matriz en el MoReq 202</w:t>
      </w:r>
      <w:r w:rsidR="00DB281D" w:rsidRPr="00005EFD">
        <w:rPr>
          <w:rFonts w:ascii="Verdana" w:hAnsi="Verdana" w:cs="Arial"/>
          <w:color w:val="000000" w:themeColor="text1"/>
          <w:sz w:val="22"/>
          <w:szCs w:val="22"/>
        </w:rPr>
        <w:t>6</w:t>
      </w:r>
      <w:r w:rsidRPr="00005EFD">
        <w:rPr>
          <w:rFonts w:ascii="Verdana" w:hAnsi="Verdana" w:cs="Arial"/>
          <w:color w:val="000000" w:themeColor="text1"/>
          <w:sz w:val="22"/>
          <w:szCs w:val="22"/>
        </w:rPr>
        <w:t xml:space="preserve"> fortalece la capacidad de la Superintendencia de Sociedades para anticipar, responder y aprender de los riesgos relacionados con la gestión documental y tecnológica, alineando el sistema con las mejores prácticas de gestión del riesgo (NTC ISO 31000) y con las directrices del Acuerdo 001 de 2024 del Archivo General de la Nación.</w:t>
      </w:r>
    </w:p>
    <w:p w14:paraId="0D6879C7" w14:textId="77777777" w:rsidR="001817D4" w:rsidRPr="00005EFD" w:rsidRDefault="001817D4" w:rsidP="000A5B3E">
      <w:pPr>
        <w:jc w:val="both"/>
        <w:rPr>
          <w:rFonts w:ascii="Verdana" w:hAnsi="Verdana" w:cs="Arial"/>
          <w:color w:val="000000" w:themeColor="text1"/>
          <w:sz w:val="22"/>
          <w:szCs w:val="22"/>
        </w:rPr>
      </w:pPr>
    </w:p>
    <w:p w14:paraId="38E1C74D" w14:textId="77777777" w:rsidR="001817D4" w:rsidRPr="00005EFD" w:rsidRDefault="001817D4" w:rsidP="000A5B3E">
      <w:pPr>
        <w:jc w:val="both"/>
        <w:rPr>
          <w:rFonts w:ascii="Verdana" w:hAnsi="Verdana" w:cs="Arial"/>
          <w:color w:val="000000" w:themeColor="text1"/>
          <w:sz w:val="22"/>
          <w:szCs w:val="22"/>
        </w:rPr>
      </w:pPr>
    </w:p>
    <w:p w14:paraId="77526F64" w14:textId="77777777" w:rsidR="001817D4" w:rsidRPr="00005EFD" w:rsidRDefault="001817D4" w:rsidP="001817D4">
      <w:pPr>
        <w:rPr>
          <w:rFonts w:ascii="Verdana" w:hAnsi="Verdana" w:cs="Arial"/>
          <w:color w:val="000000" w:themeColor="text1"/>
          <w:sz w:val="22"/>
          <w:szCs w:val="22"/>
        </w:rPr>
      </w:pPr>
      <w:r w:rsidRPr="00005EFD">
        <w:rPr>
          <w:rFonts w:ascii="Verdana" w:hAnsi="Verdana" w:cs="Arial"/>
          <w:color w:val="000000" w:themeColor="text1"/>
          <w:sz w:val="22"/>
          <w:szCs w:val="22"/>
        </w:rPr>
        <w:t>Para ampliación y apropiación   del Gestor Documental GeDeSS se podrá consultar en el mapa de procesos del Sistema de Gestión Integrado – Herramienta Gestor Documental.</w:t>
      </w:r>
    </w:p>
    <w:p w14:paraId="30884963" w14:textId="77777777" w:rsidR="001817D4" w:rsidRPr="00005EFD" w:rsidRDefault="001817D4" w:rsidP="001817D4">
      <w:pPr>
        <w:rPr>
          <w:rFonts w:ascii="Verdana" w:hAnsi="Verdana" w:cs="Arial"/>
          <w:color w:val="000000" w:themeColor="text1"/>
          <w:sz w:val="22"/>
          <w:szCs w:val="22"/>
        </w:rPr>
      </w:pPr>
    </w:p>
    <w:p w14:paraId="0AB7CE75" w14:textId="77777777" w:rsidR="003E6676" w:rsidRPr="00005EFD" w:rsidRDefault="00A27AA5" w:rsidP="001817D4">
      <w:pPr>
        <w:rPr>
          <w:rFonts w:ascii="Verdana" w:hAnsi="Verdana" w:cs="Arial"/>
          <w:color w:val="000000" w:themeColor="text1"/>
          <w:sz w:val="22"/>
          <w:szCs w:val="22"/>
        </w:rPr>
      </w:pPr>
      <w:r w:rsidRPr="00005EFD">
        <w:rPr>
          <w:rFonts w:ascii="Verdana" w:hAnsi="Verdana" w:cs="Arial"/>
          <w:color w:val="000000" w:themeColor="text1"/>
          <w:sz w:val="22"/>
          <w:szCs w:val="22"/>
        </w:rPr>
        <w:t>Para</w:t>
      </w:r>
      <w:r w:rsidR="001817D4" w:rsidRPr="00005EFD">
        <w:rPr>
          <w:rFonts w:ascii="Verdana" w:hAnsi="Verdana" w:cs="Arial"/>
          <w:color w:val="000000" w:themeColor="text1"/>
          <w:sz w:val="22"/>
          <w:szCs w:val="22"/>
        </w:rPr>
        <w:t xml:space="preserve"> ampliación en la capacitación de la herramienta GeDeSS se puede ingresar el micrositio ubicado en el portal web de la entidad </w:t>
      </w:r>
      <w:r w:rsidR="003E6676" w:rsidRPr="00005EFD">
        <w:rPr>
          <w:rFonts w:ascii="Verdana" w:hAnsi="Verdana" w:cs="Arial"/>
          <w:color w:val="000000" w:themeColor="text1"/>
          <w:sz w:val="22"/>
          <w:szCs w:val="22"/>
        </w:rPr>
        <w:t>www.supersociedades.gov.co -</w:t>
      </w:r>
      <w:r w:rsidR="001817D4" w:rsidRPr="00005EFD">
        <w:rPr>
          <w:rFonts w:ascii="Verdana" w:hAnsi="Verdana" w:cs="Arial"/>
          <w:color w:val="000000" w:themeColor="text1"/>
          <w:sz w:val="22"/>
          <w:szCs w:val="22"/>
        </w:rPr>
        <w:t xml:space="preserve"> Centro de Estudios Societarios CES – Formación Institucional</w:t>
      </w:r>
    </w:p>
    <w:p w14:paraId="60581C5C" w14:textId="77777777" w:rsidR="001817D4" w:rsidRPr="00005EFD" w:rsidRDefault="001817D4" w:rsidP="000A5B3E">
      <w:pPr>
        <w:jc w:val="both"/>
        <w:rPr>
          <w:rFonts w:ascii="Verdana" w:hAnsi="Verdana" w:cs="Arial"/>
          <w:color w:val="000000" w:themeColor="text1"/>
          <w:sz w:val="22"/>
          <w:szCs w:val="22"/>
        </w:rPr>
      </w:pPr>
    </w:p>
    <w:p w14:paraId="518C1354" w14:textId="77777777" w:rsidR="003B2049" w:rsidRPr="00005EFD" w:rsidRDefault="003B2049" w:rsidP="003B2049">
      <w:pPr>
        <w:rPr>
          <w:rFonts w:ascii="Verdana" w:hAnsi="Verdana" w:cs="Arial"/>
          <w:color w:val="000000" w:themeColor="text1"/>
        </w:rPr>
      </w:pPr>
    </w:p>
    <w:p w14:paraId="42995743" w14:textId="6FB0215A" w:rsidR="003B2049" w:rsidRPr="00005EFD" w:rsidRDefault="00444C28" w:rsidP="00444C28">
      <w:pPr>
        <w:pStyle w:val="Ttulo1"/>
        <w:spacing w:line="240" w:lineRule="auto"/>
        <w:jc w:val="left"/>
        <w:rPr>
          <w:rFonts w:ascii="Verdana" w:hAnsi="Verdana"/>
          <w:color w:val="000000" w:themeColor="text1"/>
          <w:sz w:val="22"/>
          <w:szCs w:val="22"/>
        </w:rPr>
      </w:pPr>
      <w:bookmarkStart w:id="29" w:name="_Toc213403811"/>
      <w:r w:rsidRPr="00005EFD">
        <w:rPr>
          <w:rFonts w:ascii="Verdana" w:hAnsi="Verdana"/>
          <w:color w:val="000000" w:themeColor="text1"/>
          <w:sz w:val="22"/>
          <w:szCs w:val="22"/>
        </w:rPr>
        <w:t xml:space="preserve">6. </w:t>
      </w:r>
      <w:r w:rsidR="001371E6" w:rsidRPr="00005EFD">
        <w:rPr>
          <w:rFonts w:ascii="Verdana" w:hAnsi="Verdana"/>
          <w:color w:val="000000" w:themeColor="text1"/>
          <w:sz w:val="22"/>
          <w:szCs w:val="22"/>
        </w:rPr>
        <w:t>BIBLIOGRAFÍA</w:t>
      </w:r>
      <w:bookmarkEnd w:id="29"/>
    </w:p>
    <w:p w14:paraId="6569A824" w14:textId="77777777" w:rsidR="001371E6" w:rsidRPr="00005EFD" w:rsidRDefault="001371E6" w:rsidP="001371E6">
      <w:pPr>
        <w:rPr>
          <w:color w:val="000000" w:themeColor="text1"/>
          <w:lang w:val="es-MX"/>
        </w:rPr>
      </w:pPr>
    </w:p>
    <w:p w14:paraId="0FB571C5" w14:textId="77777777" w:rsidR="003B2049" w:rsidRPr="00005EFD" w:rsidRDefault="003B2049" w:rsidP="00A27AA5">
      <w:pPr>
        <w:pStyle w:val="Prrafodelista"/>
        <w:numPr>
          <w:ilvl w:val="0"/>
          <w:numId w:val="17"/>
        </w:numPr>
        <w:spacing w:after="200"/>
        <w:contextualSpacing/>
        <w:rPr>
          <w:rFonts w:ascii="Verdana" w:hAnsi="Verdana" w:cs="Arial"/>
          <w:color w:val="000000" w:themeColor="text1"/>
          <w:sz w:val="22"/>
          <w:szCs w:val="22"/>
        </w:rPr>
      </w:pPr>
      <w:r w:rsidRPr="00005EFD">
        <w:rPr>
          <w:rFonts w:ascii="Verdana" w:hAnsi="Verdana" w:cs="Arial"/>
          <w:color w:val="000000" w:themeColor="text1"/>
          <w:sz w:val="22"/>
          <w:szCs w:val="22"/>
        </w:rPr>
        <w:t xml:space="preserve">Archivo General de la Nación (AGN). (2019). </w:t>
      </w:r>
      <w:r w:rsidRPr="00005EFD">
        <w:rPr>
          <w:rFonts w:ascii="Verdana" w:hAnsi="Verdana" w:cs="Arial"/>
          <w:i/>
          <w:iCs/>
          <w:color w:val="000000" w:themeColor="text1"/>
          <w:sz w:val="22"/>
          <w:szCs w:val="22"/>
        </w:rPr>
        <w:t>Modelo de requisitos para un SGDEA</w:t>
      </w:r>
      <w:r w:rsidRPr="00005EFD">
        <w:rPr>
          <w:rFonts w:ascii="Verdana" w:hAnsi="Verdana" w:cs="Arial"/>
          <w:color w:val="000000" w:themeColor="text1"/>
          <w:sz w:val="22"/>
          <w:szCs w:val="22"/>
        </w:rPr>
        <w:t>. Bogotá D.C.</w:t>
      </w:r>
    </w:p>
    <w:p w14:paraId="3EDA5088" w14:textId="77777777" w:rsidR="003B2049" w:rsidRPr="00005EFD" w:rsidRDefault="003B2049" w:rsidP="00A27AA5">
      <w:pPr>
        <w:pStyle w:val="Prrafodelista"/>
        <w:numPr>
          <w:ilvl w:val="0"/>
          <w:numId w:val="17"/>
        </w:numPr>
        <w:spacing w:after="200"/>
        <w:contextualSpacing/>
        <w:jc w:val="both"/>
        <w:rPr>
          <w:rFonts w:ascii="Verdana" w:hAnsi="Verdana" w:cs="Arial"/>
          <w:color w:val="000000" w:themeColor="text1"/>
          <w:sz w:val="22"/>
          <w:szCs w:val="22"/>
        </w:rPr>
      </w:pPr>
      <w:r w:rsidRPr="00005EFD">
        <w:rPr>
          <w:rFonts w:ascii="Verdana" w:hAnsi="Verdana" w:cs="Arial"/>
          <w:color w:val="000000" w:themeColor="text1"/>
          <w:sz w:val="22"/>
          <w:szCs w:val="22"/>
        </w:rPr>
        <w:t>Archivo General de la Nación (AGN). (2000). Ley 594 de 2000 – Ley General de Archivos. Bogotá D.C.</w:t>
      </w:r>
    </w:p>
    <w:p w14:paraId="58505390" w14:textId="77777777" w:rsidR="003B2049" w:rsidRPr="00005EFD" w:rsidRDefault="003B2049" w:rsidP="00A27AA5">
      <w:pPr>
        <w:pStyle w:val="Prrafodelista"/>
        <w:numPr>
          <w:ilvl w:val="0"/>
          <w:numId w:val="17"/>
        </w:numPr>
        <w:spacing w:after="200"/>
        <w:contextualSpacing/>
        <w:jc w:val="both"/>
        <w:rPr>
          <w:rFonts w:ascii="Verdana" w:hAnsi="Verdana" w:cs="Arial"/>
          <w:color w:val="000000" w:themeColor="text1"/>
          <w:sz w:val="22"/>
          <w:szCs w:val="22"/>
        </w:rPr>
      </w:pPr>
      <w:r w:rsidRPr="00005EFD">
        <w:rPr>
          <w:rFonts w:ascii="Verdana" w:hAnsi="Verdana" w:cs="Arial"/>
          <w:color w:val="000000" w:themeColor="text1"/>
          <w:sz w:val="22"/>
          <w:szCs w:val="22"/>
        </w:rPr>
        <w:t>Archivo General de la Nación (AGN). (2015). Decreto 1080 de 2015 – Decreto Único Reglamentario del Sector Cultura. Bogotá D.C.</w:t>
      </w:r>
    </w:p>
    <w:p w14:paraId="1CA29335" w14:textId="77777777" w:rsidR="003B2049" w:rsidRPr="00005EFD" w:rsidRDefault="003B2049" w:rsidP="00A27AA5">
      <w:pPr>
        <w:pStyle w:val="Prrafodelista"/>
        <w:numPr>
          <w:ilvl w:val="0"/>
          <w:numId w:val="17"/>
        </w:numPr>
        <w:spacing w:after="200"/>
        <w:contextualSpacing/>
        <w:jc w:val="both"/>
        <w:rPr>
          <w:rFonts w:ascii="Verdana" w:hAnsi="Verdana" w:cs="Arial"/>
          <w:color w:val="000000" w:themeColor="text1"/>
          <w:sz w:val="22"/>
          <w:szCs w:val="22"/>
        </w:rPr>
      </w:pPr>
      <w:r w:rsidRPr="00005EFD">
        <w:rPr>
          <w:rFonts w:ascii="Verdana" w:hAnsi="Verdana" w:cs="Arial"/>
          <w:color w:val="000000" w:themeColor="text1"/>
          <w:sz w:val="22"/>
          <w:szCs w:val="22"/>
        </w:rPr>
        <w:t>Archivo General de la Nación (AGN). (2020). Decreto 620 de 2020 – Servicios Ciudadanos Digitales y lineamientos de interoperabilidad. Bogotá D.C.</w:t>
      </w:r>
    </w:p>
    <w:p w14:paraId="23F60E34" w14:textId="77777777" w:rsidR="003B2049" w:rsidRPr="00005EFD" w:rsidRDefault="003B2049" w:rsidP="00A27AA5">
      <w:pPr>
        <w:pStyle w:val="Prrafodelista"/>
        <w:numPr>
          <w:ilvl w:val="0"/>
          <w:numId w:val="17"/>
        </w:numPr>
        <w:spacing w:after="200"/>
        <w:contextualSpacing/>
        <w:jc w:val="both"/>
        <w:rPr>
          <w:rFonts w:ascii="Verdana" w:hAnsi="Verdana" w:cs="Arial"/>
          <w:color w:val="000000" w:themeColor="text1"/>
          <w:sz w:val="22"/>
          <w:szCs w:val="22"/>
        </w:rPr>
      </w:pPr>
      <w:r w:rsidRPr="00005EFD">
        <w:rPr>
          <w:rFonts w:ascii="Verdana" w:hAnsi="Verdana" w:cs="Arial"/>
          <w:color w:val="000000" w:themeColor="text1"/>
          <w:sz w:val="22"/>
          <w:szCs w:val="22"/>
        </w:rPr>
        <w:t>Archivo General de la Nación (AGN). (2024). Acuerdo 001 de 2024 – Lineamientos para la gestión y preservación digital a largo plazo. Bogotá D.C.</w:t>
      </w:r>
    </w:p>
    <w:p w14:paraId="318BB257" w14:textId="77777777" w:rsidR="003B2049" w:rsidRPr="00005EFD" w:rsidRDefault="003B2049" w:rsidP="00A27AA5">
      <w:pPr>
        <w:pStyle w:val="Prrafodelista"/>
        <w:numPr>
          <w:ilvl w:val="0"/>
          <w:numId w:val="17"/>
        </w:numPr>
        <w:spacing w:after="200"/>
        <w:contextualSpacing/>
        <w:jc w:val="both"/>
        <w:rPr>
          <w:rFonts w:ascii="Verdana" w:hAnsi="Verdana" w:cs="Arial"/>
          <w:color w:val="000000" w:themeColor="text1"/>
          <w:sz w:val="22"/>
          <w:szCs w:val="22"/>
        </w:rPr>
      </w:pPr>
      <w:r w:rsidRPr="00005EFD">
        <w:rPr>
          <w:rFonts w:ascii="Verdana" w:hAnsi="Verdana" w:cs="Arial"/>
          <w:color w:val="000000" w:themeColor="text1"/>
          <w:sz w:val="22"/>
          <w:szCs w:val="22"/>
        </w:rPr>
        <w:t>Superintendencia de Sociedades. (2019). GDOC-G-003: Modelo de Requisitos MoReq Supersociedades. Bogotá D.C.</w:t>
      </w:r>
    </w:p>
    <w:p w14:paraId="57457817" w14:textId="77777777" w:rsidR="003B2049" w:rsidRPr="00005EFD" w:rsidRDefault="003B2049" w:rsidP="00A27AA5">
      <w:pPr>
        <w:pStyle w:val="Prrafodelista"/>
        <w:numPr>
          <w:ilvl w:val="0"/>
          <w:numId w:val="17"/>
        </w:numPr>
        <w:spacing w:after="200"/>
        <w:contextualSpacing/>
        <w:jc w:val="both"/>
        <w:rPr>
          <w:rFonts w:ascii="Verdana" w:hAnsi="Verdana" w:cs="Arial"/>
          <w:color w:val="000000" w:themeColor="text1"/>
          <w:sz w:val="22"/>
          <w:szCs w:val="22"/>
        </w:rPr>
      </w:pPr>
      <w:r w:rsidRPr="00005EFD">
        <w:rPr>
          <w:rFonts w:ascii="Verdana" w:hAnsi="Verdana" w:cs="Arial"/>
          <w:color w:val="000000" w:themeColor="text1"/>
          <w:sz w:val="22"/>
          <w:szCs w:val="22"/>
        </w:rPr>
        <w:t>Ministerio de Tecnologías de la Información y las Comunicaciones – MinTIC. (2020). Política de Gobierno Digital. Bogotá D.C.</w:t>
      </w:r>
    </w:p>
    <w:p w14:paraId="1F1CE4F2" w14:textId="77777777" w:rsidR="003B2049" w:rsidRPr="00005EFD" w:rsidRDefault="003B2049" w:rsidP="00A27AA5">
      <w:pPr>
        <w:pStyle w:val="Prrafodelista"/>
        <w:numPr>
          <w:ilvl w:val="0"/>
          <w:numId w:val="17"/>
        </w:numPr>
        <w:spacing w:after="200"/>
        <w:contextualSpacing/>
        <w:jc w:val="both"/>
        <w:rPr>
          <w:rFonts w:ascii="Verdana" w:hAnsi="Verdana" w:cs="Arial"/>
          <w:color w:val="000000" w:themeColor="text1"/>
          <w:sz w:val="22"/>
          <w:szCs w:val="22"/>
        </w:rPr>
      </w:pPr>
      <w:r w:rsidRPr="00005EFD">
        <w:rPr>
          <w:rFonts w:ascii="Verdana" w:hAnsi="Verdana" w:cs="Arial"/>
          <w:color w:val="000000" w:themeColor="text1"/>
          <w:sz w:val="22"/>
          <w:szCs w:val="22"/>
        </w:rPr>
        <w:t>Departamento Administrativo de la Función Pública. (2021). Manual Operativo del Modelo Integrado de Planeación y Gestión – MIPG. Bogotá D.C.</w:t>
      </w:r>
    </w:p>
    <w:p w14:paraId="3287E28B" w14:textId="77777777" w:rsidR="003B2049" w:rsidRPr="00005EFD" w:rsidRDefault="003B2049" w:rsidP="00A27AA5">
      <w:pPr>
        <w:pStyle w:val="Prrafodelista"/>
        <w:numPr>
          <w:ilvl w:val="0"/>
          <w:numId w:val="17"/>
        </w:numPr>
        <w:spacing w:after="200"/>
        <w:contextualSpacing/>
        <w:jc w:val="both"/>
        <w:rPr>
          <w:rFonts w:ascii="Verdana" w:hAnsi="Verdana" w:cs="Arial"/>
          <w:color w:val="000000" w:themeColor="text1"/>
          <w:sz w:val="22"/>
          <w:szCs w:val="22"/>
          <w:lang w:val="en-US"/>
        </w:rPr>
      </w:pPr>
      <w:r w:rsidRPr="00005EFD">
        <w:rPr>
          <w:rFonts w:ascii="Verdana" w:hAnsi="Verdana" w:cs="Arial"/>
          <w:color w:val="000000" w:themeColor="text1"/>
          <w:sz w:val="22"/>
          <w:szCs w:val="22"/>
        </w:rPr>
        <w:t xml:space="preserve">Organización Internacional de Normalización (ISO). </w:t>
      </w:r>
      <w:r w:rsidRPr="00005EFD">
        <w:rPr>
          <w:rFonts w:ascii="Verdana" w:hAnsi="Verdana" w:cs="Arial"/>
          <w:color w:val="000000" w:themeColor="text1"/>
          <w:sz w:val="22"/>
          <w:szCs w:val="22"/>
          <w:lang w:val="en-US"/>
        </w:rPr>
        <w:t>(2006). ISO 14721:2006. Open Archival Information System (OAIS).</w:t>
      </w:r>
    </w:p>
    <w:p w14:paraId="220AC50A" w14:textId="77777777" w:rsidR="003B2049" w:rsidRPr="00005EFD" w:rsidRDefault="003B2049" w:rsidP="00A27AA5">
      <w:pPr>
        <w:pStyle w:val="Prrafodelista"/>
        <w:numPr>
          <w:ilvl w:val="0"/>
          <w:numId w:val="17"/>
        </w:numPr>
        <w:spacing w:after="200"/>
        <w:contextualSpacing/>
        <w:jc w:val="both"/>
        <w:rPr>
          <w:rFonts w:ascii="Verdana" w:hAnsi="Verdana" w:cs="Arial"/>
          <w:color w:val="000000" w:themeColor="text1"/>
          <w:sz w:val="22"/>
          <w:szCs w:val="22"/>
        </w:rPr>
      </w:pPr>
      <w:r w:rsidRPr="00005EFD">
        <w:rPr>
          <w:rFonts w:ascii="Verdana" w:hAnsi="Verdana" w:cs="Arial"/>
          <w:color w:val="000000" w:themeColor="text1"/>
          <w:sz w:val="22"/>
          <w:szCs w:val="22"/>
        </w:rPr>
        <w:t>Organización Internacional de Normalización (ISO). (2017). ISO 23081:2017. Metadatos para la gestión de documentos.</w:t>
      </w:r>
    </w:p>
    <w:p w14:paraId="1235E29C" w14:textId="77777777" w:rsidR="003B2049" w:rsidRPr="00005EFD" w:rsidRDefault="003B2049" w:rsidP="00A27AA5">
      <w:pPr>
        <w:pStyle w:val="Prrafodelista"/>
        <w:numPr>
          <w:ilvl w:val="0"/>
          <w:numId w:val="17"/>
        </w:numPr>
        <w:spacing w:after="200"/>
        <w:contextualSpacing/>
        <w:jc w:val="both"/>
        <w:rPr>
          <w:rFonts w:ascii="Verdana" w:hAnsi="Verdana" w:cs="Arial"/>
          <w:color w:val="000000" w:themeColor="text1"/>
          <w:sz w:val="22"/>
          <w:szCs w:val="22"/>
        </w:rPr>
      </w:pPr>
      <w:r w:rsidRPr="00005EFD">
        <w:rPr>
          <w:rFonts w:ascii="Verdana" w:hAnsi="Verdana" w:cs="Arial"/>
          <w:color w:val="000000" w:themeColor="text1"/>
          <w:sz w:val="22"/>
          <w:szCs w:val="22"/>
        </w:rPr>
        <w:t>Organización Internacional de Normalización (ISO). (2018). ISO 27001:2018. Sistemas de Gestión de Seguridad de la Información.</w:t>
      </w:r>
    </w:p>
    <w:p w14:paraId="38432335" w14:textId="77777777" w:rsidR="003B2049" w:rsidRPr="00005EFD" w:rsidRDefault="003B2049" w:rsidP="00A27AA5">
      <w:pPr>
        <w:pStyle w:val="Prrafodelista"/>
        <w:numPr>
          <w:ilvl w:val="0"/>
          <w:numId w:val="17"/>
        </w:numPr>
        <w:spacing w:after="200"/>
        <w:contextualSpacing/>
        <w:jc w:val="both"/>
        <w:rPr>
          <w:rFonts w:ascii="Verdana" w:hAnsi="Verdana" w:cs="Arial"/>
          <w:color w:val="000000" w:themeColor="text1"/>
          <w:sz w:val="22"/>
          <w:szCs w:val="22"/>
          <w:lang w:val="en-US"/>
        </w:rPr>
      </w:pPr>
      <w:r w:rsidRPr="00005EFD">
        <w:rPr>
          <w:rFonts w:ascii="Verdana" w:hAnsi="Verdana" w:cs="Arial"/>
          <w:color w:val="000000" w:themeColor="text1"/>
          <w:sz w:val="22"/>
          <w:szCs w:val="22"/>
        </w:rPr>
        <w:t xml:space="preserve">Organización Internacional de Normalización (ISO). </w:t>
      </w:r>
      <w:r w:rsidRPr="00005EFD">
        <w:rPr>
          <w:rFonts w:ascii="Verdana" w:hAnsi="Verdana" w:cs="Arial"/>
          <w:color w:val="000000" w:themeColor="text1"/>
          <w:sz w:val="22"/>
          <w:szCs w:val="22"/>
          <w:lang w:val="en-US"/>
        </w:rPr>
        <w:t>(2014). ISO 25010:2014. Systems and software Quality Requirements and Evaluation (SQuaRE).</w:t>
      </w:r>
    </w:p>
    <w:p w14:paraId="02AA8C5D" w14:textId="77777777" w:rsidR="003B2049" w:rsidRPr="00005EFD" w:rsidRDefault="003B2049" w:rsidP="00A27AA5">
      <w:pPr>
        <w:pStyle w:val="Prrafodelista"/>
        <w:numPr>
          <w:ilvl w:val="0"/>
          <w:numId w:val="17"/>
        </w:numPr>
        <w:spacing w:after="200"/>
        <w:contextualSpacing/>
        <w:jc w:val="both"/>
        <w:rPr>
          <w:rFonts w:ascii="Verdana" w:hAnsi="Verdana" w:cs="Arial"/>
          <w:color w:val="000000" w:themeColor="text1"/>
          <w:sz w:val="22"/>
          <w:szCs w:val="22"/>
          <w:lang w:val="en-US"/>
        </w:rPr>
      </w:pPr>
      <w:r w:rsidRPr="00005EFD">
        <w:rPr>
          <w:rFonts w:ascii="Verdana" w:hAnsi="Verdana" w:cs="Arial"/>
          <w:color w:val="000000" w:themeColor="text1"/>
          <w:sz w:val="22"/>
          <w:szCs w:val="22"/>
          <w:lang w:val="en-US"/>
        </w:rPr>
        <w:lastRenderedPageBreak/>
        <w:t>World Wide Web Consortium (W3C). (2018). Web Content Accessibility Guidelines (WCAG) 2.1.</w:t>
      </w:r>
    </w:p>
    <w:p w14:paraId="78A2CFC8" w14:textId="77777777" w:rsidR="00444C28" w:rsidRPr="00005EFD" w:rsidRDefault="00444C28" w:rsidP="005F5896">
      <w:pPr>
        <w:pStyle w:val="Prrafodelista"/>
        <w:spacing w:after="200"/>
        <w:ind w:left="360"/>
        <w:contextualSpacing/>
        <w:jc w:val="both"/>
        <w:rPr>
          <w:rFonts w:ascii="Verdana" w:hAnsi="Verdana" w:cs="Arial"/>
          <w:color w:val="000000" w:themeColor="text1"/>
          <w:sz w:val="22"/>
          <w:szCs w:val="22"/>
          <w:lang w:val="en-US"/>
        </w:rPr>
      </w:pPr>
    </w:p>
    <w:p w14:paraId="63D772AC" w14:textId="1DA9C15C" w:rsidR="003B2049" w:rsidRPr="00005EFD" w:rsidRDefault="003B2049" w:rsidP="00380AD6">
      <w:pPr>
        <w:pStyle w:val="Ttulo1"/>
        <w:numPr>
          <w:ilvl w:val="1"/>
          <w:numId w:val="17"/>
        </w:numPr>
        <w:spacing w:line="240" w:lineRule="auto"/>
        <w:ind w:left="567" w:hanging="567"/>
        <w:jc w:val="left"/>
        <w:rPr>
          <w:rFonts w:ascii="Verdana" w:hAnsi="Verdana"/>
          <w:color w:val="000000" w:themeColor="text1"/>
          <w:sz w:val="22"/>
          <w:szCs w:val="22"/>
        </w:rPr>
      </w:pPr>
      <w:bookmarkStart w:id="30" w:name="_Toc213403812"/>
      <w:r w:rsidRPr="00005EFD">
        <w:rPr>
          <w:rFonts w:ascii="Verdana" w:hAnsi="Verdana"/>
          <w:color w:val="000000" w:themeColor="text1"/>
          <w:sz w:val="22"/>
          <w:szCs w:val="22"/>
        </w:rPr>
        <w:t>CIBERGRAFIA</w:t>
      </w:r>
      <w:bookmarkEnd w:id="30"/>
    </w:p>
    <w:p w14:paraId="2FF0E2BD" w14:textId="77777777" w:rsidR="00444C28" w:rsidRDefault="00444C28" w:rsidP="00380AD6">
      <w:pPr>
        <w:rPr>
          <w:color w:val="000000" w:themeColor="text1"/>
          <w:lang w:val="es-MX"/>
        </w:rPr>
      </w:pPr>
    </w:p>
    <w:p w14:paraId="771236DD" w14:textId="77777777" w:rsidR="00EF6793" w:rsidRDefault="00EF6793" w:rsidP="00534FDF">
      <w:pPr>
        <w:pStyle w:val="Prrafodelista"/>
        <w:numPr>
          <w:ilvl w:val="0"/>
          <w:numId w:val="33"/>
        </w:numPr>
        <w:contextualSpacing/>
        <w:jc w:val="both"/>
        <w:rPr>
          <w:rFonts w:ascii="Verdana" w:hAnsi="Verdana" w:cs="Arial"/>
          <w:color w:val="000000" w:themeColor="text1"/>
          <w:sz w:val="22"/>
          <w:szCs w:val="22"/>
        </w:rPr>
      </w:pPr>
      <w:r w:rsidRPr="00EF6793">
        <w:rPr>
          <w:rFonts w:ascii="Verdana" w:hAnsi="Verdana" w:cs="Arial"/>
          <w:color w:val="000000" w:themeColor="text1"/>
          <w:sz w:val="22"/>
          <w:szCs w:val="22"/>
        </w:rPr>
        <w:t>Superintendencia de Sociedades. Sede Electrónica. Disponible en:</w:t>
      </w:r>
    </w:p>
    <w:p w14:paraId="3C42958B" w14:textId="03A07571" w:rsidR="00EF6793" w:rsidRPr="00EF6793" w:rsidRDefault="00EF6793" w:rsidP="00534FDF">
      <w:pPr>
        <w:ind w:left="360"/>
        <w:contextualSpacing/>
        <w:jc w:val="both"/>
        <w:rPr>
          <w:rFonts w:ascii="Verdana" w:hAnsi="Verdana" w:cs="Arial"/>
          <w:color w:val="000000" w:themeColor="text1"/>
          <w:sz w:val="22"/>
          <w:szCs w:val="22"/>
        </w:rPr>
      </w:pPr>
      <w:hyperlink r:id="rId18" w:history="1">
        <w:r w:rsidRPr="00EF6793">
          <w:rPr>
            <w:rStyle w:val="Hipervnculo"/>
            <w:rFonts w:ascii="Verdana" w:hAnsi="Verdana" w:cs="Arial"/>
            <w:sz w:val="22"/>
            <w:szCs w:val="22"/>
          </w:rPr>
          <w:t>https://www.supersociedades.gov.co/</w:t>
        </w:r>
      </w:hyperlink>
    </w:p>
    <w:p w14:paraId="05FE0CB2" w14:textId="77777777" w:rsidR="00EF6793" w:rsidRPr="00EF6793" w:rsidRDefault="00EF6793" w:rsidP="00534FDF">
      <w:pPr>
        <w:pStyle w:val="Prrafodelista"/>
        <w:ind w:left="720"/>
        <w:rPr>
          <w:color w:val="000000" w:themeColor="text1"/>
          <w:lang w:val="es-MX"/>
        </w:rPr>
      </w:pPr>
    </w:p>
    <w:p w14:paraId="5EF115CC" w14:textId="77777777" w:rsidR="00EF6793" w:rsidRDefault="003B2049" w:rsidP="00534FDF">
      <w:pPr>
        <w:pStyle w:val="Prrafodelista"/>
        <w:numPr>
          <w:ilvl w:val="0"/>
          <w:numId w:val="18"/>
        </w:numPr>
        <w:contextualSpacing/>
        <w:jc w:val="both"/>
        <w:rPr>
          <w:rFonts w:ascii="Verdana" w:hAnsi="Verdana" w:cs="Arial"/>
          <w:color w:val="000000" w:themeColor="text1"/>
          <w:sz w:val="22"/>
          <w:szCs w:val="22"/>
        </w:rPr>
      </w:pPr>
      <w:r w:rsidRPr="00005EFD">
        <w:rPr>
          <w:rFonts w:ascii="Verdana" w:hAnsi="Verdana" w:cs="Arial"/>
          <w:color w:val="000000" w:themeColor="text1"/>
          <w:sz w:val="22"/>
          <w:szCs w:val="22"/>
        </w:rPr>
        <w:t xml:space="preserve">Superintendencia de Sociedades. Tesauro Jurídico (IA). Disponible en: </w:t>
      </w:r>
    </w:p>
    <w:p w14:paraId="36C388DA" w14:textId="70B3972B" w:rsidR="003B2049" w:rsidRPr="00EF6793" w:rsidRDefault="00EF6793" w:rsidP="00534FDF">
      <w:pPr>
        <w:pStyle w:val="Prrafodelista"/>
        <w:numPr>
          <w:ilvl w:val="0"/>
          <w:numId w:val="18"/>
        </w:numPr>
        <w:contextualSpacing/>
        <w:jc w:val="both"/>
        <w:rPr>
          <w:rFonts w:ascii="Verdana" w:hAnsi="Verdana" w:cs="Arial"/>
          <w:color w:val="000000" w:themeColor="text1"/>
          <w:sz w:val="22"/>
          <w:szCs w:val="22"/>
        </w:rPr>
      </w:pPr>
      <w:hyperlink r:id="rId19" w:history="1">
        <w:r w:rsidRPr="00EF6793">
          <w:rPr>
            <w:rStyle w:val="Hipervnculo"/>
            <w:rFonts w:ascii="Verdana" w:hAnsi="Verdana" w:cs="Arial"/>
            <w:sz w:val="22"/>
            <w:szCs w:val="22"/>
          </w:rPr>
          <w:t>https://www.supersociedades.gov.co/tesauro</w:t>
        </w:r>
      </w:hyperlink>
    </w:p>
    <w:p w14:paraId="4F161BF3" w14:textId="77777777" w:rsidR="00EF6793" w:rsidRPr="00EF6793" w:rsidRDefault="00EF6793" w:rsidP="00534FDF">
      <w:pPr>
        <w:pStyle w:val="Prrafodelista"/>
        <w:ind w:left="502"/>
        <w:contextualSpacing/>
        <w:jc w:val="both"/>
        <w:rPr>
          <w:rFonts w:ascii="Verdana" w:hAnsi="Verdana" w:cs="Arial"/>
          <w:color w:val="000000" w:themeColor="text1"/>
          <w:sz w:val="22"/>
          <w:szCs w:val="22"/>
        </w:rPr>
      </w:pPr>
    </w:p>
    <w:p w14:paraId="0665E625" w14:textId="5F4586A9" w:rsidR="003B2049" w:rsidRPr="00534FDF" w:rsidRDefault="003B2049" w:rsidP="00534FDF">
      <w:pPr>
        <w:pStyle w:val="Prrafodelista"/>
        <w:numPr>
          <w:ilvl w:val="0"/>
          <w:numId w:val="18"/>
        </w:numPr>
        <w:ind w:left="499" w:hanging="357"/>
        <w:contextualSpacing/>
        <w:jc w:val="both"/>
        <w:rPr>
          <w:rStyle w:val="Hipervnculo"/>
        </w:rPr>
      </w:pPr>
      <w:r w:rsidRPr="00534FDF">
        <w:rPr>
          <w:rFonts w:ascii="Verdana" w:hAnsi="Verdana" w:cs="Arial"/>
          <w:color w:val="000000" w:themeColor="text1"/>
          <w:sz w:val="22"/>
          <w:szCs w:val="22"/>
        </w:rPr>
        <w:t>Superintendencia de Sociedades. Siarelis – Asistente automatizado en litigios societarios. Disponible en:</w:t>
      </w:r>
      <w:r w:rsidR="00534FDF" w:rsidRPr="00534FDF">
        <w:rPr>
          <w:rFonts w:ascii="Verdana" w:hAnsi="Verdana" w:cs="Arial"/>
          <w:color w:val="000000" w:themeColor="text1"/>
          <w:sz w:val="22"/>
          <w:szCs w:val="22"/>
        </w:rPr>
        <w:t xml:space="preserve"> </w:t>
      </w:r>
      <w:hyperlink r:id="rId20" w:history="1">
        <w:r w:rsidR="001F4466" w:rsidRPr="00534FDF">
          <w:rPr>
            <w:rStyle w:val="Hipervnculo"/>
            <w:rFonts w:ascii="Verdana" w:hAnsi="Verdana" w:cs="Arial"/>
            <w:sz w:val="22"/>
            <w:szCs w:val="22"/>
          </w:rPr>
          <w:t>https://www.supersociedades.gov.co/siarelis</w:t>
        </w:r>
      </w:hyperlink>
    </w:p>
    <w:p w14:paraId="32C8896F" w14:textId="77777777" w:rsidR="00534FDF" w:rsidRPr="00534FDF" w:rsidRDefault="00534FDF" w:rsidP="00534FDF">
      <w:pPr>
        <w:pStyle w:val="Prrafodelista"/>
        <w:ind w:left="499"/>
        <w:contextualSpacing/>
        <w:jc w:val="both"/>
        <w:rPr>
          <w:rFonts w:ascii="Verdana" w:hAnsi="Verdana" w:cs="Arial"/>
          <w:color w:val="000000" w:themeColor="text1"/>
          <w:sz w:val="22"/>
          <w:szCs w:val="22"/>
        </w:rPr>
      </w:pPr>
    </w:p>
    <w:p w14:paraId="22EC415A" w14:textId="77777777" w:rsidR="00534FDF" w:rsidRDefault="003B2049" w:rsidP="00180835">
      <w:pPr>
        <w:pStyle w:val="Prrafodelista"/>
        <w:numPr>
          <w:ilvl w:val="0"/>
          <w:numId w:val="18"/>
        </w:numPr>
        <w:contextualSpacing/>
        <w:jc w:val="both"/>
        <w:rPr>
          <w:rFonts w:ascii="Verdana" w:hAnsi="Verdana" w:cs="Arial"/>
          <w:color w:val="000000" w:themeColor="text1"/>
          <w:sz w:val="22"/>
          <w:szCs w:val="22"/>
        </w:rPr>
      </w:pPr>
      <w:r w:rsidRPr="00005EFD">
        <w:rPr>
          <w:rFonts w:ascii="Verdana" w:hAnsi="Verdana" w:cs="Arial"/>
          <w:color w:val="000000" w:themeColor="text1"/>
          <w:sz w:val="22"/>
          <w:szCs w:val="22"/>
        </w:rPr>
        <w:t xml:space="preserve">Colombia Compra Eficiente – SECOP. Contratación de soluciones BPM, Genesys Cloud, Software Forense y licencias de infraestructura. Disponible en: </w:t>
      </w:r>
    </w:p>
    <w:p w14:paraId="0E3ACFD8" w14:textId="4684DAAA" w:rsidR="003B2049" w:rsidRPr="00534FDF" w:rsidRDefault="00180835" w:rsidP="00180835">
      <w:pPr>
        <w:pStyle w:val="Prrafodelista"/>
        <w:ind w:left="502"/>
        <w:contextualSpacing/>
        <w:jc w:val="both"/>
        <w:rPr>
          <w:rFonts w:ascii="Verdana" w:hAnsi="Verdana" w:cs="Arial"/>
          <w:color w:val="000000" w:themeColor="text1"/>
          <w:sz w:val="22"/>
          <w:szCs w:val="22"/>
        </w:rPr>
      </w:pPr>
      <w:hyperlink r:id="rId21" w:history="1">
        <w:r w:rsidRPr="00180835">
          <w:rPr>
            <w:rStyle w:val="Hipervnculo"/>
            <w:rFonts w:ascii="Verdana" w:hAnsi="Verdana" w:cs="Arial"/>
            <w:sz w:val="22"/>
            <w:szCs w:val="22"/>
          </w:rPr>
          <w:t>https://www.colombiacompra.gov.co/secop</w:t>
        </w:r>
      </w:hyperlink>
    </w:p>
    <w:p w14:paraId="2B1FEF75" w14:textId="77777777" w:rsidR="00534FDF" w:rsidRPr="00005EFD" w:rsidRDefault="00534FDF" w:rsidP="00180835">
      <w:pPr>
        <w:pStyle w:val="Prrafodelista"/>
        <w:ind w:left="502"/>
        <w:contextualSpacing/>
        <w:jc w:val="both"/>
        <w:rPr>
          <w:rFonts w:ascii="Verdana" w:hAnsi="Verdana" w:cs="Arial"/>
          <w:color w:val="000000" w:themeColor="text1"/>
          <w:sz w:val="22"/>
          <w:szCs w:val="22"/>
        </w:rPr>
      </w:pPr>
    </w:p>
    <w:p w14:paraId="5B66794C" w14:textId="77777777" w:rsidR="00534FDF" w:rsidRDefault="003B2049" w:rsidP="00180835">
      <w:pPr>
        <w:pStyle w:val="Prrafodelista"/>
        <w:numPr>
          <w:ilvl w:val="0"/>
          <w:numId w:val="18"/>
        </w:numPr>
        <w:contextualSpacing/>
        <w:jc w:val="both"/>
        <w:rPr>
          <w:rFonts w:ascii="Verdana" w:hAnsi="Verdana" w:cs="Arial"/>
          <w:color w:val="000000" w:themeColor="text1"/>
          <w:sz w:val="22"/>
          <w:szCs w:val="22"/>
        </w:rPr>
      </w:pPr>
      <w:r w:rsidRPr="00005EFD">
        <w:rPr>
          <w:rFonts w:ascii="Verdana" w:hAnsi="Verdana" w:cs="Arial"/>
          <w:color w:val="000000" w:themeColor="text1"/>
          <w:sz w:val="22"/>
          <w:szCs w:val="22"/>
        </w:rPr>
        <w:t xml:space="preserve">Infolaft. (2022). Sistemas de Inteligencia Artificial aplicados a la Superintendencia de Sociedades. Disponible en: </w:t>
      </w:r>
    </w:p>
    <w:p w14:paraId="01444001" w14:textId="637B5801" w:rsidR="003B2049" w:rsidRPr="00534FDF" w:rsidRDefault="00534FDF" w:rsidP="00180835">
      <w:pPr>
        <w:pStyle w:val="Prrafodelista"/>
        <w:numPr>
          <w:ilvl w:val="0"/>
          <w:numId w:val="18"/>
        </w:numPr>
        <w:contextualSpacing/>
        <w:jc w:val="both"/>
        <w:rPr>
          <w:rFonts w:ascii="Verdana" w:hAnsi="Verdana" w:cs="Arial"/>
          <w:color w:val="000000" w:themeColor="text1"/>
          <w:sz w:val="22"/>
          <w:szCs w:val="22"/>
        </w:rPr>
      </w:pPr>
      <w:hyperlink r:id="rId22" w:history="1">
        <w:r w:rsidRPr="00534FDF">
          <w:rPr>
            <w:rStyle w:val="Hipervnculo"/>
            <w:rFonts w:ascii="Verdana" w:hAnsi="Verdana" w:cs="Arial"/>
            <w:sz w:val="22"/>
            <w:szCs w:val="22"/>
          </w:rPr>
          <w:t>https://www.infolaft.com</w:t>
        </w:r>
      </w:hyperlink>
    </w:p>
    <w:p w14:paraId="642AB289" w14:textId="77777777" w:rsidR="00534FDF" w:rsidRDefault="003B2049" w:rsidP="00534FDF">
      <w:pPr>
        <w:pStyle w:val="Prrafodelista"/>
        <w:numPr>
          <w:ilvl w:val="0"/>
          <w:numId w:val="18"/>
        </w:numPr>
        <w:contextualSpacing/>
        <w:jc w:val="both"/>
        <w:rPr>
          <w:rFonts w:ascii="Verdana" w:hAnsi="Verdana" w:cs="Arial"/>
          <w:color w:val="000000" w:themeColor="text1"/>
          <w:sz w:val="22"/>
          <w:szCs w:val="22"/>
        </w:rPr>
      </w:pPr>
      <w:r w:rsidRPr="00005EFD">
        <w:rPr>
          <w:rFonts w:ascii="Verdana" w:hAnsi="Verdana" w:cs="Arial"/>
          <w:color w:val="000000" w:themeColor="text1"/>
          <w:sz w:val="22"/>
          <w:szCs w:val="22"/>
        </w:rPr>
        <w:t xml:space="preserve">Datos Abiertos Colombia. (2019). Plataforma BPM y automatización de procesos – Supersociedades. Disponible en: </w:t>
      </w:r>
    </w:p>
    <w:p w14:paraId="3258121F" w14:textId="3682AD44" w:rsidR="003B2049" w:rsidRPr="00005EFD" w:rsidRDefault="00534FDF" w:rsidP="00534FDF">
      <w:pPr>
        <w:pStyle w:val="Prrafodelista"/>
        <w:numPr>
          <w:ilvl w:val="0"/>
          <w:numId w:val="18"/>
        </w:numPr>
        <w:contextualSpacing/>
        <w:jc w:val="both"/>
        <w:rPr>
          <w:rFonts w:ascii="Verdana" w:hAnsi="Verdana" w:cs="Arial"/>
          <w:color w:val="000000" w:themeColor="text1"/>
          <w:sz w:val="22"/>
          <w:szCs w:val="22"/>
        </w:rPr>
      </w:pPr>
      <w:hyperlink r:id="rId23" w:history="1">
        <w:r w:rsidRPr="00534FDF">
          <w:rPr>
            <w:rStyle w:val="Hipervnculo"/>
            <w:rFonts w:ascii="Verdana" w:hAnsi="Verdana" w:cs="Arial"/>
            <w:sz w:val="22"/>
            <w:szCs w:val="22"/>
          </w:rPr>
          <w:t>https://www.datos.gov.co</w:t>
        </w:r>
      </w:hyperlink>
    </w:p>
    <w:p w14:paraId="1F8772C0" w14:textId="77777777" w:rsidR="004426EA" w:rsidRPr="00005EFD" w:rsidRDefault="004426EA" w:rsidP="00380AD6">
      <w:pPr>
        <w:pStyle w:val="Prrafodelista"/>
        <w:ind w:left="502"/>
        <w:contextualSpacing/>
        <w:jc w:val="both"/>
        <w:rPr>
          <w:rFonts w:ascii="Verdana" w:hAnsi="Verdana" w:cs="Arial"/>
          <w:color w:val="000000" w:themeColor="text1"/>
          <w:sz w:val="22"/>
          <w:szCs w:val="22"/>
        </w:rPr>
      </w:pPr>
    </w:p>
    <w:p w14:paraId="77BC0C19" w14:textId="3B1ABD56" w:rsidR="003B2049" w:rsidRPr="00005EFD" w:rsidRDefault="003B2049" w:rsidP="00380AD6">
      <w:pPr>
        <w:pStyle w:val="Prrafodelista"/>
        <w:numPr>
          <w:ilvl w:val="0"/>
          <w:numId w:val="18"/>
        </w:numPr>
        <w:contextualSpacing/>
        <w:jc w:val="both"/>
        <w:rPr>
          <w:rFonts w:ascii="Verdana" w:hAnsi="Verdana" w:cs="Arial"/>
          <w:color w:val="000000" w:themeColor="text1"/>
          <w:sz w:val="22"/>
          <w:szCs w:val="22"/>
        </w:rPr>
      </w:pPr>
      <w:r w:rsidRPr="00005EFD">
        <w:rPr>
          <w:rFonts w:ascii="Verdana" w:hAnsi="Verdana" w:cs="Arial"/>
          <w:color w:val="000000" w:themeColor="text1"/>
          <w:sz w:val="22"/>
          <w:szCs w:val="22"/>
          <w:lang w:val="pt-BR"/>
        </w:rPr>
        <w:t xml:space="preserve">Instituto Nacional de Contadores Públicos (INCP). </w:t>
      </w:r>
      <w:r w:rsidRPr="00005EFD">
        <w:rPr>
          <w:rFonts w:ascii="Verdana" w:hAnsi="Verdana" w:cs="Arial"/>
          <w:color w:val="000000" w:themeColor="text1"/>
          <w:sz w:val="22"/>
          <w:szCs w:val="22"/>
        </w:rPr>
        <w:t>(2022). Tesauro y aplicativos con inteligencia artificial en Supersociedades. Disponible en:</w:t>
      </w:r>
      <w:r w:rsidR="00EF6793">
        <w:rPr>
          <w:rFonts w:ascii="Verdana" w:hAnsi="Verdana" w:cs="Arial"/>
          <w:color w:val="000000" w:themeColor="text1"/>
          <w:sz w:val="22"/>
          <w:szCs w:val="22"/>
        </w:rPr>
        <w:t xml:space="preserve"> </w:t>
      </w:r>
      <w:hyperlink r:id="rId24" w:history="1">
        <w:r w:rsidR="00EF6793" w:rsidRPr="00EF6793">
          <w:rPr>
            <w:rStyle w:val="Hipervnculo"/>
            <w:rFonts w:ascii="Verdana" w:hAnsi="Verdana" w:cs="Arial"/>
            <w:sz w:val="22"/>
            <w:szCs w:val="22"/>
          </w:rPr>
          <w:t>https://incp.org.co</w:t>
        </w:r>
      </w:hyperlink>
    </w:p>
    <w:p w14:paraId="2ADBEC39" w14:textId="77777777" w:rsidR="00AC0C73" w:rsidRPr="00005EFD" w:rsidRDefault="00AC0C73" w:rsidP="00380AD6">
      <w:pPr>
        <w:pStyle w:val="Prrafodelista"/>
        <w:jc w:val="both"/>
        <w:rPr>
          <w:rFonts w:ascii="Verdana" w:hAnsi="Verdana" w:cs="Arial"/>
          <w:color w:val="000000" w:themeColor="text1"/>
          <w:sz w:val="22"/>
          <w:szCs w:val="22"/>
        </w:rPr>
      </w:pPr>
    </w:p>
    <w:p w14:paraId="273A954F" w14:textId="77777777" w:rsidR="00EF6793" w:rsidRDefault="003B2049" w:rsidP="00380AD6">
      <w:pPr>
        <w:pStyle w:val="Prrafodelista"/>
        <w:numPr>
          <w:ilvl w:val="0"/>
          <w:numId w:val="18"/>
        </w:numPr>
        <w:contextualSpacing/>
        <w:jc w:val="both"/>
        <w:rPr>
          <w:rFonts w:ascii="Verdana" w:hAnsi="Verdana" w:cs="Arial"/>
          <w:color w:val="000000" w:themeColor="text1"/>
          <w:sz w:val="22"/>
          <w:szCs w:val="22"/>
        </w:rPr>
      </w:pPr>
      <w:bookmarkStart w:id="31" w:name="_Hlk215039935"/>
      <w:r w:rsidRPr="00005EFD">
        <w:rPr>
          <w:rFonts w:ascii="Verdana" w:hAnsi="Verdana" w:cs="Arial"/>
          <w:color w:val="000000" w:themeColor="text1"/>
          <w:sz w:val="22"/>
          <w:szCs w:val="22"/>
        </w:rPr>
        <w:t xml:space="preserve">MinTIC. Servicios Ciudadanos Digitales. Disponible en: </w:t>
      </w:r>
    </w:p>
    <w:p w14:paraId="07A13E8D" w14:textId="311D835C" w:rsidR="00AC0C73" w:rsidRPr="00EF6793" w:rsidRDefault="00EF6793" w:rsidP="00EF6793">
      <w:pPr>
        <w:pStyle w:val="Prrafodelista"/>
        <w:ind w:left="502"/>
        <w:contextualSpacing/>
        <w:jc w:val="both"/>
        <w:rPr>
          <w:rFonts w:ascii="Verdana" w:hAnsi="Verdana" w:cs="Arial"/>
          <w:color w:val="000000" w:themeColor="text1"/>
          <w:sz w:val="22"/>
          <w:szCs w:val="22"/>
        </w:rPr>
      </w:pPr>
      <w:hyperlink r:id="rId25" w:history="1">
        <w:r w:rsidRPr="00EF6793">
          <w:rPr>
            <w:rStyle w:val="Hipervnculo"/>
            <w:rFonts w:ascii="Verdana" w:hAnsi="Verdana" w:cs="Arial"/>
            <w:sz w:val="22"/>
            <w:szCs w:val="22"/>
          </w:rPr>
          <w:t>https://gobiernodigital.mintic.gov.co/</w:t>
        </w:r>
      </w:hyperlink>
    </w:p>
    <w:p w14:paraId="35E74CBE" w14:textId="77777777" w:rsidR="00EF6793" w:rsidRPr="00EF6793" w:rsidRDefault="00EF6793" w:rsidP="00EF6793">
      <w:pPr>
        <w:pStyle w:val="Prrafodelista"/>
        <w:rPr>
          <w:rFonts w:ascii="Verdana" w:hAnsi="Verdana" w:cs="Arial"/>
          <w:color w:val="000000" w:themeColor="text1"/>
          <w:sz w:val="22"/>
          <w:szCs w:val="22"/>
        </w:rPr>
      </w:pPr>
    </w:p>
    <w:p w14:paraId="084AD4F3" w14:textId="77777777" w:rsidR="00380AD6" w:rsidRPr="00005EFD" w:rsidRDefault="00380AD6" w:rsidP="00380AD6">
      <w:pPr>
        <w:pStyle w:val="Prrafodelista"/>
        <w:rPr>
          <w:rFonts w:ascii="Verdana" w:hAnsi="Verdana" w:cs="Arial"/>
          <w:color w:val="000000" w:themeColor="text1"/>
          <w:sz w:val="22"/>
          <w:szCs w:val="22"/>
        </w:rPr>
      </w:pPr>
    </w:p>
    <w:p w14:paraId="3C8206C9" w14:textId="77777777" w:rsidR="00380AD6" w:rsidRDefault="00380AD6" w:rsidP="00380AD6">
      <w:pPr>
        <w:pStyle w:val="Prrafodelista"/>
        <w:ind w:left="502"/>
        <w:contextualSpacing/>
        <w:jc w:val="both"/>
        <w:rPr>
          <w:rFonts w:ascii="Verdana" w:hAnsi="Verdana" w:cs="Arial"/>
          <w:color w:val="000000" w:themeColor="text1"/>
          <w:sz w:val="22"/>
          <w:szCs w:val="22"/>
        </w:rPr>
      </w:pPr>
    </w:p>
    <w:p w14:paraId="5139EA08" w14:textId="77777777" w:rsidR="00DE3CCA" w:rsidRDefault="00DE3CCA" w:rsidP="00380AD6">
      <w:pPr>
        <w:pStyle w:val="Prrafodelista"/>
        <w:ind w:left="502"/>
        <w:contextualSpacing/>
        <w:jc w:val="both"/>
        <w:rPr>
          <w:rFonts w:ascii="Verdana" w:hAnsi="Verdana" w:cs="Arial"/>
          <w:color w:val="000000" w:themeColor="text1"/>
          <w:sz w:val="22"/>
          <w:szCs w:val="22"/>
        </w:rPr>
      </w:pPr>
    </w:p>
    <w:p w14:paraId="2E96A481" w14:textId="77777777" w:rsidR="00DE3CCA" w:rsidRDefault="00DE3CCA" w:rsidP="00380AD6">
      <w:pPr>
        <w:pStyle w:val="Prrafodelista"/>
        <w:ind w:left="502"/>
        <w:contextualSpacing/>
        <w:jc w:val="both"/>
        <w:rPr>
          <w:rFonts w:ascii="Verdana" w:hAnsi="Verdana" w:cs="Arial"/>
          <w:color w:val="000000" w:themeColor="text1"/>
          <w:sz w:val="22"/>
          <w:szCs w:val="22"/>
        </w:rPr>
      </w:pPr>
    </w:p>
    <w:p w14:paraId="22EA017E" w14:textId="77777777" w:rsidR="00DE3CCA" w:rsidRDefault="00DE3CCA" w:rsidP="00380AD6">
      <w:pPr>
        <w:pStyle w:val="Prrafodelista"/>
        <w:ind w:left="502"/>
        <w:contextualSpacing/>
        <w:jc w:val="both"/>
        <w:rPr>
          <w:rFonts w:ascii="Verdana" w:hAnsi="Verdana" w:cs="Arial"/>
          <w:color w:val="000000" w:themeColor="text1"/>
          <w:sz w:val="22"/>
          <w:szCs w:val="22"/>
        </w:rPr>
      </w:pPr>
    </w:p>
    <w:p w14:paraId="7CF0B8A5" w14:textId="77777777" w:rsidR="00DE3CCA" w:rsidRDefault="00DE3CCA" w:rsidP="00380AD6">
      <w:pPr>
        <w:pStyle w:val="Prrafodelista"/>
        <w:ind w:left="502"/>
        <w:contextualSpacing/>
        <w:jc w:val="both"/>
        <w:rPr>
          <w:rFonts w:ascii="Verdana" w:hAnsi="Verdana" w:cs="Arial"/>
          <w:color w:val="000000" w:themeColor="text1"/>
          <w:sz w:val="22"/>
          <w:szCs w:val="22"/>
        </w:rPr>
      </w:pPr>
    </w:p>
    <w:p w14:paraId="0B7FDA08" w14:textId="77777777" w:rsidR="00DE3CCA" w:rsidRDefault="00DE3CCA" w:rsidP="00380AD6">
      <w:pPr>
        <w:pStyle w:val="Prrafodelista"/>
        <w:ind w:left="502"/>
        <w:contextualSpacing/>
        <w:jc w:val="both"/>
        <w:rPr>
          <w:rFonts w:ascii="Verdana" w:hAnsi="Verdana" w:cs="Arial"/>
          <w:color w:val="000000" w:themeColor="text1"/>
          <w:sz w:val="22"/>
          <w:szCs w:val="22"/>
        </w:rPr>
      </w:pPr>
    </w:p>
    <w:p w14:paraId="154E0AD1" w14:textId="77777777" w:rsidR="00DE3CCA" w:rsidRDefault="00DE3CCA" w:rsidP="00380AD6">
      <w:pPr>
        <w:pStyle w:val="Prrafodelista"/>
        <w:ind w:left="502"/>
        <w:contextualSpacing/>
        <w:jc w:val="both"/>
        <w:rPr>
          <w:rFonts w:ascii="Verdana" w:hAnsi="Verdana" w:cs="Arial"/>
          <w:color w:val="000000" w:themeColor="text1"/>
          <w:sz w:val="22"/>
          <w:szCs w:val="22"/>
        </w:rPr>
      </w:pPr>
    </w:p>
    <w:p w14:paraId="1D666494" w14:textId="77777777" w:rsidR="00DE3CCA" w:rsidRDefault="00DE3CCA" w:rsidP="00380AD6">
      <w:pPr>
        <w:pStyle w:val="Prrafodelista"/>
        <w:ind w:left="502"/>
        <w:contextualSpacing/>
        <w:jc w:val="both"/>
        <w:rPr>
          <w:rFonts w:ascii="Verdana" w:hAnsi="Verdana" w:cs="Arial"/>
          <w:color w:val="000000" w:themeColor="text1"/>
          <w:sz w:val="22"/>
          <w:szCs w:val="22"/>
        </w:rPr>
      </w:pPr>
    </w:p>
    <w:p w14:paraId="3DAA57D4" w14:textId="77777777" w:rsidR="00DE3CCA" w:rsidRDefault="00DE3CCA" w:rsidP="00380AD6">
      <w:pPr>
        <w:pStyle w:val="Prrafodelista"/>
        <w:ind w:left="502"/>
        <w:contextualSpacing/>
        <w:jc w:val="both"/>
        <w:rPr>
          <w:rFonts w:ascii="Verdana" w:hAnsi="Verdana" w:cs="Arial"/>
          <w:color w:val="000000" w:themeColor="text1"/>
          <w:sz w:val="22"/>
          <w:szCs w:val="22"/>
        </w:rPr>
      </w:pPr>
    </w:p>
    <w:p w14:paraId="74F6F240" w14:textId="77777777" w:rsidR="00DE3CCA" w:rsidRDefault="00DE3CCA" w:rsidP="00380AD6">
      <w:pPr>
        <w:pStyle w:val="Prrafodelista"/>
        <w:ind w:left="502"/>
        <w:contextualSpacing/>
        <w:jc w:val="both"/>
        <w:rPr>
          <w:rFonts w:ascii="Verdana" w:hAnsi="Verdana" w:cs="Arial"/>
          <w:color w:val="000000" w:themeColor="text1"/>
          <w:sz w:val="22"/>
          <w:szCs w:val="22"/>
        </w:rPr>
      </w:pPr>
    </w:p>
    <w:bookmarkEnd w:id="31"/>
    <w:p w14:paraId="1C07AF3B" w14:textId="1A95B7E5" w:rsidR="001210BA" w:rsidRPr="00005EFD" w:rsidRDefault="00E81094" w:rsidP="00380AD6">
      <w:pPr>
        <w:pStyle w:val="Ttulo1"/>
        <w:spacing w:line="240" w:lineRule="auto"/>
        <w:jc w:val="both"/>
        <w:rPr>
          <w:rFonts w:ascii="Verdana" w:hAnsi="Verdana"/>
          <w:color w:val="000000" w:themeColor="text1"/>
          <w:sz w:val="22"/>
          <w:szCs w:val="22"/>
        </w:rPr>
      </w:pPr>
      <w:r w:rsidRPr="00005EFD">
        <w:rPr>
          <w:rFonts w:ascii="Verdana" w:hAnsi="Verdana"/>
          <w:color w:val="000000" w:themeColor="text1"/>
          <w:sz w:val="22"/>
          <w:szCs w:val="22"/>
        </w:rPr>
        <w:t>6</w:t>
      </w:r>
      <w:r w:rsidR="00AC389F" w:rsidRPr="00005EFD">
        <w:rPr>
          <w:rFonts w:ascii="Verdana" w:hAnsi="Verdana"/>
          <w:color w:val="000000" w:themeColor="text1"/>
          <w:sz w:val="22"/>
          <w:szCs w:val="22"/>
        </w:rPr>
        <w:t xml:space="preserve">. </w:t>
      </w:r>
      <w:r w:rsidR="0007378A" w:rsidRPr="00005EFD">
        <w:rPr>
          <w:rFonts w:ascii="Verdana" w:hAnsi="Verdana"/>
          <w:color w:val="000000" w:themeColor="text1"/>
          <w:sz w:val="22"/>
          <w:szCs w:val="22"/>
        </w:rPr>
        <w:t xml:space="preserve">CONTROL DE CAMBIOS </w:t>
      </w:r>
    </w:p>
    <w:tbl>
      <w:tblPr>
        <w:tblStyle w:val="Tablaconcuadrcula"/>
        <w:tblW w:w="0" w:type="auto"/>
        <w:jc w:val="center"/>
        <w:tblLook w:val="04A0" w:firstRow="1" w:lastRow="0" w:firstColumn="1" w:lastColumn="0" w:noHBand="0" w:noVBand="1"/>
      </w:tblPr>
      <w:tblGrid>
        <w:gridCol w:w="1271"/>
        <w:gridCol w:w="1379"/>
        <w:gridCol w:w="6979"/>
      </w:tblGrid>
      <w:tr w:rsidR="00005EFD" w:rsidRPr="00005EFD" w14:paraId="3A1A9154" w14:textId="77777777" w:rsidTr="00E602D4">
        <w:trPr>
          <w:trHeight w:val="345"/>
          <w:jc w:val="center"/>
        </w:trPr>
        <w:tc>
          <w:tcPr>
            <w:tcW w:w="1271" w:type="dxa"/>
            <w:shd w:val="clear" w:color="auto" w:fill="F2DCDB"/>
            <w:vAlign w:val="center"/>
          </w:tcPr>
          <w:p w14:paraId="48DAA568" w14:textId="77777777" w:rsidR="006B4FEE" w:rsidRPr="00005EFD" w:rsidRDefault="006B4FEE" w:rsidP="00E602D4">
            <w:pPr>
              <w:jc w:val="center"/>
              <w:rPr>
                <w:rFonts w:ascii="Verdana" w:hAnsi="Verdana"/>
                <w:b/>
                <w:bCs/>
                <w:color w:val="000000" w:themeColor="text1"/>
                <w:sz w:val="18"/>
                <w:szCs w:val="18"/>
              </w:rPr>
            </w:pPr>
            <w:r w:rsidRPr="00005EFD">
              <w:rPr>
                <w:rFonts w:ascii="Verdana" w:hAnsi="Verdana"/>
                <w:b/>
                <w:bCs/>
                <w:color w:val="000000" w:themeColor="text1"/>
                <w:sz w:val="18"/>
                <w:szCs w:val="18"/>
              </w:rPr>
              <w:t>Versión</w:t>
            </w:r>
          </w:p>
        </w:tc>
        <w:tc>
          <w:tcPr>
            <w:tcW w:w="1379" w:type="dxa"/>
            <w:shd w:val="clear" w:color="auto" w:fill="F2DCDB"/>
            <w:vAlign w:val="center"/>
          </w:tcPr>
          <w:p w14:paraId="07086C8A" w14:textId="77777777" w:rsidR="006B4FEE" w:rsidRPr="00005EFD" w:rsidRDefault="006B4FEE" w:rsidP="00E602D4">
            <w:pPr>
              <w:jc w:val="center"/>
              <w:rPr>
                <w:rFonts w:ascii="Verdana" w:hAnsi="Verdana"/>
                <w:b/>
                <w:bCs/>
                <w:color w:val="000000" w:themeColor="text1"/>
                <w:sz w:val="18"/>
                <w:szCs w:val="18"/>
              </w:rPr>
            </w:pPr>
            <w:r w:rsidRPr="00005EFD">
              <w:rPr>
                <w:rFonts w:ascii="Verdana" w:hAnsi="Verdana"/>
                <w:b/>
                <w:bCs/>
                <w:color w:val="000000" w:themeColor="text1"/>
                <w:sz w:val="18"/>
                <w:szCs w:val="18"/>
              </w:rPr>
              <w:t>Fecha</w:t>
            </w:r>
          </w:p>
        </w:tc>
        <w:tc>
          <w:tcPr>
            <w:tcW w:w="6979" w:type="dxa"/>
            <w:shd w:val="clear" w:color="auto" w:fill="F2DCDB"/>
            <w:vAlign w:val="center"/>
          </w:tcPr>
          <w:p w14:paraId="693890DE" w14:textId="77777777" w:rsidR="006B4FEE" w:rsidRPr="00005EFD" w:rsidRDefault="006B4FEE" w:rsidP="00E602D4">
            <w:pPr>
              <w:jc w:val="center"/>
              <w:rPr>
                <w:rFonts w:ascii="Verdana" w:hAnsi="Verdana"/>
                <w:b/>
                <w:bCs/>
                <w:color w:val="000000" w:themeColor="text1"/>
                <w:sz w:val="18"/>
                <w:szCs w:val="18"/>
              </w:rPr>
            </w:pPr>
            <w:r w:rsidRPr="00005EFD">
              <w:rPr>
                <w:rFonts w:ascii="Verdana" w:hAnsi="Verdana"/>
                <w:b/>
                <w:bCs/>
                <w:color w:val="000000" w:themeColor="text1"/>
                <w:sz w:val="18"/>
                <w:szCs w:val="18"/>
              </w:rPr>
              <w:t xml:space="preserve">Descripción del Cambio </w:t>
            </w:r>
          </w:p>
        </w:tc>
      </w:tr>
      <w:tr w:rsidR="00A5248D" w:rsidRPr="00005EFD" w14:paraId="1E949A0C" w14:textId="77777777" w:rsidTr="00C23975">
        <w:trPr>
          <w:trHeight w:val="365"/>
          <w:jc w:val="center"/>
        </w:trPr>
        <w:tc>
          <w:tcPr>
            <w:tcW w:w="1271" w:type="dxa"/>
            <w:vAlign w:val="center"/>
          </w:tcPr>
          <w:p w14:paraId="588BA0A1" w14:textId="13F931B7" w:rsidR="00A5248D" w:rsidRPr="00005EFD" w:rsidRDefault="00A5248D" w:rsidP="00A5248D">
            <w:pPr>
              <w:jc w:val="center"/>
              <w:rPr>
                <w:rFonts w:ascii="Verdana" w:hAnsi="Verdana" w:cs="Arial"/>
                <w:color w:val="000000" w:themeColor="text1"/>
                <w:sz w:val="18"/>
                <w:szCs w:val="18"/>
              </w:rPr>
            </w:pPr>
            <w:r>
              <w:rPr>
                <w:rFonts w:ascii="Verdana" w:hAnsi="Verdana" w:cs="Arial"/>
                <w:color w:val="000000" w:themeColor="text1"/>
                <w:sz w:val="18"/>
                <w:szCs w:val="18"/>
              </w:rPr>
              <w:t>001</w:t>
            </w:r>
          </w:p>
        </w:tc>
        <w:tc>
          <w:tcPr>
            <w:tcW w:w="1379" w:type="dxa"/>
            <w:vAlign w:val="center"/>
          </w:tcPr>
          <w:p w14:paraId="7F9E21D1" w14:textId="46759228" w:rsidR="00A5248D" w:rsidRDefault="00A5248D" w:rsidP="00A5248D">
            <w:pPr>
              <w:jc w:val="center"/>
              <w:rPr>
                <w:rFonts w:ascii="Verdana" w:hAnsi="Verdana" w:cs="Arial"/>
                <w:sz w:val="18"/>
                <w:szCs w:val="18"/>
                <w:lang w:val="es-MX"/>
              </w:rPr>
            </w:pPr>
            <w:r>
              <w:rPr>
                <w:rFonts w:ascii="Verdana" w:hAnsi="Verdana" w:cs="Arial"/>
                <w:sz w:val="18"/>
                <w:szCs w:val="18"/>
                <w:lang w:val="es-MX"/>
              </w:rPr>
              <w:t>27/08/2019</w:t>
            </w:r>
          </w:p>
        </w:tc>
        <w:tc>
          <w:tcPr>
            <w:tcW w:w="6979" w:type="dxa"/>
            <w:vAlign w:val="center"/>
          </w:tcPr>
          <w:p w14:paraId="70844D41" w14:textId="730BFE94" w:rsidR="00A5248D" w:rsidRPr="00005EFD" w:rsidRDefault="00A5248D" w:rsidP="00C23975">
            <w:pPr>
              <w:rPr>
                <w:rFonts w:ascii="Verdana" w:hAnsi="Verdana"/>
                <w:color w:val="000000" w:themeColor="text1"/>
                <w:sz w:val="18"/>
                <w:szCs w:val="18"/>
              </w:rPr>
            </w:pPr>
            <w:r>
              <w:rPr>
                <w:rFonts w:ascii="Verdana" w:hAnsi="Verdana"/>
                <w:color w:val="000000" w:themeColor="text1"/>
                <w:sz w:val="18"/>
                <w:szCs w:val="18"/>
              </w:rPr>
              <w:t>Creación del documento</w:t>
            </w:r>
            <w:r w:rsidR="0077633A">
              <w:rPr>
                <w:rFonts w:ascii="Verdana" w:hAnsi="Verdana"/>
                <w:color w:val="000000" w:themeColor="text1"/>
                <w:sz w:val="18"/>
                <w:szCs w:val="18"/>
              </w:rPr>
              <w:t>.</w:t>
            </w:r>
          </w:p>
        </w:tc>
      </w:tr>
      <w:tr w:rsidR="006B4FEE" w:rsidRPr="00005EFD" w14:paraId="68AD9238" w14:textId="77777777" w:rsidTr="00A5248D">
        <w:trPr>
          <w:trHeight w:val="365"/>
          <w:jc w:val="center"/>
        </w:trPr>
        <w:tc>
          <w:tcPr>
            <w:tcW w:w="1271" w:type="dxa"/>
            <w:vAlign w:val="center"/>
          </w:tcPr>
          <w:p w14:paraId="284626F2" w14:textId="5AF3AF67" w:rsidR="006B4FEE" w:rsidRPr="00005EFD" w:rsidRDefault="00FD350B" w:rsidP="00A5248D">
            <w:pPr>
              <w:jc w:val="center"/>
              <w:rPr>
                <w:rFonts w:ascii="Verdana" w:hAnsi="Verdana"/>
                <w:color w:val="000000" w:themeColor="text1"/>
                <w:sz w:val="18"/>
                <w:szCs w:val="18"/>
              </w:rPr>
            </w:pPr>
            <w:r w:rsidRPr="00005EFD">
              <w:rPr>
                <w:rFonts w:ascii="Verdana" w:hAnsi="Verdana" w:cs="Arial"/>
                <w:color w:val="000000" w:themeColor="text1"/>
                <w:sz w:val="18"/>
                <w:szCs w:val="18"/>
              </w:rPr>
              <w:t>002</w:t>
            </w:r>
          </w:p>
        </w:tc>
        <w:tc>
          <w:tcPr>
            <w:tcW w:w="1379" w:type="dxa"/>
            <w:vAlign w:val="center"/>
          </w:tcPr>
          <w:p w14:paraId="2650ED2E" w14:textId="2D83A67B" w:rsidR="006B4FEE" w:rsidRPr="00005EFD" w:rsidRDefault="00A5248D" w:rsidP="00A5248D">
            <w:pPr>
              <w:jc w:val="center"/>
              <w:rPr>
                <w:rFonts w:ascii="Verdana" w:hAnsi="Verdana"/>
                <w:color w:val="000000" w:themeColor="text1"/>
                <w:sz w:val="18"/>
                <w:szCs w:val="18"/>
              </w:rPr>
            </w:pPr>
            <w:r>
              <w:rPr>
                <w:rFonts w:ascii="Verdana" w:hAnsi="Verdana" w:cs="Arial"/>
                <w:sz w:val="18"/>
                <w:szCs w:val="18"/>
                <w:lang w:val="es-MX"/>
              </w:rPr>
              <w:t>23/07/2026</w:t>
            </w:r>
          </w:p>
        </w:tc>
        <w:tc>
          <w:tcPr>
            <w:tcW w:w="6979" w:type="dxa"/>
          </w:tcPr>
          <w:p w14:paraId="02A40056" w14:textId="31FE2E5F" w:rsidR="006B4FEE" w:rsidRPr="00005EFD" w:rsidRDefault="00CA1424" w:rsidP="00E602D4">
            <w:pPr>
              <w:jc w:val="both"/>
              <w:rPr>
                <w:rFonts w:ascii="Verdana" w:hAnsi="Verdana"/>
                <w:color w:val="000000" w:themeColor="text1"/>
                <w:sz w:val="18"/>
                <w:szCs w:val="18"/>
              </w:rPr>
            </w:pPr>
            <w:r w:rsidRPr="00005EFD">
              <w:rPr>
                <w:rFonts w:ascii="Verdana" w:hAnsi="Verdana"/>
                <w:color w:val="000000" w:themeColor="text1"/>
                <w:sz w:val="18"/>
                <w:szCs w:val="18"/>
              </w:rPr>
              <w:t xml:space="preserve">Se </w:t>
            </w:r>
            <w:r w:rsidR="00F11E08" w:rsidRPr="00005EFD">
              <w:rPr>
                <w:rFonts w:ascii="Verdana" w:hAnsi="Verdana"/>
                <w:color w:val="000000" w:themeColor="text1"/>
                <w:sz w:val="18"/>
                <w:szCs w:val="18"/>
              </w:rPr>
              <w:t xml:space="preserve">ajusta de acuerdo con los cambios presentados con la </w:t>
            </w:r>
            <w:r w:rsidR="00920833" w:rsidRPr="00005EFD">
              <w:rPr>
                <w:rFonts w:ascii="Verdana" w:hAnsi="Verdana"/>
                <w:color w:val="000000" w:themeColor="text1"/>
                <w:sz w:val="18"/>
                <w:szCs w:val="18"/>
              </w:rPr>
              <w:t>entrada en vigor</w:t>
            </w:r>
            <w:r w:rsidR="00F11E08" w:rsidRPr="00005EFD">
              <w:rPr>
                <w:rFonts w:ascii="Verdana" w:hAnsi="Verdana"/>
                <w:color w:val="000000" w:themeColor="text1"/>
                <w:sz w:val="18"/>
                <w:szCs w:val="18"/>
              </w:rPr>
              <w:t xml:space="preserve"> del</w:t>
            </w:r>
            <w:r w:rsidR="004F4434" w:rsidRPr="00005EFD">
              <w:rPr>
                <w:rFonts w:ascii="Verdana" w:hAnsi="Verdana"/>
                <w:color w:val="000000" w:themeColor="text1"/>
                <w:sz w:val="18"/>
                <w:szCs w:val="18"/>
              </w:rPr>
              <w:t xml:space="preserve"> nuevo gestor documental, así mismo la información es migrada a </w:t>
            </w:r>
            <w:r w:rsidRPr="00005EFD">
              <w:rPr>
                <w:rFonts w:ascii="Verdana" w:hAnsi="Verdana"/>
                <w:color w:val="000000" w:themeColor="text1"/>
                <w:sz w:val="18"/>
                <w:szCs w:val="18"/>
              </w:rPr>
              <w:t>las nuevas plantillas</w:t>
            </w:r>
            <w:r w:rsidR="004F4434" w:rsidRPr="00005EFD">
              <w:rPr>
                <w:rFonts w:ascii="Verdana" w:hAnsi="Verdana"/>
                <w:color w:val="000000" w:themeColor="text1"/>
                <w:sz w:val="18"/>
                <w:szCs w:val="18"/>
              </w:rPr>
              <w:t xml:space="preserve">, de acuerdo </w:t>
            </w:r>
            <w:r w:rsidR="00F8597B" w:rsidRPr="00005EFD">
              <w:rPr>
                <w:rFonts w:ascii="Verdana" w:hAnsi="Verdana"/>
                <w:color w:val="000000" w:themeColor="text1"/>
                <w:sz w:val="18"/>
                <w:szCs w:val="18"/>
              </w:rPr>
              <w:t xml:space="preserve">con </w:t>
            </w:r>
            <w:r w:rsidR="000E3FDE" w:rsidRPr="00005EFD">
              <w:rPr>
                <w:rFonts w:ascii="Verdana" w:hAnsi="Verdana"/>
                <w:color w:val="000000" w:themeColor="text1"/>
                <w:sz w:val="18"/>
                <w:szCs w:val="18"/>
              </w:rPr>
              <w:t>el manual</w:t>
            </w:r>
            <w:r w:rsidRPr="00005EFD">
              <w:rPr>
                <w:rFonts w:ascii="Verdana" w:hAnsi="Verdana"/>
                <w:color w:val="000000" w:themeColor="text1"/>
                <w:sz w:val="18"/>
                <w:szCs w:val="18"/>
              </w:rPr>
              <w:t xml:space="preserve"> de identidad visual corporativa</w:t>
            </w:r>
            <w:r w:rsidR="004F4434" w:rsidRPr="00005EFD">
              <w:rPr>
                <w:rFonts w:ascii="Verdana" w:hAnsi="Verdana"/>
                <w:color w:val="000000" w:themeColor="text1"/>
                <w:sz w:val="18"/>
                <w:szCs w:val="18"/>
              </w:rPr>
              <w:t>.</w:t>
            </w:r>
          </w:p>
        </w:tc>
      </w:tr>
    </w:tbl>
    <w:p w14:paraId="65CF6A47" w14:textId="77777777" w:rsidR="006B4FEE" w:rsidRPr="00005EFD" w:rsidRDefault="006B4FEE" w:rsidP="006B4FEE">
      <w:pPr>
        <w:rPr>
          <w:rFonts w:ascii="Verdana" w:hAnsi="Verdana"/>
          <w:color w:val="000000" w:themeColor="text1"/>
          <w:sz w:val="22"/>
          <w:szCs w:val="22"/>
        </w:rPr>
      </w:pPr>
    </w:p>
    <w:p w14:paraId="612D00E7" w14:textId="77777777" w:rsidR="006B4FEE" w:rsidRPr="00005EFD" w:rsidRDefault="006B4FEE" w:rsidP="006B4FEE">
      <w:pPr>
        <w:rPr>
          <w:rFonts w:ascii="Verdana" w:hAnsi="Verdana"/>
          <w:b/>
          <w:bCs/>
          <w:color w:val="000000" w:themeColor="text1"/>
          <w:sz w:val="22"/>
          <w:szCs w:val="22"/>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3544"/>
        <w:gridCol w:w="2982"/>
      </w:tblGrid>
      <w:tr w:rsidR="00005EFD" w:rsidRPr="00005EFD" w14:paraId="76D97D3A" w14:textId="77777777" w:rsidTr="002B1FFF">
        <w:trPr>
          <w:trHeight w:val="270"/>
          <w:jc w:val="center"/>
        </w:trPr>
        <w:tc>
          <w:tcPr>
            <w:tcW w:w="3114" w:type="dxa"/>
            <w:shd w:val="clear" w:color="auto" w:fill="F2DCDB"/>
            <w:vAlign w:val="center"/>
          </w:tcPr>
          <w:p w14:paraId="16889954" w14:textId="77777777" w:rsidR="006B4FEE" w:rsidRPr="00005EFD" w:rsidRDefault="006B4FEE" w:rsidP="00D12DC7">
            <w:pPr>
              <w:rPr>
                <w:rFonts w:ascii="Verdana" w:hAnsi="Verdana"/>
                <w:b/>
                <w:bCs/>
                <w:color w:val="000000" w:themeColor="text1"/>
                <w:sz w:val="18"/>
                <w:szCs w:val="18"/>
              </w:rPr>
            </w:pPr>
            <w:r w:rsidRPr="00005EFD">
              <w:rPr>
                <w:rFonts w:ascii="Verdana" w:hAnsi="Verdana"/>
                <w:b/>
                <w:bCs/>
                <w:color w:val="000000" w:themeColor="text1"/>
                <w:sz w:val="18"/>
                <w:szCs w:val="18"/>
              </w:rPr>
              <w:t>Elaboró</w:t>
            </w:r>
          </w:p>
        </w:tc>
        <w:tc>
          <w:tcPr>
            <w:tcW w:w="3544" w:type="dxa"/>
            <w:shd w:val="clear" w:color="auto" w:fill="F2DCDB"/>
            <w:vAlign w:val="center"/>
          </w:tcPr>
          <w:p w14:paraId="116EE537" w14:textId="77777777" w:rsidR="006B4FEE" w:rsidRPr="00005EFD" w:rsidRDefault="006B4FEE" w:rsidP="00D12DC7">
            <w:pPr>
              <w:rPr>
                <w:rFonts w:ascii="Verdana" w:hAnsi="Verdana"/>
                <w:b/>
                <w:bCs/>
                <w:color w:val="000000" w:themeColor="text1"/>
                <w:sz w:val="18"/>
                <w:szCs w:val="18"/>
              </w:rPr>
            </w:pPr>
            <w:r w:rsidRPr="00005EFD">
              <w:rPr>
                <w:rFonts w:ascii="Verdana" w:hAnsi="Verdana"/>
                <w:b/>
                <w:bCs/>
                <w:color w:val="000000" w:themeColor="text1"/>
                <w:sz w:val="18"/>
                <w:szCs w:val="18"/>
              </w:rPr>
              <w:t>Revisó</w:t>
            </w:r>
          </w:p>
        </w:tc>
        <w:tc>
          <w:tcPr>
            <w:tcW w:w="2982" w:type="dxa"/>
            <w:shd w:val="clear" w:color="auto" w:fill="F2DCDB"/>
            <w:vAlign w:val="center"/>
          </w:tcPr>
          <w:p w14:paraId="665C1D36" w14:textId="42C4CB31" w:rsidR="006B4FEE" w:rsidRPr="00005EFD" w:rsidRDefault="006B4FEE" w:rsidP="00D12DC7">
            <w:pPr>
              <w:rPr>
                <w:rFonts w:ascii="Verdana" w:hAnsi="Verdana"/>
                <w:b/>
                <w:bCs/>
                <w:color w:val="000000" w:themeColor="text1"/>
                <w:sz w:val="18"/>
                <w:szCs w:val="18"/>
              </w:rPr>
            </w:pPr>
            <w:r w:rsidRPr="00005EFD">
              <w:rPr>
                <w:rFonts w:ascii="Verdana" w:hAnsi="Verdana"/>
                <w:b/>
                <w:bCs/>
                <w:color w:val="000000" w:themeColor="text1"/>
                <w:sz w:val="18"/>
                <w:szCs w:val="18"/>
              </w:rPr>
              <w:t xml:space="preserve">Aprobó </w:t>
            </w:r>
          </w:p>
        </w:tc>
      </w:tr>
      <w:tr w:rsidR="006B4FEE" w:rsidRPr="00005EFD" w14:paraId="6EBA99D4" w14:textId="77777777" w:rsidTr="002B1FFF">
        <w:trPr>
          <w:trHeight w:val="270"/>
          <w:jc w:val="center"/>
        </w:trPr>
        <w:tc>
          <w:tcPr>
            <w:tcW w:w="3114" w:type="dxa"/>
            <w:vAlign w:val="center"/>
          </w:tcPr>
          <w:p w14:paraId="5706D81B" w14:textId="77777777" w:rsidR="0078528E" w:rsidRPr="00F76A9F" w:rsidRDefault="0078528E" w:rsidP="00D12DC7">
            <w:pPr>
              <w:tabs>
                <w:tab w:val="left" w:pos="1620"/>
              </w:tabs>
              <w:ind w:right="141"/>
              <w:rPr>
                <w:rFonts w:ascii="Verdana" w:hAnsi="Verdana" w:cs="Arial"/>
                <w:color w:val="000000" w:themeColor="text1"/>
                <w:sz w:val="18"/>
                <w:szCs w:val="18"/>
              </w:rPr>
            </w:pPr>
            <w:r w:rsidRPr="00F76A9F">
              <w:rPr>
                <w:rFonts w:ascii="Verdana" w:hAnsi="Verdana" w:cs="Arial"/>
                <w:color w:val="000000" w:themeColor="text1"/>
                <w:sz w:val="18"/>
                <w:szCs w:val="18"/>
              </w:rPr>
              <w:t>Nombre: Leidy Ximena Rubio Torres</w:t>
            </w:r>
          </w:p>
          <w:p w14:paraId="3C9D6969" w14:textId="77777777" w:rsidR="0078528E" w:rsidRPr="00F76A9F" w:rsidRDefault="0078528E" w:rsidP="00D12DC7">
            <w:pPr>
              <w:tabs>
                <w:tab w:val="left" w:pos="1620"/>
              </w:tabs>
              <w:ind w:right="141"/>
              <w:rPr>
                <w:rFonts w:ascii="Verdana" w:hAnsi="Verdana" w:cs="Arial"/>
                <w:color w:val="000000" w:themeColor="text1"/>
                <w:sz w:val="18"/>
                <w:szCs w:val="18"/>
              </w:rPr>
            </w:pPr>
            <w:r w:rsidRPr="00F76A9F">
              <w:rPr>
                <w:rFonts w:ascii="Verdana" w:hAnsi="Verdana" w:cs="Arial"/>
                <w:color w:val="000000" w:themeColor="text1"/>
                <w:sz w:val="18"/>
                <w:szCs w:val="18"/>
              </w:rPr>
              <w:t>Cargo: Técnico Operativo</w:t>
            </w:r>
          </w:p>
          <w:p w14:paraId="74917F41" w14:textId="205A8A1D" w:rsidR="006B4FEE" w:rsidRPr="00005EFD" w:rsidRDefault="0078528E" w:rsidP="00D12DC7">
            <w:pPr>
              <w:tabs>
                <w:tab w:val="left" w:pos="1620"/>
              </w:tabs>
              <w:ind w:right="141"/>
              <w:rPr>
                <w:rFonts w:ascii="Verdana" w:hAnsi="Verdana" w:cs="Arial"/>
                <w:color w:val="000000" w:themeColor="text1"/>
                <w:sz w:val="18"/>
                <w:szCs w:val="18"/>
              </w:rPr>
            </w:pPr>
            <w:r w:rsidRPr="00F76A9F">
              <w:rPr>
                <w:rFonts w:ascii="Verdana" w:hAnsi="Verdana" w:cs="Arial"/>
                <w:color w:val="000000" w:themeColor="text1"/>
                <w:sz w:val="18"/>
                <w:szCs w:val="18"/>
              </w:rPr>
              <w:t xml:space="preserve">Fecha: </w:t>
            </w:r>
            <w:r w:rsidR="007161E6" w:rsidRPr="00F76A9F">
              <w:rPr>
                <w:rFonts w:ascii="Verdana" w:hAnsi="Verdana" w:cs="Arial"/>
                <w:sz w:val="18"/>
                <w:szCs w:val="18"/>
              </w:rPr>
              <w:t>07/05</w:t>
            </w:r>
            <w:r w:rsidR="007161E6">
              <w:rPr>
                <w:rFonts w:ascii="Verdana" w:hAnsi="Verdana" w:cs="Arial"/>
                <w:sz w:val="18"/>
                <w:szCs w:val="18"/>
              </w:rPr>
              <w:t>/</w:t>
            </w:r>
            <w:r w:rsidR="00591037" w:rsidRPr="00591037">
              <w:rPr>
                <w:rFonts w:ascii="Verdana" w:hAnsi="Verdana" w:cs="Arial"/>
                <w:sz w:val="18"/>
                <w:szCs w:val="18"/>
              </w:rPr>
              <w:t>2026</w:t>
            </w:r>
          </w:p>
        </w:tc>
        <w:tc>
          <w:tcPr>
            <w:tcW w:w="3544" w:type="dxa"/>
            <w:vAlign w:val="center"/>
          </w:tcPr>
          <w:p w14:paraId="0DD81947" w14:textId="77777777" w:rsidR="00D12DC7" w:rsidRPr="00E866B4" w:rsidRDefault="00D12DC7" w:rsidP="00D12DC7">
            <w:pPr>
              <w:tabs>
                <w:tab w:val="left" w:pos="1620"/>
              </w:tabs>
              <w:ind w:right="141"/>
              <w:rPr>
                <w:rFonts w:ascii="Verdana" w:hAnsi="Verdana" w:cs="Arial"/>
                <w:sz w:val="20"/>
                <w:szCs w:val="20"/>
              </w:rPr>
            </w:pPr>
            <w:r w:rsidRPr="00E866B4">
              <w:rPr>
                <w:rFonts w:ascii="Verdana" w:hAnsi="Verdana" w:cs="Arial"/>
                <w:sz w:val="20"/>
                <w:szCs w:val="20"/>
              </w:rPr>
              <w:t xml:space="preserve">Nombre: </w:t>
            </w:r>
            <w:r>
              <w:rPr>
                <w:rFonts w:ascii="Verdana" w:hAnsi="Verdana" w:cs="Arial"/>
                <w:sz w:val="20"/>
                <w:szCs w:val="20"/>
              </w:rPr>
              <w:t xml:space="preserve">María E. Salinas G / Yenny Ruiz / </w:t>
            </w:r>
            <w:r w:rsidRPr="00E866B4">
              <w:rPr>
                <w:rFonts w:ascii="Verdana" w:hAnsi="Verdana" w:cs="Arial"/>
                <w:sz w:val="20"/>
                <w:szCs w:val="20"/>
              </w:rPr>
              <w:t>Leidy Jineth Garzón A</w:t>
            </w:r>
            <w:r>
              <w:rPr>
                <w:rFonts w:ascii="Verdana" w:hAnsi="Verdana" w:cs="Arial"/>
                <w:sz w:val="20"/>
                <w:szCs w:val="20"/>
              </w:rPr>
              <w:t>lbarracín</w:t>
            </w:r>
          </w:p>
          <w:p w14:paraId="364E6E5E" w14:textId="77777777" w:rsidR="00D12DC7" w:rsidRPr="00E866B4" w:rsidRDefault="00D12DC7" w:rsidP="00D12DC7">
            <w:pPr>
              <w:tabs>
                <w:tab w:val="left" w:pos="1620"/>
              </w:tabs>
              <w:ind w:right="141"/>
              <w:rPr>
                <w:rFonts w:ascii="Verdana" w:hAnsi="Verdana" w:cs="Arial"/>
                <w:sz w:val="20"/>
                <w:szCs w:val="20"/>
              </w:rPr>
            </w:pPr>
            <w:r w:rsidRPr="00E866B4">
              <w:rPr>
                <w:rFonts w:ascii="Verdana" w:hAnsi="Verdana" w:cs="Arial"/>
                <w:sz w:val="20"/>
                <w:szCs w:val="20"/>
              </w:rPr>
              <w:t xml:space="preserve">Cargo: </w:t>
            </w:r>
            <w:r>
              <w:rPr>
                <w:rFonts w:ascii="Verdana" w:hAnsi="Verdana" w:cs="Arial"/>
                <w:sz w:val="20"/>
                <w:szCs w:val="20"/>
              </w:rPr>
              <w:t xml:space="preserve">Directora Administrativa / Contratista Dirección Administrativa / </w:t>
            </w:r>
            <w:r w:rsidRPr="007E6F7B">
              <w:rPr>
                <w:rFonts w:ascii="Verdana" w:hAnsi="Verdana" w:cs="Arial"/>
                <w:sz w:val="20"/>
                <w:szCs w:val="20"/>
              </w:rPr>
              <w:t>Coordinadora Grupo de Gestión Documental</w:t>
            </w:r>
          </w:p>
          <w:p w14:paraId="25FB8AA1" w14:textId="463778A0" w:rsidR="006B4FEE" w:rsidRPr="00005EFD" w:rsidRDefault="00D12DC7" w:rsidP="00D12DC7">
            <w:pPr>
              <w:tabs>
                <w:tab w:val="left" w:pos="1620"/>
              </w:tabs>
              <w:ind w:right="141"/>
              <w:rPr>
                <w:rFonts w:ascii="Verdana" w:hAnsi="Verdana" w:cs="Arial"/>
                <w:color w:val="000000" w:themeColor="text1"/>
                <w:sz w:val="18"/>
                <w:szCs w:val="18"/>
              </w:rPr>
            </w:pPr>
            <w:r w:rsidRPr="00E866B4">
              <w:rPr>
                <w:rFonts w:ascii="Verdana" w:hAnsi="Verdana" w:cs="Arial"/>
                <w:sz w:val="20"/>
                <w:szCs w:val="20"/>
              </w:rPr>
              <w:t>Fecha</w:t>
            </w:r>
            <w:r>
              <w:rPr>
                <w:rFonts w:ascii="Verdana" w:hAnsi="Verdana" w:cs="Arial"/>
                <w:sz w:val="20"/>
                <w:szCs w:val="20"/>
              </w:rPr>
              <w:t xml:space="preserve">: </w:t>
            </w:r>
            <w:r w:rsidR="00841A8C">
              <w:rPr>
                <w:rFonts w:ascii="Verdana" w:hAnsi="Verdana" w:cs="Arial"/>
                <w:sz w:val="20"/>
                <w:szCs w:val="20"/>
              </w:rPr>
              <w:t>01/06/2026</w:t>
            </w:r>
          </w:p>
        </w:tc>
        <w:tc>
          <w:tcPr>
            <w:tcW w:w="2982" w:type="dxa"/>
            <w:vAlign w:val="center"/>
          </w:tcPr>
          <w:p w14:paraId="3E01FEF5" w14:textId="383831E4" w:rsidR="006B4FEE" w:rsidRPr="00005EFD" w:rsidRDefault="006B4FEE" w:rsidP="00D12DC7">
            <w:pPr>
              <w:tabs>
                <w:tab w:val="left" w:pos="1620"/>
              </w:tabs>
              <w:ind w:right="141"/>
              <w:rPr>
                <w:rFonts w:ascii="Verdana" w:hAnsi="Verdana" w:cs="Arial"/>
                <w:color w:val="000000" w:themeColor="text1"/>
                <w:sz w:val="18"/>
                <w:szCs w:val="18"/>
              </w:rPr>
            </w:pPr>
            <w:r w:rsidRPr="00005EFD">
              <w:rPr>
                <w:rFonts w:ascii="Verdana" w:hAnsi="Verdana" w:cs="Arial"/>
                <w:color w:val="000000" w:themeColor="text1"/>
                <w:sz w:val="18"/>
                <w:szCs w:val="18"/>
              </w:rPr>
              <w:t>Nombre:</w:t>
            </w:r>
            <w:r w:rsidR="00FD350B" w:rsidRPr="00005EFD">
              <w:rPr>
                <w:rFonts w:ascii="Verdana" w:hAnsi="Verdana" w:cs="Arial"/>
                <w:color w:val="000000" w:themeColor="text1"/>
              </w:rPr>
              <w:t xml:space="preserve"> </w:t>
            </w:r>
            <w:r w:rsidR="00FD350B" w:rsidRPr="00005EFD">
              <w:rPr>
                <w:rFonts w:ascii="Verdana" w:hAnsi="Verdana" w:cs="Arial"/>
                <w:color w:val="000000" w:themeColor="text1"/>
                <w:sz w:val="18"/>
                <w:szCs w:val="18"/>
              </w:rPr>
              <w:t>Nini Johanna Castañeda Quintero</w:t>
            </w:r>
          </w:p>
          <w:p w14:paraId="6D9EC6E1" w14:textId="42B9E529" w:rsidR="006B4FEE" w:rsidRPr="00005EFD" w:rsidRDefault="006B4FEE" w:rsidP="00D12DC7">
            <w:pPr>
              <w:tabs>
                <w:tab w:val="left" w:pos="1620"/>
              </w:tabs>
              <w:ind w:right="141"/>
              <w:rPr>
                <w:rFonts w:ascii="Verdana" w:hAnsi="Verdana" w:cs="Arial"/>
                <w:color w:val="000000" w:themeColor="text1"/>
                <w:sz w:val="18"/>
                <w:szCs w:val="18"/>
              </w:rPr>
            </w:pPr>
            <w:r w:rsidRPr="00005EFD">
              <w:rPr>
                <w:rFonts w:ascii="Verdana" w:hAnsi="Verdana" w:cs="Arial"/>
                <w:color w:val="000000" w:themeColor="text1"/>
                <w:sz w:val="18"/>
                <w:szCs w:val="18"/>
              </w:rPr>
              <w:t xml:space="preserve">Cargo: </w:t>
            </w:r>
            <w:r w:rsidR="00FD350B" w:rsidRPr="00005EFD">
              <w:rPr>
                <w:rFonts w:ascii="Verdana" w:hAnsi="Verdana" w:cs="Arial"/>
                <w:color w:val="000000" w:themeColor="text1"/>
                <w:sz w:val="18"/>
                <w:szCs w:val="18"/>
              </w:rPr>
              <w:t>Secretaría General</w:t>
            </w:r>
          </w:p>
          <w:p w14:paraId="7F40A9AF" w14:textId="57B6D3C7" w:rsidR="006B4FEE" w:rsidRPr="00005EFD" w:rsidRDefault="006B4FEE" w:rsidP="00D12DC7">
            <w:pPr>
              <w:tabs>
                <w:tab w:val="left" w:pos="1620"/>
              </w:tabs>
              <w:ind w:right="141"/>
              <w:rPr>
                <w:rFonts w:ascii="Verdana" w:hAnsi="Verdana" w:cs="Arial"/>
                <w:color w:val="000000" w:themeColor="text1"/>
                <w:sz w:val="18"/>
                <w:szCs w:val="18"/>
              </w:rPr>
            </w:pPr>
            <w:r w:rsidRPr="00005EFD">
              <w:rPr>
                <w:rFonts w:ascii="Verdana" w:hAnsi="Verdana" w:cs="Arial"/>
                <w:color w:val="000000" w:themeColor="text1"/>
                <w:sz w:val="18"/>
                <w:szCs w:val="18"/>
              </w:rPr>
              <w:t>Fecha:</w:t>
            </w:r>
            <w:r w:rsidR="00FD350B" w:rsidRPr="00005EFD">
              <w:rPr>
                <w:rFonts w:ascii="Verdana" w:hAnsi="Verdana" w:cs="Arial"/>
                <w:color w:val="000000" w:themeColor="text1"/>
                <w:sz w:val="18"/>
                <w:szCs w:val="18"/>
              </w:rPr>
              <w:t xml:space="preserve"> </w:t>
            </w:r>
            <w:r w:rsidR="00841A8C">
              <w:rPr>
                <w:rFonts w:ascii="Verdana" w:hAnsi="Verdana" w:cs="Arial"/>
                <w:sz w:val="18"/>
                <w:szCs w:val="18"/>
                <w:lang w:val="es-MX"/>
              </w:rPr>
              <w:t>23/07/2026</w:t>
            </w:r>
          </w:p>
        </w:tc>
      </w:tr>
    </w:tbl>
    <w:p w14:paraId="086291AC" w14:textId="77777777" w:rsidR="009A2A60" w:rsidRPr="00005EFD" w:rsidRDefault="009A2A60" w:rsidP="009A2A60">
      <w:pPr>
        <w:rPr>
          <w:rFonts w:ascii="Verdana" w:hAnsi="Verdana" w:cs="Arial"/>
          <w:color w:val="000000" w:themeColor="text1"/>
          <w:sz w:val="22"/>
          <w:szCs w:val="22"/>
        </w:rPr>
      </w:pPr>
    </w:p>
    <w:p w14:paraId="3B81E09E" w14:textId="77777777" w:rsidR="009A2A60" w:rsidRPr="00005EFD" w:rsidRDefault="009A2A60" w:rsidP="00380AD6">
      <w:pPr>
        <w:rPr>
          <w:rFonts w:ascii="Verdana" w:hAnsi="Verdana" w:cs="Arial"/>
          <w:color w:val="000000" w:themeColor="text1"/>
          <w:sz w:val="22"/>
          <w:szCs w:val="22"/>
        </w:rPr>
      </w:pPr>
    </w:p>
    <w:sectPr w:rsidR="009A2A60" w:rsidRPr="00005EFD" w:rsidSect="00005EFD">
      <w:pgSz w:w="12242" w:h="15842" w:code="119"/>
      <w:pgMar w:top="1418" w:right="1185"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7788A" w14:textId="77777777" w:rsidR="00BE3D52" w:rsidRDefault="00BE3D52">
      <w:r>
        <w:separator/>
      </w:r>
    </w:p>
  </w:endnote>
  <w:endnote w:type="continuationSeparator" w:id="0">
    <w:p w14:paraId="78969E55" w14:textId="77777777" w:rsidR="00BE3D52" w:rsidRDefault="00BE3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477490650"/>
      <w:docPartObj>
        <w:docPartGallery w:val="Page Numbers (Bottom of Page)"/>
        <w:docPartUnique/>
      </w:docPartObj>
    </w:sdtPr>
    <w:sdtContent>
      <w:sdt>
        <w:sdtPr>
          <w:rPr>
            <w:rFonts w:ascii="Verdana" w:hAnsi="Verdana"/>
            <w:sz w:val="16"/>
            <w:szCs w:val="16"/>
          </w:rPr>
          <w:id w:val="1728636285"/>
          <w:docPartObj>
            <w:docPartGallery w:val="Page Numbers (Top of Page)"/>
            <w:docPartUnique/>
          </w:docPartObj>
        </w:sdtPr>
        <w:sdtContent>
          <w:p w14:paraId="26AAAF2D" w14:textId="2A18FCB4" w:rsidR="00C3300D" w:rsidRPr="00C3300D" w:rsidRDefault="00C3300D" w:rsidP="00C3300D">
            <w:pPr>
              <w:pStyle w:val="Piedepgina"/>
              <w:jc w:val="center"/>
              <w:rPr>
                <w:rFonts w:ascii="Verdana" w:hAnsi="Verdana"/>
                <w:sz w:val="16"/>
                <w:szCs w:val="16"/>
              </w:rPr>
            </w:pPr>
            <w:r w:rsidRPr="00C3300D">
              <w:rPr>
                <w:rFonts w:ascii="Verdana" w:hAnsi="Verdana"/>
                <w:sz w:val="16"/>
                <w:szCs w:val="16"/>
              </w:rPr>
              <w:t>Proceso: Gestión Integral, Código: GIN–FM–0</w:t>
            </w:r>
            <w:r w:rsidR="006B4FEE">
              <w:rPr>
                <w:rFonts w:ascii="Verdana" w:hAnsi="Verdana"/>
                <w:sz w:val="16"/>
                <w:szCs w:val="16"/>
              </w:rPr>
              <w:t>38</w:t>
            </w:r>
            <w:r w:rsidRPr="00C3300D">
              <w:rPr>
                <w:rFonts w:ascii="Verdana" w:hAnsi="Verdana"/>
                <w:sz w:val="16"/>
                <w:szCs w:val="16"/>
              </w:rPr>
              <w:t>, Versión: 001, Vigencia: 26/02/2025</w:t>
            </w:r>
          </w:p>
          <w:p w14:paraId="7D0F1288" w14:textId="77777777" w:rsidR="00C3300D" w:rsidRPr="00C3300D" w:rsidRDefault="00C3300D" w:rsidP="00C3300D">
            <w:pPr>
              <w:pStyle w:val="Piedepgina"/>
              <w:jc w:val="center"/>
              <w:rPr>
                <w:rFonts w:ascii="Verdana" w:hAnsi="Verdana"/>
                <w:sz w:val="16"/>
                <w:szCs w:val="16"/>
              </w:rPr>
            </w:pPr>
            <w:r w:rsidRPr="00C3300D">
              <w:rPr>
                <w:rFonts w:ascii="Verdana" w:hAnsi="Verdana"/>
                <w:sz w:val="16"/>
                <w:szCs w:val="16"/>
              </w:rPr>
              <w:t>Verifique que este documento corresponda a la versión vigente antes de su uso</w:t>
            </w:r>
          </w:p>
          <w:p w14:paraId="4646ECA8" w14:textId="77777777" w:rsidR="00C3300D" w:rsidRPr="00C3300D" w:rsidRDefault="00C3300D" w:rsidP="00C3300D">
            <w:pPr>
              <w:pStyle w:val="Piedepgina"/>
              <w:jc w:val="center"/>
              <w:rPr>
                <w:rFonts w:ascii="Verdana" w:hAnsi="Verdana"/>
                <w:sz w:val="16"/>
                <w:szCs w:val="16"/>
              </w:rPr>
            </w:pPr>
            <w:r w:rsidRPr="00C3300D">
              <w:rPr>
                <w:rFonts w:ascii="Verdana" w:hAnsi="Verdana"/>
                <w:sz w:val="16"/>
                <w:szCs w:val="16"/>
              </w:rPr>
              <w:t xml:space="preserve">Página </w:t>
            </w:r>
            <w:r w:rsidRPr="00C3300D">
              <w:rPr>
                <w:rFonts w:ascii="Verdana" w:hAnsi="Verdana"/>
                <w:sz w:val="16"/>
                <w:szCs w:val="16"/>
              </w:rPr>
              <w:fldChar w:fldCharType="begin"/>
            </w:r>
            <w:r w:rsidRPr="00C3300D">
              <w:rPr>
                <w:rFonts w:ascii="Verdana" w:hAnsi="Verdana"/>
                <w:sz w:val="16"/>
                <w:szCs w:val="16"/>
              </w:rPr>
              <w:instrText>PAGE</w:instrText>
            </w:r>
            <w:r w:rsidRPr="00C3300D">
              <w:rPr>
                <w:rFonts w:ascii="Verdana" w:hAnsi="Verdana"/>
                <w:sz w:val="16"/>
                <w:szCs w:val="16"/>
              </w:rPr>
              <w:fldChar w:fldCharType="separate"/>
            </w:r>
            <w:r w:rsidRPr="00C3300D">
              <w:rPr>
                <w:rFonts w:ascii="Verdana" w:hAnsi="Verdana"/>
                <w:sz w:val="16"/>
                <w:szCs w:val="16"/>
              </w:rPr>
              <w:t>2</w:t>
            </w:r>
            <w:r w:rsidRPr="00C3300D">
              <w:rPr>
                <w:rFonts w:ascii="Verdana" w:hAnsi="Verdana"/>
                <w:sz w:val="16"/>
                <w:szCs w:val="16"/>
              </w:rPr>
              <w:fldChar w:fldCharType="end"/>
            </w:r>
            <w:r w:rsidRPr="00C3300D">
              <w:rPr>
                <w:rFonts w:ascii="Verdana" w:hAnsi="Verdana"/>
                <w:sz w:val="16"/>
                <w:szCs w:val="16"/>
              </w:rPr>
              <w:t xml:space="preserve"> de </w:t>
            </w:r>
            <w:r w:rsidRPr="00C3300D">
              <w:rPr>
                <w:rFonts w:ascii="Verdana" w:hAnsi="Verdana"/>
                <w:sz w:val="16"/>
                <w:szCs w:val="16"/>
              </w:rPr>
              <w:fldChar w:fldCharType="begin"/>
            </w:r>
            <w:r w:rsidRPr="00C3300D">
              <w:rPr>
                <w:rFonts w:ascii="Verdana" w:hAnsi="Verdana"/>
                <w:sz w:val="16"/>
                <w:szCs w:val="16"/>
              </w:rPr>
              <w:instrText>NUMPAGES</w:instrText>
            </w:r>
            <w:r w:rsidRPr="00C3300D">
              <w:rPr>
                <w:rFonts w:ascii="Verdana" w:hAnsi="Verdana"/>
                <w:sz w:val="16"/>
                <w:szCs w:val="16"/>
              </w:rPr>
              <w:fldChar w:fldCharType="separate"/>
            </w:r>
            <w:r w:rsidRPr="00C3300D">
              <w:rPr>
                <w:rFonts w:ascii="Verdana" w:hAnsi="Verdana"/>
                <w:sz w:val="16"/>
                <w:szCs w:val="16"/>
              </w:rPr>
              <w:t>3</w:t>
            </w:r>
            <w:r w:rsidRPr="00C3300D">
              <w:rPr>
                <w:rFonts w:ascii="Verdana" w:hAnsi="Verdana"/>
                <w:sz w:val="16"/>
                <w:szCs w:val="16"/>
              </w:rPr>
              <w:fldChar w:fldCharType="end"/>
            </w:r>
          </w:p>
        </w:sdtContent>
      </w:sdt>
    </w:sdtContent>
  </w:sdt>
  <w:p w14:paraId="69057638" w14:textId="77777777" w:rsidR="0027060C" w:rsidRPr="00360861" w:rsidRDefault="0027060C" w:rsidP="00C3300D">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CBB6E" w14:textId="77777777" w:rsidR="00BE3D52" w:rsidRDefault="00BE3D52">
      <w:r>
        <w:separator/>
      </w:r>
    </w:p>
  </w:footnote>
  <w:footnote w:type="continuationSeparator" w:id="0">
    <w:p w14:paraId="0D87930B" w14:textId="77777777" w:rsidR="00BE3D52" w:rsidRDefault="00BE3D52">
      <w:r>
        <w:continuationSeparator/>
      </w:r>
    </w:p>
  </w:footnote>
  <w:footnote w:id="1">
    <w:p w14:paraId="5A652C9E" w14:textId="43F12AA9" w:rsidR="00EA36C5" w:rsidRPr="00E31090" w:rsidRDefault="00EA36C5" w:rsidP="00EA36C5">
      <w:pPr>
        <w:pStyle w:val="Textonotapie"/>
        <w:rPr>
          <w:lang w:val="es-CO"/>
        </w:rPr>
      </w:pPr>
      <w:r w:rsidRPr="00D84F90">
        <w:rPr>
          <w:rStyle w:val="Refdenotaalpie"/>
        </w:rPr>
        <w:footnoteRef/>
      </w:r>
      <w:r w:rsidRPr="00D84F90">
        <w:t xml:space="preserve"> </w:t>
      </w:r>
      <w:r w:rsidR="001A316C">
        <w:t>Tomado</w:t>
      </w:r>
      <w:r w:rsidR="0001612F">
        <w:t xml:space="preserve"> de Internet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6B4FEE" w:rsidRPr="00E833B8" w14:paraId="29C905E0" w14:textId="77777777" w:rsidTr="00010905">
      <w:trPr>
        <w:cantSplit/>
        <w:trHeight w:val="397"/>
        <w:jc w:val="center"/>
      </w:trPr>
      <w:tc>
        <w:tcPr>
          <w:tcW w:w="2405" w:type="dxa"/>
          <w:vMerge w:val="restart"/>
        </w:tcPr>
        <w:p w14:paraId="607242A1" w14:textId="77777777" w:rsidR="006B4FEE" w:rsidRPr="00E833B8" w:rsidRDefault="006B4FEE" w:rsidP="006B4FEE">
          <w:pPr>
            <w:ind w:right="360"/>
            <w:jc w:val="center"/>
            <w:rPr>
              <w:rFonts w:cs="Arial"/>
              <w:sz w:val="18"/>
              <w:szCs w:val="18"/>
              <w:lang w:val="es-MX"/>
            </w:rPr>
          </w:pPr>
          <w:r w:rsidRPr="00E833B8">
            <w:rPr>
              <w:noProof/>
              <w:sz w:val="18"/>
              <w:szCs w:val="18"/>
              <w:lang w:eastAsia="es-CO"/>
            </w:rPr>
            <w:drawing>
              <wp:anchor distT="0" distB="0" distL="114300" distR="114300" simplePos="0" relativeHeight="251658240" behindDoc="1" locked="0" layoutInCell="1" allowOverlap="1" wp14:anchorId="381A726D" wp14:editId="67BB159F">
                <wp:simplePos x="0" y="0"/>
                <wp:positionH relativeFrom="column">
                  <wp:posOffset>9261</wp:posOffset>
                </wp:positionH>
                <wp:positionV relativeFrom="paragraph">
                  <wp:posOffset>116205</wp:posOffset>
                </wp:positionV>
                <wp:extent cx="1421130" cy="810895"/>
                <wp:effectExtent l="0" t="0" r="0" b="8255"/>
                <wp:wrapNone/>
                <wp:docPr id="201768695" name="Imagen 201768695"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1A7306A6" w14:textId="1E34288D" w:rsidR="006B4FEE" w:rsidRPr="00E833B8" w:rsidRDefault="006B4FEE" w:rsidP="006B4FEE">
          <w:pPr>
            <w:jc w:val="center"/>
            <w:rPr>
              <w:rFonts w:ascii="Verdana" w:hAnsi="Verdana" w:cs="Arial"/>
              <w:b/>
              <w:bCs/>
              <w:sz w:val="18"/>
              <w:szCs w:val="18"/>
              <w:lang w:val="es-MX"/>
            </w:rPr>
          </w:pPr>
          <w:r>
            <w:rPr>
              <w:rFonts w:ascii="Verdana" w:hAnsi="Verdana" w:cs="Arial"/>
              <w:b/>
              <w:bCs/>
              <w:sz w:val="18"/>
              <w:szCs w:val="18"/>
              <w:lang w:val="es-MX"/>
            </w:rPr>
            <w:t>P</w:t>
          </w:r>
          <w:r w:rsidRPr="005E4E23">
            <w:rPr>
              <w:rFonts w:ascii="Verdana" w:hAnsi="Verdana" w:cs="Arial"/>
              <w:b/>
              <w:bCs/>
              <w:sz w:val="18"/>
              <w:szCs w:val="18"/>
              <w:lang w:val="es-MX"/>
            </w:rPr>
            <w:t>ROCESO:</w:t>
          </w:r>
          <w:r>
            <w:rPr>
              <w:rFonts w:ascii="Verdana" w:hAnsi="Verdana" w:cs="Arial"/>
              <w:b/>
              <w:bCs/>
              <w:sz w:val="18"/>
              <w:szCs w:val="18"/>
              <w:lang w:val="es-MX"/>
            </w:rPr>
            <w:t xml:space="preserve"> </w:t>
          </w:r>
          <w:r w:rsidR="001B48AA" w:rsidRPr="001B48AA">
            <w:rPr>
              <w:rFonts w:ascii="Verdana" w:hAnsi="Verdana" w:cs="Arial"/>
              <w:sz w:val="18"/>
              <w:szCs w:val="18"/>
              <w:lang w:val="es-CO"/>
            </w:rPr>
            <w:t>Gestión Documental</w:t>
          </w:r>
        </w:p>
      </w:tc>
      <w:tc>
        <w:tcPr>
          <w:tcW w:w="1560" w:type="dxa"/>
          <w:vAlign w:val="center"/>
        </w:tcPr>
        <w:p w14:paraId="49D2DC88" w14:textId="77777777" w:rsidR="006B4FEE" w:rsidRPr="00E41297" w:rsidRDefault="006B4FEE" w:rsidP="006B4FEE">
          <w:pPr>
            <w:jc w:val="center"/>
            <w:rPr>
              <w:rFonts w:ascii="Verdana" w:hAnsi="Verdana" w:cs="Arial"/>
              <w:sz w:val="18"/>
              <w:szCs w:val="18"/>
              <w:lang w:val="es-MX"/>
            </w:rPr>
          </w:pPr>
          <w:r w:rsidRPr="00E41297">
            <w:rPr>
              <w:rFonts w:ascii="Verdana" w:hAnsi="Verdana" w:cs="Arial"/>
              <w:sz w:val="18"/>
              <w:szCs w:val="18"/>
              <w:lang w:val="es-MX"/>
            </w:rPr>
            <w:t>Código</w:t>
          </w:r>
        </w:p>
      </w:tc>
      <w:tc>
        <w:tcPr>
          <w:tcW w:w="1853" w:type="dxa"/>
          <w:vAlign w:val="center"/>
        </w:tcPr>
        <w:p w14:paraId="39631929" w14:textId="7193A2E9" w:rsidR="006B4FEE" w:rsidRPr="00E41297" w:rsidRDefault="00E41297" w:rsidP="006B4FEE">
          <w:pPr>
            <w:jc w:val="center"/>
            <w:rPr>
              <w:rFonts w:ascii="Verdana" w:hAnsi="Verdana" w:cs="Arial"/>
              <w:sz w:val="18"/>
              <w:szCs w:val="18"/>
              <w:lang w:val="es-MX"/>
            </w:rPr>
          </w:pPr>
          <w:r w:rsidRPr="00E41297">
            <w:rPr>
              <w:rFonts w:ascii="Verdana" w:hAnsi="Verdana" w:cs="Arial"/>
              <w:sz w:val="18"/>
              <w:szCs w:val="18"/>
            </w:rPr>
            <w:t>GDO-G</w:t>
          </w:r>
          <w:r w:rsidR="00B00FF4">
            <w:rPr>
              <w:rFonts w:ascii="Verdana" w:hAnsi="Verdana" w:cs="Arial"/>
              <w:sz w:val="18"/>
              <w:szCs w:val="18"/>
            </w:rPr>
            <w:t>U</w:t>
          </w:r>
          <w:r w:rsidRPr="00E41297">
            <w:rPr>
              <w:rFonts w:ascii="Verdana" w:hAnsi="Verdana" w:cs="Arial"/>
              <w:sz w:val="18"/>
              <w:szCs w:val="18"/>
            </w:rPr>
            <w:t>-003</w:t>
          </w:r>
        </w:p>
      </w:tc>
    </w:tr>
    <w:tr w:rsidR="006B4FEE" w:rsidRPr="00E833B8" w14:paraId="0AE2F083" w14:textId="77777777" w:rsidTr="00010905">
      <w:trPr>
        <w:cantSplit/>
        <w:trHeight w:val="397"/>
        <w:jc w:val="center"/>
      </w:trPr>
      <w:tc>
        <w:tcPr>
          <w:tcW w:w="2405" w:type="dxa"/>
          <w:vMerge/>
        </w:tcPr>
        <w:p w14:paraId="1FF31CE5" w14:textId="77777777" w:rsidR="006B4FEE" w:rsidRPr="00E833B8" w:rsidRDefault="006B4FEE" w:rsidP="006B4FEE">
          <w:pPr>
            <w:ind w:right="360"/>
            <w:jc w:val="center"/>
            <w:rPr>
              <w:noProof/>
              <w:sz w:val="18"/>
              <w:szCs w:val="18"/>
            </w:rPr>
          </w:pPr>
        </w:p>
      </w:tc>
      <w:tc>
        <w:tcPr>
          <w:tcW w:w="3827" w:type="dxa"/>
          <w:vMerge/>
          <w:vAlign w:val="center"/>
        </w:tcPr>
        <w:p w14:paraId="4CA851B6" w14:textId="77777777" w:rsidR="006B4FEE" w:rsidRPr="00E833B8" w:rsidRDefault="006B4FEE" w:rsidP="006B4FEE">
          <w:pPr>
            <w:jc w:val="center"/>
            <w:rPr>
              <w:rFonts w:ascii="Verdana" w:hAnsi="Verdana" w:cs="Arial"/>
              <w:sz w:val="18"/>
              <w:szCs w:val="18"/>
              <w:lang w:val="es-MX"/>
            </w:rPr>
          </w:pPr>
        </w:p>
      </w:tc>
      <w:tc>
        <w:tcPr>
          <w:tcW w:w="1560" w:type="dxa"/>
          <w:tcBorders>
            <w:bottom w:val="single" w:sz="4" w:space="0" w:color="auto"/>
          </w:tcBorders>
          <w:vAlign w:val="center"/>
        </w:tcPr>
        <w:p w14:paraId="705388C2" w14:textId="77777777" w:rsidR="006B4FEE" w:rsidRPr="00E833B8" w:rsidRDefault="006B4FEE" w:rsidP="006B4FEE">
          <w:pPr>
            <w:jc w:val="center"/>
            <w:rPr>
              <w:rFonts w:ascii="Verdana" w:hAnsi="Verdana" w:cs="Arial"/>
              <w:sz w:val="18"/>
              <w:szCs w:val="18"/>
              <w:lang w:val="es-MX"/>
            </w:rPr>
          </w:pPr>
          <w:r w:rsidRPr="00E833B8">
            <w:rPr>
              <w:rFonts w:ascii="Verdana" w:hAnsi="Verdana" w:cs="Arial"/>
              <w:sz w:val="18"/>
              <w:szCs w:val="18"/>
              <w:lang w:val="es-MX"/>
            </w:rPr>
            <w:t>Versión</w:t>
          </w:r>
        </w:p>
      </w:tc>
      <w:tc>
        <w:tcPr>
          <w:tcW w:w="1853" w:type="dxa"/>
          <w:tcBorders>
            <w:bottom w:val="single" w:sz="4" w:space="0" w:color="auto"/>
          </w:tcBorders>
          <w:vAlign w:val="center"/>
        </w:tcPr>
        <w:p w14:paraId="4FB26BEB" w14:textId="5E9DD1FD" w:rsidR="006B4FEE" w:rsidRPr="00AD7AA1" w:rsidRDefault="00E41297" w:rsidP="006B4FEE">
          <w:pPr>
            <w:jc w:val="center"/>
            <w:rPr>
              <w:rFonts w:ascii="Verdana" w:hAnsi="Verdana" w:cs="Arial"/>
              <w:color w:val="FF0000"/>
              <w:sz w:val="18"/>
              <w:szCs w:val="18"/>
              <w:lang w:val="es-MX"/>
            </w:rPr>
          </w:pPr>
          <w:r w:rsidRPr="00E41297">
            <w:rPr>
              <w:rFonts w:ascii="Verdana" w:hAnsi="Verdana" w:cs="Arial"/>
              <w:sz w:val="18"/>
              <w:szCs w:val="18"/>
              <w:lang w:val="es-MX"/>
            </w:rPr>
            <w:t>00</w:t>
          </w:r>
          <w:r w:rsidR="00B00FF4">
            <w:rPr>
              <w:rFonts w:ascii="Verdana" w:hAnsi="Verdana" w:cs="Arial"/>
              <w:sz w:val="18"/>
              <w:szCs w:val="18"/>
              <w:lang w:val="es-MX"/>
            </w:rPr>
            <w:t>2</w:t>
          </w:r>
        </w:p>
      </w:tc>
    </w:tr>
    <w:tr w:rsidR="00E41297" w:rsidRPr="00E833B8" w14:paraId="36290AA0" w14:textId="77777777" w:rsidTr="00010905">
      <w:trPr>
        <w:cantSplit/>
        <w:trHeight w:val="397"/>
        <w:jc w:val="center"/>
      </w:trPr>
      <w:tc>
        <w:tcPr>
          <w:tcW w:w="2405" w:type="dxa"/>
          <w:vMerge/>
        </w:tcPr>
        <w:p w14:paraId="3F3198C6" w14:textId="77777777" w:rsidR="00E41297" w:rsidRPr="00E833B8" w:rsidRDefault="00E41297" w:rsidP="00E41297">
          <w:pPr>
            <w:rPr>
              <w:rFonts w:ascii="Arial Narrow" w:hAnsi="Arial Narrow"/>
              <w:sz w:val="18"/>
              <w:szCs w:val="18"/>
              <w:lang w:val="es-MX"/>
            </w:rPr>
          </w:pPr>
        </w:p>
      </w:tc>
      <w:tc>
        <w:tcPr>
          <w:tcW w:w="3827" w:type="dxa"/>
          <w:vMerge w:val="restart"/>
          <w:vAlign w:val="center"/>
        </w:tcPr>
        <w:p w14:paraId="6CBEACD5" w14:textId="7C7EB07B" w:rsidR="00E41297" w:rsidRPr="00E833B8" w:rsidRDefault="00E41297" w:rsidP="00E41297">
          <w:pPr>
            <w:jc w:val="center"/>
            <w:rPr>
              <w:rFonts w:ascii="Verdana" w:hAnsi="Verdana" w:cs="Arial"/>
              <w:b/>
              <w:bCs/>
              <w:sz w:val="18"/>
              <w:szCs w:val="18"/>
              <w:lang w:val="es-MX"/>
            </w:rPr>
          </w:pPr>
          <w:r>
            <w:rPr>
              <w:rFonts w:ascii="Verdana" w:hAnsi="Verdana" w:cs="Arial"/>
              <w:b/>
              <w:bCs/>
              <w:sz w:val="18"/>
              <w:szCs w:val="18"/>
              <w:lang w:val="es-MX"/>
            </w:rPr>
            <w:t>GUÍA</w:t>
          </w:r>
          <w:r w:rsidRPr="005E4E23">
            <w:rPr>
              <w:rFonts w:ascii="Verdana" w:hAnsi="Verdana" w:cs="Arial"/>
              <w:b/>
              <w:bCs/>
              <w:sz w:val="18"/>
              <w:szCs w:val="18"/>
              <w:lang w:val="es-MX"/>
            </w:rPr>
            <w:t>:</w:t>
          </w:r>
          <w:r w:rsidRPr="001B48AA">
            <w:rPr>
              <w:rFonts w:ascii="Verdana" w:hAnsi="Verdana" w:cs="Arial"/>
              <w:sz w:val="18"/>
              <w:szCs w:val="18"/>
              <w:lang w:val="es-CO"/>
            </w:rPr>
            <w:t xml:space="preserve"> Modelo de Requisitos para la Gestión de Documentos Electrónicos de Archivo (MOREQ)</w:t>
          </w:r>
        </w:p>
      </w:tc>
      <w:tc>
        <w:tcPr>
          <w:tcW w:w="1560" w:type="dxa"/>
          <w:vAlign w:val="center"/>
        </w:tcPr>
        <w:p w14:paraId="69F95D77" w14:textId="77777777" w:rsidR="00E41297" w:rsidRPr="00E833B8" w:rsidRDefault="00E41297" w:rsidP="00E41297">
          <w:pPr>
            <w:jc w:val="center"/>
            <w:rPr>
              <w:rFonts w:ascii="Verdana" w:hAnsi="Verdana" w:cs="Arial"/>
              <w:sz w:val="18"/>
              <w:szCs w:val="18"/>
              <w:lang w:val="es-MX"/>
            </w:rPr>
          </w:pPr>
          <w:r>
            <w:rPr>
              <w:rFonts w:ascii="Verdana" w:hAnsi="Verdana" w:cs="Arial"/>
              <w:sz w:val="18"/>
              <w:szCs w:val="18"/>
              <w:lang w:val="es-MX"/>
            </w:rPr>
            <w:t>Fecha</w:t>
          </w:r>
        </w:p>
      </w:tc>
      <w:tc>
        <w:tcPr>
          <w:tcW w:w="1853" w:type="dxa"/>
          <w:vAlign w:val="center"/>
        </w:tcPr>
        <w:p w14:paraId="1E838243" w14:textId="3919BD8E" w:rsidR="00E41297" w:rsidRPr="00AD7AA1" w:rsidRDefault="00B00FF4" w:rsidP="00560A2D">
          <w:pPr>
            <w:jc w:val="center"/>
            <w:rPr>
              <w:rFonts w:ascii="Verdana" w:hAnsi="Verdana" w:cs="Arial"/>
              <w:color w:val="FF0000"/>
              <w:sz w:val="18"/>
              <w:szCs w:val="18"/>
              <w:lang w:val="es-MX"/>
            </w:rPr>
          </w:pPr>
          <w:r>
            <w:rPr>
              <w:rFonts w:ascii="Verdana" w:hAnsi="Verdana" w:cs="Arial"/>
              <w:sz w:val="18"/>
              <w:szCs w:val="18"/>
              <w:lang w:val="es-CO"/>
            </w:rPr>
            <w:t>23/07</w:t>
          </w:r>
          <w:r w:rsidR="0078776C">
            <w:rPr>
              <w:rFonts w:ascii="Verdana" w:hAnsi="Verdana" w:cs="Arial"/>
              <w:sz w:val="18"/>
              <w:szCs w:val="18"/>
              <w:lang w:val="es-CO"/>
            </w:rPr>
            <w:t>/2026</w:t>
          </w:r>
        </w:p>
      </w:tc>
    </w:tr>
    <w:tr w:rsidR="00E41297" w:rsidRPr="00E833B8" w14:paraId="14987703" w14:textId="77777777" w:rsidTr="00010905">
      <w:trPr>
        <w:cantSplit/>
        <w:trHeight w:val="397"/>
        <w:jc w:val="center"/>
      </w:trPr>
      <w:tc>
        <w:tcPr>
          <w:tcW w:w="2405" w:type="dxa"/>
          <w:vMerge/>
        </w:tcPr>
        <w:p w14:paraId="5F895E23" w14:textId="77777777" w:rsidR="00E41297" w:rsidRPr="00E833B8" w:rsidRDefault="00E41297" w:rsidP="00E41297">
          <w:pPr>
            <w:rPr>
              <w:rFonts w:ascii="Arial Narrow" w:hAnsi="Arial Narrow"/>
              <w:sz w:val="18"/>
              <w:szCs w:val="18"/>
              <w:lang w:val="es-MX"/>
            </w:rPr>
          </w:pPr>
        </w:p>
      </w:tc>
      <w:tc>
        <w:tcPr>
          <w:tcW w:w="3827" w:type="dxa"/>
          <w:vMerge/>
          <w:vAlign w:val="center"/>
        </w:tcPr>
        <w:p w14:paraId="33ED3F87" w14:textId="77777777" w:rsidR="00E41297" w:rsidRPr="00E833B8" w:rsidRDefault="00E41297" w:rsidP="00E41297">
          <w:pPr>
            <w:jc w:val="center"/>
            <w:rPr>
              <w:rFonts w:ascii="Verdana" w:hAnsi="Verdana" w:cs="Arial"/>
              <w:b/>
              <w:bCs/>
              <w:sz w:val="18"/>
              <w:szCs w:val="18"/>
              <w:lang w:val="es-MX"/>
            </w:rPr>
          </w:pPr>
        </w:p>
      </w:tc>
      <w:tc>
        <w:tcPr>
          <w:tcW w:w="1560" w:type="dxa"/>
          <w:vAlign w:val="center"/>
        </w:tcPr>
        <w:p w14:paraId="2FAAFD94" w14:textId="77777777" w:rsidR="00E41297" w:rsidRPr="00E833B8" w:rsidRDefault="00E41297" w:rsidP="00E41297">
          <w:pPr>
            <w:jc w:val="center"/>
            <w:rPr>
              <w:rFonts w:ascii="Verdana" w:hAnsi="Verdana" w:cs="Arial"/>
              <w:sz w:val="18"/>
              <w:szCs w:val="18"/>
              <w:lang w:val="es-MX"/>
            </w:rPr>
          </w:pPr>
          <w:r w:rsidRPr="00E833B8">
            <w:rPr>
              <w:rFonts w:ascii="Verdana" w:hAnsi="Verdana" w:cs="Arial"/>
              <w:sz w:val="18"/>
              <w:szCs w:val="18"/>
              <w:lang w:val="es-MX"/>
            </w:rPr>
            <w:t>Clasificación de la información</w:t>
          </w:r>
        </w:p>
      </w:tc>
      <w:tc>
        <w:tcPr>
          <w:tcW w:w="1853" w:type="dxa"/>
          <w:vAlign w:val="center"/>
        </w:tcPr>
        <w:p w14:paraId="0938CF35" w14:textId="77777777" w:rsidR="004E3239" w:rsidRDefault="004E3239" w:rsidP="00E41297">
          <w:pPr>
            <w:jc w:val="center"/>
            <w:rPr>
              <w:rFonts w:ascii="Verdana" w:hAnsi="Verdana" w:cs="Arial"/>
              <w:sz w:val="18"/>
              <w:szCs w:val="18"/>
              <w:lang w:val="es-MX"/>
            </w:rPr>
          </w:pPr>
        </w:p>
        <w:p w14:paraId="105F50C3" w14:textId="149A9452" w:rsidR="00E41297" w:rsidRDefault="004E3239" w:rsidP="00E41297">
          <w:pPr>
            <w:jc w:val="center"/>
            <w:rPr>
              <w:rFonts w:ascii="Verdana" w:hAnsi="Verdana" w:cs="Arial"/>
              <w:sz w:val="18"/>
              <w:szCs w:val="18"/>
              <w:lang w:val="es-MX"/>
            </w:rPr>
          </w:pPr>
          <w:r>
            <w:rPr>
              <w:rFonts w:ascii="Verdana" w:hAnsi="Verdana" w:cs="Arial"/>
              <w:sz w:val="18"/>
              <w:szCs w:val="18"/>
              <w:lang w:val="es-MX"/>
            </w:rPr>
            <w:t>Pública</w:t>
          </w:r>
        </w:p>
        <w:p w14:paraId="4DCEE0F2" w14:textId="66F4C4FA" w:rsidR="002F40D3" w:rsidRPr="00E833B8" w:rsidRDefault="002F40D3" w:rsidP="00E41297">
          <w:pPr>
            <w:jc w:val="center"/>
            <w:rPr>
              <w:rFonts w:ascii="Verdana" w:hAnsi="Verdana" w:cs="Arial"/>
              <w:sz w:val="18"/>
              <w:szCs w:val="18"/>
              <w:lang w:val="es-MX"/>
            </w:rPr>
          </w:pPr>
        </w:p>
      </w:tc>
    </w:tr>
  </w:tbl>
  <w:p w14:paraId="1B77DD52" w14:textId="77777777" w:rsidR="006B4FEE" w:rsidRPr="00087EB8" w:rsidRDefault="006B4FEE" w:rsidP="006314B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2DA0"/>
    <w:multiLevelType w:val="hybridMultilevel"/>
    <w:tmpl w:val="0FC43B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3417C3A"/>
    <w:multiLevelType w:val="hybridMultilevel"/>
    <w:tmpl w:val="F7E8055A"/>
    <w:lvl w:ilvl="0" w:tplc="DE6A10E4">
      <w:start w:val="1"/>
      <w:numFmt w:val="decimal"/>
      <w:lvlText w:val="%1."/>
      <w:lvlJc w:val="left"/>
      <w:pPr>
        <w:ind w:left="720" w:hanging="36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3662043"/>
    <w:multiLevelType w:val="hybridMultilevel"/>
    <w:tmpl w:val="D38EA94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4950674"/>
    <w:multiLevelType w:val="multilevel"/>
    <w:tmpl w:val="67FE0612"/>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04FD0D13"/>
    <w:multiLevelType w:val="hybridMultilevel"/>
    <w:tmpl w:val="AB6E0A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62568D1"/>
    <w:multiLevelType w:val="hybridMultilevel"/>
    <w:tmpl w:val="5044DB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8195D22"/>
    <w:multiLevelType w:val="hybridMultilevel"/>
    <w:tmpl w:val="9970C2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091E6A11"/>
    <w:multiLevelType w:val="hybridMultilevel"/>
    <w:tmpl w:val="EEFAB5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77D5B11"/>
    <w:multiLevelType w:val="hybridMultilevel"/>
    <w:tmpl w:val="C7B85F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9952D38"/>
    <w:multiLevelType w:val="hybridMultilevel"/>
    <w:tmpl w:val="B0CE51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E974376"/>
    <w:multiLevelType w:val="hybridMultilevel"/>
    <w:tmpl w:val="6F5EC8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0EA72F3"/>
    <w:multiLevelType w:val="hybridMultilevel"/>
    <w:tmpl w:val="6C186E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5B956F1"/>
    <w:multiLevelType w:val="hybridMultilevel"/>
    <w:tmpl w:val="56D0BED4"/>
    <w:lvl w:ilvl="0" w:tplc="240A000B">
      <w:start w:val="1"/>
      <w:numFmt w:val="bullet"/>
      <w:lvlText w:val=""/>
      <w:lvlJc w:val="left"/>
      <w:pPr>
        <w:ind w:left="785" w:hanging="360"/>
      </w:pPr>
      <w:rPr>
        <w:rFonts w:ascii="Wingdings" w:hAnsi="Wingdings"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27F34B15"/>
    <w:multiLevelType w:val="hybridMultilevel"/>
    <w:tmpl w:val="58B0AB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8852A12"/>
    <w:multiLevelType w:val="hybridMultilevel"/>
    <w:tmpl w:val="3F60D7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A397E23"/>
    <w:multiLevelType w:val="hybridMultilevel"/>
    <w:tmpl w:val="2FA2CD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B78486C"/>
    <w:multiLevelType w:val="hybridMultilevel"/>
    <w:tmpl w:val="46A201C4"/>
    <w:lvl w:ilvl="0" w:tplc="240A0001">
      <w:start w:val="1"/>
      <w:numFmt w:val="bullet"/>
      <w:lvlText w:val=""/>
      <w:lvlJc w:val="left"/>
      <w:pPr>
        <w:ind w:left="502" w:hanging="360"/>
      </w:pPr>
      <w:rPr>
        <w:rFonts w:ascii="Symbol" w:hAnsi="Symbol" w:hint="default"/>
      </w:rPr>
    </w:lvl>
    <w:lvl w:ilvl="1" w:tplc="240A0003" w:tentative="1">
      <w:start w:val="1"/>
      <w:numFmt w:val="bullet"/>
      <w:lvlText w:val="o"/>
      <w:lvlJc w:val="left"/>
      <w:pPr>
        <w:ind w:left="1222" w:hanging="360"/>
      </w:pPr>
      <w:rPr>
        <w:rFonts w:ascii="Courier New" w:hAnsi="Courier New" w:cs="Courier New" w:hint="default"/>
      </w:rPr>
    </w:lvl>
    <w:lvl w:ilvl="2" w:tplc="240A0005" w:tentative="1">
      <w:start w:val="1"/>
      <w:numFmt w:val="bullet"/>
      <w:lvlText w:val=""/>
      <w:lvlJc w:val="left"/>
      <w:pPr>
        <w:ind w:left="1942" w:hanging="360"/>
      </w:pPr>
      <w:rPr>
        <w:rFonts w:ascii="Wingdings" w:hAnsi="Wingdings" w:hint="default"/>
      </w:rPr>
    </w:lvl>
    <w:lvl w:ilvl="3" w:tplc="240A0001" w:tentative="1">
      <w:start w:val="1"/>
      <w:numFmt w:val="bullet"/>
      <w:lvlText w:val=""/>
      <w:lvlJc w:val="left"/>
      <w:pPr>
        <w:ind w:left="2662" w:hanging="360"/>
      </w:pPr>
      <w:rPr>
        <w:rFonts w:ascii="Symbol" w:hAnsi="Symbol" w:hint="default"/>
      </w:rPr>
    </w:lvl>
    <w:lvl w:ilvl="4" w:tplc="240A0003" w:tentative="1">
      <w:start w:val="1"/>
      <w:numFmt w:val="bullet"/>
      <w:lvlText w:val="o"/>
      <w:lvlJc w:val="left"/>
      <w:pPr>
        <w:ind w:left="3382" w:hanging="360"/>
      </w:pPr>
      <w:rPr>
        <w:rFonts w:ascii="Courier New" w:hAnsi="Courier New" w:cs="Courier New" w:hint="default"/>
      </w:rPr>
    </w:lvl>
    <w:lvl w:ilvl="5" w:tplc="240A0005" w:tentative="1">
      <w:start w:val="1"/>
      <w:numFmt w:val="bullet"/>
      <w:lvlText w:val=""/>
      <w:lvlJc w:val="left"/>
      <w:pPr>
        <w:ind w:left="4102" w:hanging="360"/>
      </w:pPr>
      <w:rPr>
        <w:rFonts w:ascii="Wingdings" w:hAnsi="Wingdings" w:hint="default"/>
      </w:rPr>
    </w:lvl>
    <w:lvl w:ilvl="6" w:tplc="240A0001" w:tentative="1">
      <w:start w:val="1"/>
      <w:numFmt w:val="bullet"/>
      <w:lvlText w:val=""/>
      <w:lvlJc w:val="left"/>
      <w:pPr>
        <w:ind w:left="4822" w:hanging="360"/>
      </w:pPr>
      <w:rPr>
        <w:rFonts w:ascii="Symbol" w:hAnsi="Symbol" w:hint="default"/>
      </w:rPr>
    </w:lvl>
    <w:lvl w:ilvl="7" w:tplc="240A0003" w:tentative="1">
      <w:start w:val="1"/>
      <w:numFmt w:val="bullet"/>
      <w:lvlText w:val="o"/>
      <w:lvlJc w:val="left"/>
      <w:pPr>
        <w:ind w:left="5542" w:hanging="360"/>
      </w:pPr>
      <w:rPr>
        <w:rFonts w:ascii="Courier New" w:hAnsi="Courier New" w:cs="Courier New" w:hint="default"/>
      </w:rPr>
    </w:lvl>
    <w:lvl w:ilvl="8" w:tplc="240A0005" w:tentative="1">
      <w:start w:val="1"/>
      <w:numFmt w:val="bullet"/>
      <w:lvlText w:val=""/>
      <w:lvlJc w:val="left"/>
      <w:pPr>
        <w:ind w:left="6262" w:hanging="360"/>
      </w:pPr>
      <w:rPr>
        <w:rFonts w:ascii="Wingdings" w:hAnsi="Wingdings" w:hint="default"/>
      </w:rPr>
    </w:lvl>
  </w:abstractNum>
  <w:abstractNum w:abstractNumId="17" w15:restartNumberingAfterBreak="0">
    <w:nsid w:val="2C8C3661"/>
    <w:multiLevelType w:val="hybridMultilevel"/>
    <w:tmpl w:val="08E47A3C"/>
    <w:lvl w:ilvl="0" w:tplc="F63C14A6">
      <w:start w:val="1"/>
      <w:numFmt w:val="decimal"/>
      <w:lvlText w:val="%1."/>
      <w:lvlJc w:val="left"/>
      <w:pPr>
        <w:ind w:left="720" w:hanging="36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2F976321"/>
    <w:multiLevelType w:val="hybridMultilevel"/>
    <w:tmpl w:val="D3308530"/>
    <w:lvl w:ilvl="0" w:tplc="240A0001">
      <w:start w:val="1"/>
      <w:numFmt w:val="bullet"/>
      <w:lvlText w:val=""/>
      <w:lvlJc w:val="left"/>
      <w:pPr>
        <w:ind w:left="804" w:hanging="360"/>
      </w:pPr>
      <w:rPr>
        <w:rFonts w:ascii="Symbol" w:hAnsi="Symbol" w:hint="default"/>
      </w:rPr>
    </w:lvl>
    <w:lvl w:ilvl="1" w:tplc="240A0003" w:tentative="1">
      <w:start w:val="1"/>
      <w:numFmt w:val="bullet"/>
      <w:lvlText w:val="o"/>
      <w:lvlJc w:val="left"/>
      <w:pPr>
        <w:ind w:left="1524" w:hanging="360"/>
      </w:pPr>
      <w:rPr>
        <w:rFonts w:ascii="Courier New" w:hAnsi="Courier New" w:cs="Courier New" w:hint="default"/>
      </w:rPr>
    </w:lvl>
    <w:lvl w:ilvl="2" w:tplc="240A0005" w:tentative="1">
      <w:start w:val="1"/>
      <w:numFmt w:val="bullet"/>
      <w:lvlText w:val=""/>
      <w:lvlJc w:val="left"/>
      <w:pPr>
        <w:ind w:left="2244" w:hanging="360"/>
      </w:pPr>
      <w:rPr>
        <w:rFonts w:ascii="Wingdings" w:hAnsi="Wingdings" w:hint="default"/>
      </w:rPr>
    </w:lvl>
    <w:lvl w:ilvl="3" w:tplc="240A0001" w:tentative="1">
      <w:start w:val="1"/>
      <w:numFmt w:val="bullet"/>
      <w:lvlText w:val=""/>
      <w:lvlJc w:val="left"/>
      <w:pPr>
        <w:ind w:left="2964" w:hanging="360"/>
      </w:pPr>
      <w:rPr>
        <w:rFonts w:ascii="Symbol" w:hAnsi="Symbol" w:hint="default"/>
      </w:rPr>
    </w:lvl>
    <w:lvl w:ilvl="4" w:tplc="240A0003" w:tentative="1">
      <w:start w:val="1"/>
      <w:numFmt w:val="bullet"/>
      <w:lvlText w:val="o"/>
      <w:lvlJc w:val="left"/>
      <w:pPr>
        <w:ind w:left="3684" w:hanging="360"/>
      </w:pPr>
      <w:rPr>
        <w:rFonts w:ascii="Courier New" w:hAnsi="Courier New" w:cs="Courier New" w:hint="default"/>
      </w:rPr>
    </w:lvl>
    <w:lvl w:ilvl="5" w:tplc="240A0005" w:tentative="1">
      <w:start w:val="1"/>
      <w:numFmt w:val="bullet"/>
      <w:lvlText w:val=""/>
      <w:lvlJc w:val="left"/>
      <w:pPr>
        <w:ind w:left="4404" w:hanging="360"/>
      </w:pPr>
      <w:rPr>
        <w:rFonts w:ascii="Wingdings" w:hAnsi="Wingdings" w:hint="default"/>
      </w:rPr>
    </w:lvl>
    <w:lvl w:ilvl="6" w:tplc="240A0001" w:tentative="1">
      <w:start w:val="1"/>
      <w:numFmt w:val="bullet"/>
      <w:lvlText w:val=""/>
      <w:lvlJc w:val="left"/>
      <w:pPr>
        <w:ind w:left="5124" w:hanging="360"/>
      </w:pPr>
      <w:rPr>
        <w:rFonts w:ascii="Symbol" w:hAnsi="Symbol" w:hint="default"/>
      </w:rPr>
    </w:lvl>
    <w:lvl w:ilvl="7" w:tplc="240A0003" w:tentative="1">
      <w:start w:val="1"/>
      <w:numFmt w:val="bullet"/>
      <w:lvlText w:val="o"/>
      <w:lvlJc w:val="left"/>
      <w:pPr>
        <w:ind w:left="5844" w:hanging="360"/>
      </w:pPr>
      <w:rPr>
        <w:rFonts w:ascii="Courier New" w:hAnsi="Courier New" w:cs="Courier New" w:hint="default"/>
      </w:rPr>
    </w:lvl>
    <w:lvl w:ilvl="8" w:tplc="240A0005" w:tentative="1">
      <w:start w:val="1"/>
      <w:numFmt w:val="bullet"/>
      <w:lvlText w:val=""/>
      <w:lvlJc w:val="left"/>
      <w:pPr>
        <w:ind w:left="6564" w:hanging="360"/>
      </w:pPr>
      <w:rPr>
        <w:rFonts w:ascii="Wingdings" w:hAnsi="Wingdings" w:hint="default"/>
      </w:rPr>
    </w:lvl>
  </w:abstractNum>
  <w:abstractNum w:abstractNumId="19" w15:restartNumberingAfterBreak="0">
    <w:nsid w:val="301E38A5"/>
    <w:multiLevelType w:val="multilevel"/>
    <w:tmpl w:val="419ECB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Ttulo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6C9739D"/>
    <w:multiLevelType w:val="hybridMultilevel"/>
    <w:tmpl w:val="52BAFA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F3F1F08"/>
    <w:multiLevelType w:val="multilevel"/>
    <w:tmpl w:val="555C2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C10974"/>
    <w:multiLevelType w:val="hybridMultilevel"/>
    <w:tmpl w:val="3EA8282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17A2519"/>
    <w:multiLevelType w:val="multilevel"/>
    <w:tmpl w:val="D8980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2916839"/>
    <w:multiLevelType w:val="hybridMultilevel"/>
    <w:tmpl w:val="555636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5D71171"/>
    <w:multiLevelType w:val="hybridMultilevel"/>
    <w:tmpl w:val="A3B4D562"/>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6E90A43"/>
    <w:multiLevelType w:val="hybridMultilevel"/>
    <w:tmpl w:val="9D8A2CFA"/>
    <w:lvl w:ilvl="0" w:tplc="240A000B">
      <w:start w:val="1"/>
      <w:numFmt w:val="bullet"/>
      <w:lvlText w:val=""/>
      <w:lvlJc w:val="left"/>
      <w:pPr>
        <w:ind w:left="1146" w:hanging="360"/>
      </w:pPr>
      <w:rPr>
        <w:rFonts w:ascii="Wingdings" w:hAnsi="Wingdings" w:hint="default"/>
      </w:rPr>
    </w:lvl>
    <w:lvl w:ilvl="1" w:tplc="240A0003" w:tentative="1">
      <w:start w:val="1"/>
      <w:numFmt w:val="bullet"/>
      <w:lvlText w:val="o"/>
      <w:lvlJc w:val="left"/>
      <w:pPr>
        <w:ind w:left="1866" w:hanging="360"/>
      </w:pPr>
      <w:rPr>
        <w:rFonts w:ascii="Courier New" w:hAnsi="Courier New" w:cs="Courier New" w:hint="default"/>
      </w:rPr>
    </w:lvl>
    <w:lvl w:ilvl="2" w:tplc="240A0005" w:tentative="1">
      <w:start w:val="1"/>
      <w:numFmt w:val="bullet"/>
      <w:lvlText w:val=""/>
      <w:lvlJc w:val="left"/>
      <w:pPr>
        <w:ind w:left="2586" w:hanging="360"/>
      </w:pPr>
      <w:rPr>
        <w:rFonts w:ascii="Wingdings" w:hAnsi="Wingdings" w:hint="default"/>
      </w:rPr>
    </w:lvl>
    <w:lvl w:ilvl="3" w:tplc="240A0001" w:tentative="1">
      <w:start w:val="1"/>
      <w:numFmt w:val="bullet"/>
      <w:lvlText w:val=""/>
      <w:lvlJc w:val="left"/>
      <w:pPr>
        <w:ind w:left="3306" w:hanging="360"/>
      </w:pPr>
      <w:rPr>
        <w:rFonts w:ascii="Symbol" w:hAnsi="Symbol" w:hint="default"/>
      </w:rPr>
    </w:lvl>
    <w:lvl w:ilvl="4" w:tplc="240A0003" w:tentative="1">
      <w:start w:val="1"/>
      <w:numFmt w:val="bullet"/>
      <w:lvlText w:val="o"/>
      <w:lvlJc w:val="left"/>
      <w:pPr>
        <w:ind w:left="4026" w:hanging="360"/>
      </w:pPr>
      <w:rPr>
        <w:rFonts w:ascii="Courier New" w:hAnsi="Courier New" w:cs="Courier New" w:hint="default"/>
      </w:rPr>
    </w:lvl>
    <w:lvl w:ilvl="5" w:tplc="240A0005" w:tentative="1">
      <w:start w:val="1"/>
      <w:numFmt w:val="bullet"/>
      <w:lvlText w:val=""/>
      <w:lvlJc w:val="left"/>
      <w:pPr>
        <w:ind w:left="4746" w:hanging="360"/>
      </w:pPr>
      <w:rPr>
        <w:rFonts w:ascii="Wingdings" w:hAnsi="Wingdings" w:hint="default"/>
      </w:rPr>
    </w:lvl>
    <w:lvl w:ilvl="6" w:tplc="240A0001" w:tentative="1">
      <w:start w:val="1"/>
      <w:numFmt w:val="bullet"/>
      <w:lvlText w:val=""/>
      <w:lvlJc w:val="left"/>
      <w:pPr>
        <w:ind w:left="5466" w:hanging="360"/>
      </w:pPr>
      <w:rPr>
        <w:rFonts w:ascii="Symbol" w:hAnsi="Symbol" w:hint="default"/>
      </w:rPr>
    </w:lvl>
    <w:lvl w:ilvl="7" w:tplc="240A0003" w:tentative="1">
      <w:start w:val="1"/>
      <w:numFmt w:val="bullet"/>
      <w:lvlText w:val="o"/>
      <w:lvlJc w:val="left"/>
      <w:pPr>
        <w:ind w:left="6186" w:hanging="360"/>
      </w:pPr>
      <w:rPr>
        <w:rFonts w:ascii="Courier New" w:hAnsi="Courier New" w:cs="Courier New" w:hint="default"/>
      </w:rPr>
    </w:lvl>
    <w:lvl w:ilvl="8" w:tplc="240A0005" w:tentative="1">
      <w:start w:val="1"/>
      <w:numFmt w:val="bullet"/>
      <w:lvlText w:val=""/>
      <w:lvlJc w:val="left"/>
      <w:pPr>
        <w:ind w:left="6906" w:hanging="360"/>
      </w:pPr>
      <w:rPr>
        <w:rFonts w:ascii="Wingdings" w:hAnsi="Wingdings" w:hint="default"/>
      </w:rPr>
    </w:lvl>
  </w:abstractNum>
  <w:abstractNum w:abstractNumId="27" w15:restartNumberingAfterBreak="0">
    <w:nsid w:val="55BA0F1F"/>
    <w:multiLevelType w:val="hybridMultilevel"/>
    <w:tmpl w:val="B92AEE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A886AEF"/>
    <w:multiLevelType w:val="hybridMultilevel"/>
    <w:tmpl w:val="23525C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EC16115"/>
    <w:multiLevelType w:val="hybridMultilevel"/>
    <w:tmpl w:val="9998F2E8"/>
    <w:lvl w:ilvl="0" w:tplc="240A0001">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29B322E"/>
    <w:multiLevelType w:val="hybridMultilevel"/>
    <w:tmpl w:val="2EBC46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62A2F82"/>
    <w:multiLevelType w:val="hybridMultilevel"/>
    <w:tmpl w:val="1FCE8A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69A52C59"/>
    <w:multiLevelType w:val="hybridMultilevel"/>
    <w:tmpl w:val="0BBC6796"/>
    <w:lvl w:ilvl="0" w:tplc="240A001B">
      <w:start w:val="1"/>
      <w:numFmt w:val="low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6B2D6486"/>
    <w:multiLevelType w:val="hybridMultilevel"/>
    <w:tmpl w:val="8AF6A3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6C3D1ECA"/>
    <w:multiLevelType w:val="hybridMultilevel"/>
    <w:tmpl w:val="DA7C5D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D9242C9"/>
    <w:multiLevelType w:val="multilevel"/>
    <w:tmpl w:val="C76285B4"/>
    <w:lvl w:ilvl="0">
      <w:start w:val="1"/>
      <w:numFmt w:val="bullet"/>
      <w:lvlText w:val=""/>
      <w:lvlJc w:val="left"/>
      <w:pPr>
        <w:tabs>
          <w:tab w:val="num" w:pos="360"/>
        </w:tabs>
        <w:ind w:left="360" w:hanging="360"/>
      </w:pPr>
      <w:rPr>
        <w:rFonts w:ascii="Symbol" w:hAnsi="Symbol" w:hint="default"/>
        <w:sz w:val="20"/>
      </w:rPr>
    </w:lvl>
    <w:lvl w:ilvl="1">
      <w:start w:val="7"/>
      <w:numFmt w:val="decimal"/>
      <w:lvlText w:val="%2."/>
      <w:lvlJc w:val="left"/>
      <w:pPr>
        <w:ind w:left="1440" w:hanging="360"/>
      </w:pPr>
      <w:rPr>
        <w:rFonts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ED4EEF"/>
    <w:multiLevelType w:val="hybridMultilevel"/>
    <w:tmpl w:val="F508C5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73F41878"/>
    <w:multiLevelType w:val="hybridMultilevel"/>
    <w:tmpl w:val="F20C547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8" w15:restartNumberingAfterBreak="0">
    <w:nsid w:val="75EE0E17"/>
    <w:multiLevelType w:val="hybridMultilevel"/>
    <w:tmpl w:val="1E1676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7AA273CA"/>
    <w:multiLevelType w:val="hybridMultilevel"/>
    <w:tmpl w:val="0C8A6994"/>
    <w:lvl w:ilvl="0" w:tplc="BBC87DAC">
      <w:start w:val="1"/>
      <w:numFmt w:val="bullet"/>
      <w:lvlText w:val=""/>
      <w:lvlJc w:val="left"/>
      <w:pPr>
        <w:ind w:left="720" w:hanging="360"/>
      </w:pPr>
      <w:rPr>
        <w:rFonts w:ascii="Symbol" w:hAnsi="Symbol" w:hint="default"/>
        <w:color w:val="000000" w:themeColor="text1"/>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10875282">
    <w:abstractNumId w:val="19"/>
  </w:num>
  <w:num w:numId="2" w16cid:durableId="996303660">
    <w:abstractNumId w:val="28"/>
  </w:num>
  <w:num w:numId="3" w16cid:durableId="2008633119">
    <w:abstractNumId w:val="11"/>
  </w:num>
  <w:num w:numId="4" w16cid:durableId="762652411">
    <w:abstractNumId w:val="15"/>
  </w:num>
  <w:num w:numId="5" w16cid:durableId="1239094037">
    <w:abstractNumId w:val="22"/>
  </w:num>
  <w:num w:numId="6" w16cid:durableId="792217163">
    <w:abstractNumId w:val="37"/>
  </w:num>
  <w:num w:numId="7" w16cid:durableId="602955998">
    <w:abstractNumId w:val="39"/>
  </w:num>
  <w:num w:numId="8" w16cid:durableId="1849320608">
    <w:abstractNumId w:val="13"/>
  </w:num>
  <w:num w:numId="9" w16cid:durableId="1015034982">
    <w:abstractNumId w:val="38"/>
  </w:num>
  <w:num w:numId="10" w16cid:durableId="1314796193">
    <w:abstractNumId w:val="5"/>
  </w:num>
  <w:num w:numId="11" w16cid:durableId="22707285">
    <w:abstractNumId w:val="14"/>
  </w:num>
  <w:num w:numId="12" w16cid:durableId="582379906">
    <w:abstractNumId w:val="34"/>
  </w:num>
  <w:num w:numId="13" w16cid:durableId="1770852398">
    <w:abstractNumId w:val="27"/>
  </w:num>
  <w:num w:numId="14" w16cid:durableId="1461846439">
    <w:abstractNumId w:val="2"/>
  </w:num>
  <w:num w:numId="15" w16cid:durableId="820653759">
    <w:abstractNumId w:val="10"/>
  </w:num>
  <w:num w:numId="16" w16cid:durableId="572397665">
    <w:abstractNumId w:val="4"/>
  </w:num>
  <w:num w:numId="17" w16cid:durableId="699940590">
    <w:abstractNumId w:val="35"/>
  </w:num>
  <w:num w:numId="18" w16cid:durableId="575549964">
    <w:abstractNumId w:val="16"/>
  </w:num>
  <w:num w:numId="19" w16cid:durableId="364599328">
    <w:abstractNumId w:val="23"/>
  </w:num>
  <w:num w:numId="20" w16cid:durableId="850293227">
    <w:abstractNumId w:val="21"/>
  </w:num>
  <w:num w:numId="21" w16cid:durableId="1728185387">
    <w:abstractNumId w:val="12"/>
  </w:num>
  <w:num w:numId="22" w16cid:durableId="347341382">
    <w:abstractNumId w:val="31"/>
  </w:num>
  <w:num w:numId="23" w16cid:durableId="122501490">
    <w:abstractNumId w:val="6"/>
  </w:num>
  <w:num w:numId="24" w16cid:durableId="958411362">
    <w:abstractNumId w:val="8"/>
  </w:num>
  <w:num w:numId="25" w16cid:durableId="1794520667">
    <w:abstractNumId w:val="0"/>
  </w:num>
  <w:num w:numId="26" w16cid:durableId="1405566839">
    <w:abstractNumId w:val="33"/>
  </w:num>
  <w:num w:numId="27" w16cid:durableId="855383089">
    <w:abstractNumId w:val="29"/>
  </w:num>
  <w:num w:numId="28" w16cid:durableId="231234198">
    <w:abstractNumId w:val="3"/>
  </w:num>
  <w:num w:numId="29" w16cid:durableId="72708310">
    <w:abstractNumId w:val="7"/>
  </w:num>
  <w:num w:numId="30" w16cid:durableId="1929655577">
    <w:abstractNumId w:val="24"/>
  </w:num>
  <w:num w:numId="31" w16cid:durableId="729765212">
    <w:abstractNumId w:val="30"/>
  </w:num>
  <w:num w:numId="32" w16cid:durableId="1389065330">
    <w:abstractNumId w:val="9"/>
  </w:num>
  <w:num w:numId="33" w16cid:durableId="1217666769">
    <w:abstractNumId w:val="36"/>
  </w:num>
  <w:num w:numId="34" w16cid:durableId="1994604745">
    <w:abstractNumId w:val="18"/>
  </w:num>
  <w:num w:numId="35" w16cid:durableId="2080982586">
    <w:abstractNumId w:val="32"/>
  </w:num>
  <w:num w:numId="36" w16cid:durableId="876312498">
    <w:abstractNumId w:val="25"/>
  </w:num>
  <w:num w:numId="37" w16cid:durableId="1197235070">
    <w:abstractNumId w:val="26"/>
  </w:num>
  <w:num w:numId="38" w16cid:durableId="1399010238">
    <w:abstractNumId w:val="17"/>
  </w:num>
  <w:num w:numId="39" w16cid:durableId="1667440519">
    <w:abstractNumId w:val="1"/>
  </w:num>
  <w:num w:numId="40" w16cid:durableId="669406518">
    <w:abstractNumId w:val="2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A79"/>
    <w:rsid w:val="000010EB"/>
    <w:rsid w:val="000035D8"/>
    <w:rsid w:val="00004568"/>
    <w:rsid w:val="00004FCE"/>
    <w:rsid w:val="00005806"/>
    <w:rsid w:val="00005EFD"/>
    <w:rsid w:val="00007BA7"/>
    <w:rsid w:val="00007F22"/>
    <w:rsid w:val="00010343"/>
    <w:rsid w:val="00010876"/>
    <w:rsid w:val="00010905"/>
    <w:rsid w:val="00011979"/>
    <w:rsid w:val="0001271B"/>
    <w:rsid w:val="00012B69"/>
    <w:rsid w:val="000159DA"/>
    <w:rsid w:val="0001612F"/>
    <w:rsid w:val="00017A5F"/>
    <w:rsid w:val="000203CA"/>
    <w:rsid w:val="0002048A"/>
    <w:rsid w:val="00021EEA"/>
    <w:rsid w:val="00022DCA"/>
    <w:rsid w:val="000238DA"/>
    <w:rsid w:val="00024AB7"/>
    <w:rsid w:val="00026451"/>
    <w:rsid w:val="000278E6"/>
    <w:rsid w:val="00032539"/>
    <w:rsid w:val="00036CE2"/>
    <w:rsid w:val="00040BCE"/>
    <w:rsid w:val="000437EF"/>
    <w:rsid w:val="00044B02"/>
    <w:rsid w:val="000452B2"/>
    <w:rsid w:val="00045949"/>
    <w:rsid w:val="00046402"/>
    <w:rsid w:val="00052039"/>
    <w:rsid w:val="00052904"/>
    <w:rsid w:val="00052CC7"/>
    <w:rsid w:val="00054446"/>
    <w:rsid w:val="00054CDE"/>
    <w:rsid w:val="000560E2"/>
    <w:rsid w:val="00056153"/>
    <w:rsid w:val="000563D9"/>
    <w:rsid w:val="000570DE"/>
    <w:rsid w:val="000571BC"/>
    <w:rsid w:val="000573B5"/>
    <w:rsid w:val="00057DD9"/>
    <w:rsid w:val="00061C60"/>
    <w:rsid w:val="0006382B"/>
    <w:rsid w:val="00064C1A"/>
    <w:rsid w:val="00065C9F"/>
    <w:rsid w:val="000734DF"/>
    <w:rsid w:val="0007378A"/>
    <w:rsid w:val="00073CC6"/>
    <w:rsid w:val="000752A6"/>
    <w:rsid w:val="000760E9"/>
    <w:rsid w:val="00077BB1"/>
    <w:rsid w:val="00082257"/>
    <w:rsid w:val="00084472"/>
    <w:rsid w:val="00084752"/>
    <w:rsid w:val="00086DE6"/>
    <w:rsid w:val="00087EB8"/>
    <w:rsid w:val="0009011D"/>
    <w:rsid w:val="0009115C"/>
    <w:rsid w:val="000914E8"/>
    <w:rsid w:val="0009311B"/>
    <w:rsid w:val="00093298"/>
    <w:rsid w:val="000955F9"/>
    <w:rsid w:val="00096A8A"/>
    <w:rsid w:val="000A055E"/>
    <w:rsid w:val="000A157B"/>
    <w:rsid w:val="000A26C8"/>
    <w:rsid w:val="000A26E3"/>
    <w:rsid w:val="000A2EB8"/>
    <w:rsid w:val="000A3042"/>
    <w:rsid w:val="000A322E"/>
    <w:rsid w:val="000A3DF8"/>
    <w:rsid w:val="000A4682"/>
    <w:rsid w:val="000A5B3E"/>
    <w:rsid w:val="000A7F43"/>
    <w:rsid w:val="000B18C5"/>
    <w:rsid w:val="000B209B"/>
    <w:rsid w:val="000B3528"/>
    <w:rsid w:val="000B441F"/>
    <w:rsid w:val="000B59A9"/>
    <w:rsid w:val="000B607E"/>
    <w:rsid w:val="000B6B5B"/>
    <w:rsid w:val="000B71A7"/>
    <w:rsid w:val="000C0B6F"/>
    <w:rsid w:val="000C0DD9"/>
    <w:rsid w:val="000C1CF8"/>
    <w:rsid w:val="000C2140"/>
    <w:rsid w:val="000C270A"/>
    <w:rsid w:val="000C2DA6"/>
    <w:rsid w:val="000C45B1"/>
    <w:rsid w:val="000C58BE"/>
    <w:rsid w:val="000C7687"/>
    <w:rsid w:val="000C77C8"/>
    <w:rsid w:val="000D0B46"/>
    <w:rsid w:val="000D3CC6"/>
    <w:rsid w:val="000E059A"/>
    <w:rsid w:val="000E2DCE"/>
    <w:rsid w:val="000E3529"/>
    <w:rsid w:val="000E3FDE"/>
    <w:rsid w:val="000E50ED"/>
    <w:rsid w:val="000E5451"/>
    <w:rsid w:val="000F2A86"/>
    <w:rsid w:val="000F3D44"/>
    <w:rsid w:val="000F5DCD"/>
    <w:rsid w:val="000F705F"/>
    <w:rsid w:val="000F7B16"/>
    <w:rsid w:val="001002A6"/>
    <w:rsid w:val="00110393"/>
    <w:rsid w:val="001108F8"/>
    <w:rsid w:val="00111B31"/>
    <w:rsid w:val="0011600B"/>
    <w:rsid w:val="00117559"/>
    <w:rsid w:val="001202F5"/>
    <w:rsid w:val="0012086F"/>
    <w:rsid w:val="00120C00"/>
    <w:rsid w:val="001210BA"/>
    <w:rsid w:val="00121FEA"/>
    <w:rsid w:val="0012395D"/>
    <w:rsid w:val="001251E7"/>
    <w:rsid w:val="0012579E"/>
    <w:rsid w:val="00127250"/>
    <w:rsid w:val="0012786E"/>
    <w:rsid w:val="00127D5F"/>
    <w:rsid w:val="00131D1B"/>
    <w:rsid w:val="00131EA7"/>
    <w:rsid w:val="00132B82"/>
    <w:rsid w:val="00134A86"/>
    <w:rsid w:val="00134BD0"/>
    <w:rsid w:val="001371E6"/>
    <w:rsid w:val="00137D9E"/>
    <w:rsid w:val="001408BF"/>
    <w:rsid w:val="001415E9"/>
    <w:rsid w:val="00141A06"/>
    <w:rsid w:val="00141CC9"/>
    <w:rsid w:val="00145E74"/>
    <w:rsid w:val="00146C1F"/>
    <w:rsid w:val="00150980"/>
    <w:rsid w:val="001522C8"/>
    <w:rsid w:val="00155F22"/>
    <w:rsid w:val="001576BC"/>
    <w:rsid w:val="001602A1"/>
    <w:rsid w:val="001605AA"/>
    <w:rsid w:val="0016229E"/>
    <w:rsid w:val="00163037"/>
    <w:rsid w:val="00165CCD"/>
    <w:rsid w:val="00166369"/>
    <w:rsid w:val="001664B6"/>
    <w:rsid w:val="00166EAB"/>
    <w:rsid w:val="00170359"/>
    <w:rsid w:val="00171814"/>
    <w:rsid w:val="0017192E"/>
    <w:rsid w:val="00171A22"/>
    <w:rsid w:val="00174192"/>
    <w:rsid w:val="00175196"/>
    <w:rsid w:val="00176690"/>
    <w:rsid w:val="00176BD5"/>
    <w:rsid w:val="001770BA"/>
    <w:rsid w:val="001776C0"/>
    <w:rsid w:val="00180835"/>
    <w:rsid w:val="00180D65"/>
    <w:rsid w:val="001817D4"/>
    <w:rsid w:val="00182057"/>
    <w:rsid w:val="001832D8"/>
    <w:rsid w:val="00183763"/>
    <w:rsid w:val="001875CB"/>
    <w:rsid w:val="0019071E"/>
    <w:rsid w:val="00190CDB"/>
    <w:rsid w:val="00191CFB"/>
    <w:rsid w:val="00195034"/>
    <w:rsid w:val="001951EF"/>
    <w:rsid w:val="001953E4"/>
    <w:rsid w:val="00195504"/>
    <w:rsid w:val="001A1543"/>
    <w:rsid w:val="001A1C9D"/>
    <w:rsid w:val="001A1ECA"/>
    <w:rsid w:val="001A316C"/>
    <w:rsid w:val="001A4A18"/>
    <w:rsid w:val="001A5809"/>
    <w:rsid w:val="001A69C3"/>
    <w:rsid w:val="001A71BB"/>
    <w:rsid w:val="001B13B6"/>
    <w:rsid w:val="001B22D1"/>
    <w:rsid w:val="001B2F1B"/>
    <w:rsid w:val="001B48AA"/>
    <w:rsid w:val="001B6D58"/>
    <w:rsid w:val="001C2F04"/>
    <w:rsid w:val="001C4EEA"/>
    <w:rsid w:val="001C77C1"/>
    <w:rsid w:val="001D05B9"/>
    <w:rsid w:val="001D2C55"/>
    <w:rsid w:val="001D372F"/>
    <w:rsid w:val="001D49C2"/>
    <w:rsid w:val="001D4EFE"/>
    <w:rsid w:val="001D6DFF"/>
    <w:rsid w:val="001D74CD"/>
    <w:rsid w:val="001E0280"/>
    <w:rsid w:val="001E1A72"/>
    <w:rsid w:val="001E6483"/>
    <w:rsid w:val="001E7133"/>
    <w:rsid w:val="001F0305"/>
    <w:rsid w:val="001F0C15"/>
    <w:rsid w:val="001F1D92"/>
    <w:rsid w:val="001F23EA"/>
    <w:rsid w:val="001F3DA7"/>
    <w:rsid w:val="001F40D0"/>
    <w:rsid w:val="001F4466"/>
    <w:rsid w:val="001F4FD3"/>
    <w:rsid w:val="001F6F45"/>
    <w:rsid w:val="001F754C"/>
    <w:rsid w:val="001F7699"/>
    <w:rsid w:val="00201E27"/>
    <w:rsid w:val="00202473"/>
    <w:rsid w:val="002030A6"/>
    <w:rsid w:val="002035AD"/>
    <w:rsid w:val="00204F47"/>
    <w:rsid w:val="0020538B"/>
    <w:rsid w:val="00206AB3"/>
    <w:rsid w:val="00211C3E"/>
    <w:rsid w:val="00214006"/>
    <w:rsid w:val="0021525F"/>
    <w:rsid w:val="00215650"/>
    <w:rsid w:val="00215A3D"/>
    <w:rsid w:val="00215ED2"/>
    <w:rsid w:val="00215F5F"/>
    <w:rsid w:val="0021734A"/>
    <w:rsid w:val="00220E90"/>
    <w:rsid w:val="0022176C"/>
    <w:rsid w:val="00224210"/>
    <w:rsid w:val="00224D8B"/>
    <w:rsid w:val="00225889"/>
    <w:rsid w:val="00227592"/>
    <w:rsid w:val="00227793"/>
    <w:rsid w:val="00231B62"/>
    <w:rsid w:val="002323CD"/>
    <w:rsid w:val="0023320A"/>
    <w:rsid w:val="00233FCB"/>
    <w:rsid w:val="00234644"/>
    <w:rsid w:val="002346A9"/>
    <w:rsid w:val="00234D1C"/>
    <w:rsid w:val="0023580F"/>
    <w:rsid w:val="0024034B"/>
    <w:rsid w:val="002404D5"/>
    <w:rsid w:val="00241B3A"/>
    <w:rsid w:val="00241DB9"/>
    <w:rsid w:val="00242C52"/>
    <w:rsid w:val="0024359B"/>
    <w:rsid w:val="0024361E"/>
    <w:rsid w:val="00243C17"/>
    <w:rsid w:val="00245ACA"/>
    <w:rsid w:val="00245D42"/>
    <w:rsid w:val="00246B0F"/>
    <w:rsid w:val="00247615"/>
    <w:rsid w:val="002512A7"/>
    <w:rsid w:val="0025145E"/>
    <w:rsid w:val="002527C7"/>
    <w:rsid w:val="00252A2B"/>
    <w:rsid w:val="00252E3A"/>
    <w:rsid w:val="0025467E"/>
    <w:rsid w:val="00254EFB"/>
    <w:rsid w:val="002561CD"/>
    <w:rsid w:val="00256902"/>
    <w:rsid w:val="00264163"/>
    <w:rsid w:val="002646DD"/>
    <w:rsid w:val="00266A04"/>
    <w:rsid w:val="0026776C"/>
    <w:rsid w:val="0027060C"/>
    <w:rsid w:val="0027172F"/>
    <w:rsid w:val="00272837"/>
    <w:rsid w:val="0027643E"/>
    <w:rsid w:val="0028601A"/>
    <w:rsid w:val="00286CB3"/>
    <w:rsid w:val="002907AE"/>
    <w:rsid w:val="00291E82"/>
    <w:rsid w:val="0029321F"/>
    <w:rsid w:val="0029492D"/>
    <w:rsid w:val="00294EAB"/>
    <w:rsid w:val="0029506F"/>
    <w:rsid w:val="002973DE"/>
    <w:rsid w:val="002A13D3"/>
    <w:rsid w:val="002A53F3"/>
    <w:rsid w:val="002A5C26"/>
    <w:rsid w:val="002B072F"/>
    <w:rsid w:val="002B1FFF"/>
    <w:rsid w:val="002B51CD"/>
    <w:rsid w:val="002B5959"/>
    <w:rsid w:val="002C1530"/>
    <w:rsid w:val="002C3DAA"/>
    <w:rsid w:val="002C42AA"/>
    <w:rsid w:val="002C6B2E"/>
    <w:rsid w:val="002C739B"/>
    <w:rsid w:val="002C7A8B"/>
    <w:rsid w:val="002C7BF4"/>
    <w:rsid w:val="002C7D11"/>
    <w:rsid w:val="002D09E1"/>
    <w:rsid w:val="002D0EF8"/>
    <w:rsid w:val="002D2B2C"/>
    <w:rsid w:val="002D2DAF"/>
    <w:rsid w:val="002D328F"/>
    <w:rsid w:val="002D33BA"/>
    <w:rsid w:val="002D3F7E"/>
    <w:rsid w:val="002D4085"/>
    <w:rsid w:val="002D459A"/>
    <w:rsid w:val="002E0618"/>
    <w:rsid w:val="002E0B69"/>
    <w:rsid w:val="002E1AD8"/>
    <w:rsid w:val="002E25E8"/>
    <w:rsid w:val="002E3A88"/>
    <w:rsid w:val="002E500B"/>
    <w:rsid w:val="002E586C"/>
    <w:rsid w:val="002E60BF"/>
    <w:rsid w:val="002F0FC2"/>
    <w:rsid w:val="002F20AD"/>
    <w:rsid w:val="002F2D1E"/>
    <w:rsid w:val="002F3329"/>
    <w:rsid w:val="002F40D3"/>
    <w:rsid w:val="002F5176"/>
    <w:rsid w:val="0030069A"/>
    <w:rsid w:val="00302459"/>
    <w:rsid w:val="003033AC"/>
    <w:rsid w:val="00303C5A"/>
    <w:rsid w:val="00304AE5"/>
    <w:rsid w:val="00304EA0"/>
    <w:rsid w:val="003058A9"/>
    <w:rsid w:val="00305FFE"/>
    <w:rsid w:val="003062A0"/>
    <w:rsid w:val="0030752C"/>
    <w:rsid w:val="00310F6B"/>
    <w:rsid w:val="00312555"/>
    <w:rsid w:val="00313560"/>
    <w:rsid w:val="00316FBB"/>
    <w:rsid w:val="0032076E"/>
    <w:rsid w:val="00321468"/>
    <w:rsid w:val="00327877"/>
    <w:rsid w:val="00331765"/>
    <w:rsid w:val="00331A26"/>
    <w:rsid w:val="0033287A"/>
    <w:rsid w:val="00332D4A"/>
    <w:rsid w:val="00333B22"/>
    <w:rsid w:val="00335AE3"/>
    <w:rsid w:val="00336636"/>
    <w:rsid w:val="00336A1D"/>
    <w:rsid w:val="0033725A"/>
    <w:rsid w:val="0033761D"/>
    <w:rsid w:val="00340B86"/>
    <w:rsid w:val="0034284E"/>
    <w:rsid w:val="00342EE6"/>
    <w:rsid w:val="003500A6"/>
    <w:rsid w:val="0035013A"/>
    <w:rsid w:val="003516B3"/>
    <w:rsid w:val="00351F5E"/>
    <w:rsid w:val="00352B13"/>
    <w:rsid w:val="003552F9"/>
    <w:rsid w:val="00356A97"/>
    <w:rsid w:val="00360861"/>
    <w:rsid w:val="00361711"/>
    <w:rsid w:val="00362AF2"/>
    <w:rsid w:val="00363786"/>
    <w:rsid w:val="0036420B"/>
    <w:rsid w:val="003664DC"/>
    <w:rsid w:val="0037085A"/>
    <w:rsid w:val="00373709"/>
    <w:rsid w:val="003741C5"/>
    <w:rsid w:val="00377241"/>
    <w:rsid w:val="003805DA"/>
    <w:rsid w:val="00380AD6"/>
    <w:rsid w:val="003815C2"/>
    <w:rsid w:val="00381BC9"/>
    <w:rsid w:val="003822FD"/>
    <w:rsid w:val="00385057"/>
    <w:rsid w:val="0038515F"/>
    <w:rsid w:val="00385A2C"/>
    <w:rsid w:val="003860B3"/>
    <w:rsid w:val="00386B4C"/>
    <w:rsid w:val="0039147C"/>
    <w:rsid w:val="00392246"/>
    <w:rsid w:val="003937FC"/>
    <w:rsid w:val="003A0696"/>
    <w:rsid w:val="003A15AF"/>
    <w:rsid w:val="003A1A1A"/>
    <w:rsid w:val="003A28FC"/>
    <w:rsid w:val="003A313A"/>
    <w:rsid w:val="003A3628"/>
    <w:rsid w:val="003A3AFB"/>
    <w:rsid w:val="003A6222"/>
    <w:rsid w:val="003A6E84"/>
    <w:rsid w:val="003A6F40"/>
    <w:rsid w:val="003A7C08"/>
    <w:rsid w:val="003B1831"/>
    <w:rsid w:val="003B18C6"/>
    <w:rsid w:val="003B2049"/>
    <w:rsid w:val="003B2B6A"/>
    <w:rsid w:val="003B2D1F"/>
    <w:rsid w:val="003B424A"/>
    <w:rsid w:val="003B5B10"/>
    <w:rsid w:val="003B772F"/>
    <w:rsid w:val="003C0983"/>
    <w:rsid w:val="003C135C"/>
    <w:rsid w:val="003C1F7B"/>
    <w:rsid w:val="003C28A7"/>
    <w:rsid w:val="003C36CF"/>
    <w:rsid w:val="003C5A60"/>
    <w:rsid w:val="003C622F"/>
    <w:rsid w:val="003C6692"/>
    <w:rsid w:val="003C6C7F"/>
    <w:rsid w:val="003D1E96"/>
    <w:rsid w:val="003D26D5"/>
    <w:rsid w:val="003D2945"/>
    <w:rsid w:val="003D3E34"/>
    <w:rsid w:val="003D43DC"/>
    <w:rsid w:val="003D4B0F"/>
    <w:rsid w:val="003D4D27"/>
    <w:rsid w:val="003D4D6F"/>
    <w:rsid w:val="003D7297"/>
    <w:rsid w:val="003E03B8"/>
    <w:rsid w:val="003E055B"/>
    <w:rsid w:val="003E0611"/>
    <w:rsid w:val="003E0BEE"/>
    <w:rsid w:val="003E105E"/>
    <w:rsid w:val="003E166C"/>
    <w:rsid w:val="003E2695"/>
    <w:rsid w:val="003E4166"/>
    <w:rsid w:val="003E4874"/>
    <w:rsid w:val="003E60BC"/>
    <w:rsid w:val="003E6676"/>
    <w:rsid w:val="003F511C"/>
    <w:rsid w:val="003F5F61"/>
    <w:rsid w:val="003F602F"/>
    <w:rsid w:val="0040036F"/>
    <w:rsid w:val="004004A8"/>
    <w:rsid w:val="004006FF"/>
    <w:rsid w:val="004015DF"/>
    <w:rsid w:val="00403FBD"/>
    <w:rsid w:val="00405FAD"/>
    <w:rsid w:val="004073DB"/>
    <w:rsid w:val="004075AE"/>
    <w:rsid w:val="004108E7"/>
    <w:rsid w:val="004141A6"/>
    <w:rsid w:val="0041733F"/>
    <w:rsid w:val="0041740A"/>
    <w:rsid w:val="00417579"/>
    <w:rsid w:val="0041757E"/>
    <w:rsid w:val="00422AA4"/>
    <w:rsid w:val="00424A66"/>
    <w:rsid w:val="00427563"/>
    <w:rsid w:val="00430479"/>
    <w:rsid w:val="004307B5"/>
    <w:rsid w:val="0043496B"/>
    <w:rsid w:val="004426EA"/>
    <w:rsid w:val="00444291"/>
    <w:rsid w:val="00444C28"/>
    <w:rsid w:val="00446BE1"/>
    <w:rsid w:val="00446F6D"/>
    <w:rsid w:val="004502F5"/>
    <w:rsid w:val="004518A2"/>
    <w:rsid w:val="0045227F"/>
    <w:rsid w:val="00455C3F"/>
    <w:rsid w:val="004571C8"/>
    <w:rsid w:val="00457870"/>
    <w:rsid w:val="00457B9B"/>
    <w:rsid w:val="0046462D"/>
    <w:rsid w:val="00464B52"/>
    <w:rsid w:val="00471D42"/>
    <w:rsid w:val="00473F8C"/>
    <w:rsid w:val="004746E4"/>
    <w:rsid w:val="004813CC"/>
    <w:rsid w:val="004824F7"/>
    <w:rsid w:val="00483815"/>
    <w:rsid w:val="004861DC"/>
    <w:rsid w:val="00486FDE"/>
    <w:rsid w:val="00490CC8"/>
    <w:rsid w:val="00491B58"/>
    <w:rsid w:val="00495F1F"/>
    <w:rsid w:val="00497E1A"/>
    <w:rsid w:val="004A03FE"/>
    <w:rsid w:val="004A2639"/>
    <w:rsid w:val="004A2A6F"/>
    <w:rsid w:val="004A4D34"/>
    <w:rsid w:val="004A524D"/>
    <w:rsid w:val="004A597F"/>
    <w:rsid w:val="004A6417"/>
    <w:rsid w:val="004A6754"/>
    <w:rsid w:val="004A6F80"/>
    <w:rsid w:val="004A741B"/>
    <w:rsid w:val="004A7D5C"/>
    <w:rsid w:val="004B3AB0"/>
    <w:rsid w:val="004B4F1E"/>
    <w:rsid w:val="004B5EF6"/>
    <w:rsid w:val="004B67B5"/>
    <w:rsid w:val="004B786C"/>
    <w:rsid w:val="004B79E3"/>
    <w:rsid w:val="004C02E7"/>
    <w:rsid w:val="004C0FA4"/>
    <w:rsid w:val="004C1C05"/>
    <w:rsid w:val="004C40E9"/>
    <w:rsid w:val="004C49FE"/>
    <w:rsid w:val="004C4BEF"/>
    <w:rsid w:val="004C5FF8"/>
    <w:rsid w:val="004C6F24"/>
    <w:rsid w:val="004D06C0"/>
    <w:rsid w:val="004D126B"/>
    <w:rsid w:val="004D1443"/>
    <w:rsid w:val="004D184F"/>
    <w:rsid w:val="004D1A27"/>
    <w:rsid w:val="004D293E"/>
    <w:rsid w:val="004D2AD9"/>
    <w:rsid w:val="004D682B"/>
    <w:rsid w:val="004E1AFE"/>
    <w:rsid w:val="004E2E24"/>
    <w:rsid w:val="004E3239"/>
    <w:rsid w:val="004E512F"/>
    <w:rsid w:val="004E5B02"/>
    <w:rsid w:val="004E684A"/>
    <w:rsid w:val="004F0324"/>
    <w:rsid w:val="004F0C56"/>
    <w:rsid w:val="004F16B1"/>
    <w:rsid w:val="004F1B8F"/>
    <w:rsid w:val="004F1DEE"/>
    <w:rsid w:val="004F2A3F"/>
    <w:rsid w:val="004F43A5"/>
    <w:rsid w:val="004F4434"/>
    <w:rsid w:val="004F5EB5"/>
    <w:rsid w:val="005020C3"/>
    <w:rsid w:val="00502C08"/>
    <w:rsid w:val="00503930"/>
    <w:rsid w:val="005055C2"/>
    <w:rsid w:val="005070DD"/>
    <w:rsid w:val="00507242"/>
    <w:rsid w:val="005112CE"/>
    <w:rsid w:val="0051423A"/>
    <w:rsid w:val="005146F4"/>
    <w:rsid w:val="00516EC5"/>
    <w:rsid w:val="00517035"/>
    <w:rsid w:val="00517EB1"/>
    <w:rsid w:val="00520172"/>
    <w:rsid w:val="00521527"/>
    <w:rsid w:val="00523F2D"/>
    <w:rsid w:val="005250B1"/>
    <w:rsid w:val="005256D2"/>
    <w:rsid w:val="00525717"/>
    <w:rsid w:val="00526F03"/>
    <w:rsid w:val="0052794D"/>
    <w:rsid w:val="00531308"/>
    <w:rsid w:val="00532529"/>
    <w:rsid w:val="00532682"/>
    <w:rsid w:val="0053372E"/>
    <w:rsid w:val="00534847"/>
    <w:rsid w:val="00534FDF"/>
    <w:rsid w:val="00535AD9"/>
    <w:rsid w:val="00537494"/>
    <w:rsid w:val="005376BC"/>
    <w:rsid w:val="005406DA"/>
    <w:rsid w:val="00541531"/>
    <w:rsid w:val="00544425"/>
    <w:rsid w:val="005447ED"/>
    <w:rsid w:val="00546551"/>
    <w:rsid w:val="00547AC0"/>
    <w:rsid w:val="00551386"/>
    <w:rsid w:val="00551428"/>
    <w:rsid w:val="00551CBA"/>
    <w:rsid w:val="00551EF8"/>
    <w:rsid w:val="00555F9D"/>
    <w:rsid w:val="00560A2D"/>
    <w:rsid w:val="00562955"/>
    <w:rsid w:val="00566743"/>
    <w:rsid w:val="005675B2"/>
    <w:rsid w:val="00570178"/>
    <w:rsid w:val="00570575"/>
    <w:rsid w:val="00571351"/>
    <w:rsid w:val="00572EDA"/>
    <w:rsid w:val="00573684"/>
    <w:rsid w:val="00576FAA"/>
    <w:rsid w:val="00580283"/>
    <w:rsid w:val="005814EB"/>
    <w:rsid w:val="00583A4B"/>
    <w:rsid w:val="00584427"/>
    <w:rsid w:val="005855B9"/>
    <w:rsid w:val="005873A5"/>
    <w:rsid w:val="00590207"/>
    <w:rsid w:val="00591037"/>
    <w:rsid w:val="005914AF"/>
    <w:rsid w:val="00592DC0"/>
    <w:rsid w:val="00595693"/>
    <w:rsid w:val="005973F6"/>
    <w:rsid w:val="00597D2B"/>
    <w:rsid w:val="005A438E"/>
    <w:rsid w:val="005A5ACA"/>
    <w:rsid w:val="005A6C4C"/>
    <w:rsid w:val="005B0451"/>
    <w:rsid w:val="005B0D4E"/>
    <w:rsid w:val="005B2AD1"/>
    <w:rsid w:val="005B2DA4"/>
    <w:rsid w:val="005B32D4"/>
    <w:rsid w:val="005B5467"/>
    <w:rsid w:val="005C26E2"/>
    <w:rsid w:val="005C2BDB"/>
    <w:rsid w:val="005C3F53"/>
    <w:rsid w:val="005C5BE0"/>
    <w:rsid w:val="005C60D9"/>
    <w:rsid w:val="005C688F"/>
    <w:rsid w:val="005C71D4"/>
    <w:rsid w:val="005D2186"/>
    <w:rsid w:val="005D2D9D"/>
    <w:rsid w:val="005D3B14"/>
    <w:rsid w:val="005D4D0A"/>
    <w:rsid w:val="005D5EE5"/>
    <w:rsid w:val="005D773A"/>
    <w:rsid w:val="005D7CE7"/>
    <w:rsid w:val="005E3269"/>
    <w:rsid w:val="005E4354"/>
    <w:rsid w:val="005E4C64"/>
    <w:rsid w:val="005E57C1"/>
    <w:rsid w:val="005E6321"/>
    <w:rsid w:val="005F038F"/>
    <w:rsid w:val="005F0497"/>
    <w:rsid w:val="005F17EF"/>
    <w:rsid w:val="005F20BD"/>
    <w:rsid w:val="005F3922"/>
    <w:rsid w:val="005F419C"/>
    <w:rsid w:val="005F4932"/>
    <w:rsid w:val="005F5896"/>
    <w:rsid w:val="005F6699"/>
    <w:rsid w:val="006022C0"/>
    <w:rsid w:val="0060254F"/>
    <w:rsid w:val="00602B45"/>
    <w:rsid w:val="006033CF"/>
    <w:rsid w:val="00610F2C"/>
    <w:rsid w:val="0061241A"/>
    <w:rsid w:val="00612D4F"/>
    <w:rsid w:val="00613614"/>
    <w:rsid w:val="0061443A"/>
    <w:rsid w:val="00614613"/>
    <w:rsid w:val="00614B97"/>
    <w:rsid w:val="00614CF6"/>
    <w:rsid w:val="0061665F"/>
    <w:rsid w:val="00616EF4"/>
    <w:rsid w:val="00620507"/>
    <w:rsid w:val="00625B9D"/>
    <w:rsid w:val="006261B0"/>
    <w:rsid w:val="00627AA0"/>
    <w:rsid w:val="00627E16"/>
    <w:rsid w:val="00627E79"/>
    <w:rsid w:val="006314B2"/>
    <w:rsid w:val="00631A1A"/>
    <w:rsid w:val="00632698"/>
    <w:rsid w:val="00634196"/>
    <w:rsid w:val="006345CB"/>
    <w:rsid w:val="0063481E"/>
    <w:rsid w:val="00636D4D"/>
    <w:rsid w:val="00637D24"/>
    <w:rsid w:val="006409F6"/>
    <w:rsid w:val="0064255F"/>
    <w:rsid w:val="006427E4"/>
    <w:rsid w:val="0065053E"/>
    <w:rsid w:val="006518ED"/>
    <w:rsid w:val="00654560"/>
    <w:rsid w:val="00655C96"/>
    <w:rsid w:val="00655DA1"/>
    <w:rsid w:val="0065781C"/>
    <w:rsid w:val="00660722"/>
    <w:rsid w:val="00662AD3"/>
    <w:rsid w:val="006636F0"/>
    <w:rsid w:val="0066719F"/>
    <w:rsid w:val="0067126B"/>
    <w:rsid w:val="006732F1"/>
    <w:rsid w:val="00673829"/>
    <w:rsid w:val="00674CAB"/>
    <w:rsid w:val="00674DB8"/>
    <w:rsid w:val="00675C40"/>
    <w:rsid w:val="00675E6B"/>
    <w:rsid w:val="00676082"/>
    <w:rsid w:val="00681452"/>
    <w:rsid w:val="0068148D"/>
    <w:rsid w:val="00681CFF"/>
    <w:rsid w:val="00682F8C"/>
    <w:rsid w:val="006834B2"/>
    <w:rsid w:val="00683787"/>
    <w:rsid w:val="00685543"/>
    <w:rsid w:val="0068779B"/>
    <w:rsid w:val="0069121D"/>
    <w:rsid w:val="00691586"/>
    <w:rsid w:val="00692A4F"/>
    <w:rsid w:val="006947F9"/>
    <w:rsid w:val="00694A1C"/>
    <w:rsid w:val="00695BF1"/>
    <w:rsid w:val="006A0481"/>
    <w:rsid w:val="006A4523"/>
    <w:rsid w:val="006A4E63"/>
    <w:rsid w:val="006A64FB"/>
    <w:rsid w:val="006A744B"/>
    <w:rsid w:val="006A7B5C"/>
    <w:rsid w:val="006B143D"/>
    <w:rsid w:val="006B25E2"/>
    <w:rsid w:val="006B3498"/>
    <w:rsid w:val="006B4C55"/>
    <w:rsid w:val="006B4FEE"/>
    <w:rsid w:val="006B5AC7"/>
    <w:rsid w:val="006B68C6"/>
    <w:rsid w:val="006C05F3"/>
    <w:rsid w:val="006C1207"/>
    <w:rsid w:val="006C20EE"/>
    <w:rsid w:val="006C53F7"/>
    <w:rsid w:val="006D0345"/>
    <w:rsid w:val="006D34E2"/>
    <w:rsid w:val="006D3E68"/>
    <w:rsid w:val="006D5F0F"/>
    <w:rsid w:val="006D6094"/>
    <w:rsid w:val="006E1F28"/>
    <w:rsid w:val="006E4D64"/>
    <w:rsid w:val="006F04D4"/>
    <w:rsid w:val="006F1097"/>
    <w:rsid w:val="006F2065"/>
    <w:rsid w:val="006F309E"/>
    <w:rsid w:val="006F39AE"/>
    <w:rsid w:val="006F3AA0"/>
    <w:rsid w:val="006F3CED"/>
    <w:rsid w:val="006F4830"/>
    <w:rsid w:val="006F688E"/>
    <w:rsid w:val="006F7352"/>
    <w:rsid w:val="006F7491"/>
    <w:rsid w:val="0070079D"/>
    <w:rsid w:val="0070174B"/>
    <w:rsid w:val="007042EF"/>
    <w:rsid w:val="00704A8A"/>
    <w:rsid w:val="00705A10"/>
    <w:rsid w:val="0070699B"/>
    <w:rsid w:val="00707474"/>
    <w:rsid w:val="00712368"/>
    <w:rsid w:val="007125F4"/>
    <w:rsid w:val="0071377A"/>
    <w:rsid w:val="007151F2"/>
    <w:rsid w:val="007161E6"/>
    <w:rsid w:val="007208EB"/>
    <w:rsid w:val="007223E0"/>
    <w:rsid w:val="00722DAC"/>
    <w:rsid w:val="007234B1"/>
    <w:rsid w:val="00723B79"/>
    <w:rsid w:val="007331D1"/>
    <w:rsid w:val="00733A67"/>
    <w:rsid w:val="00734EF8"/>
    <w:rsid w:val="00735B66"/>
    <w:rsid w:val="0073758F"/>
    <w:rsid w:val="00742FC1"/>
    <w:rsid w:val="00744041"/>
    <w:rsid w:val="00745372"/>
    <w:rsid w:val="00745B2A"/>
    <w:rsid w:val="00746527"/>
    <w:rsid w:val="00747C1E"/>
    <w:rsid w:val="0075042D"/>
    <w:rsid w:val="0075147B"/>
    <w:rsid w:val="0075200D"/>
    <w:rsid w:val="00752A49"/>
    <w:rsid w:val="00756C39"/>
    <w:rsid w:val="0076064C"/>
    <w:rsid w:val="00760894"/>
    <w:rsid w:val="007608BE"/>
    <w:rsid w:val="00761303"/>
    <w:rsid w:val="00761E38"/>
    <w:rsid w:val="00762378"/>
    <w:rsid w:val="0076258B"/>
    <w:rsid w:val="00763D96"/>
    <w:rsid w:val="00764F3C"/>
    <w:rsid w:val="007707DC"/>
    <w:rsid w:val="007726E1"/>
    <w:rsid w:val="00775DB1"/>
    <w:rsid w:val="007761AD"/>
    <w:rsid w:val="0077633A"/>
    <w:rsid w:val="00776C93"/>
    <w:rsid w:val="00776CF2"/>
    <w:rsid w:val="00777454"/>
    <w:rsid w:val="0078046B"/>
    <w:rsid w:val="0078067C"/>
    <w:rsid w:val="007816AE"/>
    <w:rsid w:val="00784533"/>
    <w:rsid w:val="0078528E"/>
    <w:rsid w:val="007852AD"/>
    <w:rsid w:val="007855AB"/>
    <w:rsid w:val="0078776C"/>
    <w:rsid w:val="0079049E"/>
    <w:rsid w:val="00791A51"/>
    <w:rsid w:val="00797922"/>
    <w:rsid w:val="007A0964"/>
    <w:rsid w:val="007A127C"/>
    <w:rsid w:val="007A1645"/>
    <w:rsid w:val="007A4996"/>
    <w:rsid w:val="007A541B"/>
    <w:rsid w:val="007A594C"/>
    <w:rsid w:val="007A59CA"/>
    <w:rsid w:val="007A6090"/>
    <w:rsid w:val="007A69B6"/>
    <w:rsid w:val="007A76C0"/>
    <w:rsid w:val="007B1ACB"/>
    <w:rsid w:val="007B6407"/>
    <w:rsid w:val="007B712F"/>
    <w:rsid w:val="007C1003"/>
    <w:rsid w:val="007C612F"/>
    <w:rsid w:val="007C7A82"/>
    <w:rsid w:val="007D11CB"/>
    <w:rsid w:val="007D4063"/>
    <w:rsid w:val="007D49FB"/>
    <w:rsid w:val="007D52F5"/>
    <w:rsid w:val="007D5A3C"/>
    <w:rsid w:val="007E07E8"/>
    <w:rsid w:val="007E0DFE"/>
    <w:rsid w:val="007E0E9A"/>
    <w:rsid w:val="007E1999"/>
    <w:rsid w:val="007E67D9"/>
    <w:rsid w:val="007F087B"/>
    <w:rsid w:val="007F2346"/>
    <w:rsid w:val="007F4A02"/>
    <w:rsid w:val="007F66E2"/>
    <w:rsid w:val="00800675"/>
    <w:rsid w:val="0080123E"/>
    <w:rsid w:val="00801E3A"/>
    <w:rsid w:val="0080454A"/>
    <w:rsid w:val="00804E44"/>
    <w:rsid w:val="0080656C"/>
    <w:rsid w:val="00806929"/>
    <w:rsid w:val="00806EF2"/>
    <w:rsid w:val="00811EC4"/>
    <w:rsid w:val="008121FE"/>
    <w:rsid w:val="00815623"/>
    <w:rsid w:val="00816985"/>
    <w:rsid w:val="00820370"/>
    <w:rsid w:val="00823943"/>
    <w:rsid w:val="00824A79"/>
    <w:rsid w:val="00825197"/>
    <w:rsid w:val="008251CA"/>
    <w:rsid w:val="00826582"/>
    <w:rsid w:val="00827C2E"/>
    <w:rsid w:val="0083063B"/>
    <w:rsid w:val="00830653"/>
    <w:rsid w:val="00832EA6"/>
    <w:rsid w:val="008330E6"/>
    <w:rsid w:val="00833A24"/>
    <w:rsid w:val="00834D1A"/>
    <w:rsid w:val="008366BC"/>
    <w:rsid w:val="00840502"/>
    <w:rsid w:val="008409B1"/>
    <w:rsid w:val="00841A8C"/>
    <w:rsid w:val="008420F1"/>
    <w:rsid w:val="00842177"/>
    <w:rsid w:val="00842A1F"/>
    <w:rsid w:val="00842FDF"/>
    <w:rsid w:val="00843E9A"/>
    <w:rsid w:val="0084532E"/>
    <w:rsid w:val="00846F95"/>
    <w:rsid w:val="008470A0"/>
    <w:rsid w:val="00851059"/>
    <w:rsid w:val="008538A6"/>
    <w:rsid w:val="0085425C"/>
    <w:rsid w:val="0085461B"/>
    <w:rsid w:val="00854BAC"/>
    <w:rsid w:val="00854C7D"/>
    <w:rsid w:val="00855BE4"/>
    <w:rsid w:val="00860E5B"/>
    <w:rsid w:val="008624ED"/>
    <w:rsid w:val="00863223"/>
    <w:rsid w:val="008636EB"/>
    <w:rsid w:val="00863A76"/>
    <w:rsid w:val="00863EEC"/>
    <w:rsid w:val="00865BFD"/>
    <w:rsid w:val="00865DFD"/>
    <w:rsid w:val="0086667C"/>
    <w:rsid w:val="00867987"/>
    <w:rsid w:val="00871089"/>
    <w:rsid w:val="008714F0"/>
    <w:rsid w:val="008744B7"/>
    <w:rsid w:val="00875A17"/>
    <w:rsid w:val="00876F7C"/>
    <w:rsid w:val="008773D0"/>
    <w:rsid w:val="0087749D"/>
    <w:rsid w:val="00880AB7"/>
    <w:rsid w:val="00880CE1"/>
    <w:rsid w:val="0088176A"/>
    <w:rsid w:val="00882DAA"/>
    <w:rsid w:val="00883A80"/>
    <w:rsid w:val="008842AB"/>
    <w:rsid w:val="00884EF8"/>
    <w:rsid w:val="00886C75"/>
    <w:rsid w:val="00886EE1"/>
    <w:rsid w:val="00891303"/>
    <w:rsid w:val="0089248B"/>
    <w:rsid w:val="00893801"/>
    <w:rsid w:val="00894235"/>
    <w:rsid w:val="00895968"/>
    <w:rsid w:val="00896432"/>
    <w:rsid w:val="008A3F3E"/>
    <w:rsid w:val="008A42C8"/>
    <w:rsid w:val="008A45B8"/>
    <w:rsid w:val="008A597D"/>
    <w:rsid w:val="008A6BA7"/>
    <w:rsid w:val="008A734C"/>
    <w:rsid w:val="008B0A10"/>
    <w:rsid w:val="008B4EBD"/>
    <w:rsid w:val="008B677B"/>
    <w:rsid w:val="008B6AC1"/>
    <w:rsid w:val="008B75C1"/>
    <w:rsid w:val="008B786A"/>
    <w:rsid w:val="008B7B9F"/>
    <w:rsid w:val="008C0F24"/>
    <w:rsid w:val="008C0FD0"/>
    <w:rsid w:val="008C192D"/>
    <w:rsid w:val="008C2CD7"/>
    <w:rsid w:val="008C471D"/>
    <w:rsid w:val="008C7A9D"/>
    <w:rsid w:val="008C7EF9"/>
    <w:rsid w:val="008D4258"/>
    <w:rsid w:val="008D63E0"/>
    <w:rsid w:val="008D75B5"/>
    <w:rsid w:val="008E0675"/>
    <w:rsid w:val="008E09E8"/>
    <w:rsid w:val="008E15E5"/>
    <w:rsid w:val="008E2299"/>
    <w:rsid w:val="008E3C40"/>
    <w:rsid w:val="008E487C"/>
    <w:rsid w:val="008E4BC1"/>
    <w:rsid w:val="008E7D62"/>
    <w:rsid w:val="008F026D"/>
    <w:rsid w:val="008F1E27"/>
    <w:rsid w:val="008F3A6F"/>
    <w:rsid w:val="008F3A9C"/>
    <w:rsid w:val="008F4F0C"/>
    <w:rsid w:val="008F5436"/>
    <w:rsid w:val="008F6A7E"/>
    <w:rsid w:val="008F73EB"/>
    <w:rsid w:val="008F7E86"/>
    <w:rsid w:val="009007AD"/>
    <w:rsid w:val="0090239A"/>
    <w:rsid w:val="0090246B"/>
    <w:rsid w:val="009030FD"/>
    <w:rsid w:val="00904317"/>
    <w:rsid w:val="0090436F"/>
    <w:rsid w:val="0090542D"/>
    <w:rsid w:val="00905701"/>
    <w:rsid w:val="00905977"/>
    <w:rsid w:val="00905D27"/>
    <w:rsid w:val="009065C0"/>
    <w:rsid w:val="00906D3E"/>
    <w:rsid w:val="0090796D"/>
    <w:rsid w:val="009121DA"/>
    <w:rsid w:val="009125E0"/>
    <w:rsid w:val="00914278"/>
    <w:rsid w:val="00914EE3"/>
    <w:rsid w:val="0091619A"/>
    <w:rsid w:val="00917885"/>
    <w:rsid w:val="009204FF"/>
    <w:rsid w:val="00920833"/>
    <w:rsid w:val="009212E1"/>
    <w:rsid w:val="00921C32"/>
    <w:rsid w:val="009229A3"/>
    <w:rsid w:val="00922A06"/>
    <w:rsid w:val="0092626D"/>
    <w:rsid w:val="0092640F"/>
    <w:rsid w:val="00927FA5"/>
    <w:rsid w:val="009303D0"/>
    <w:rsid w:val="009311CC"/>
    <w:rsid w:val="009337B9"/>
    <w:rsid w:val="0093528C"/>
    <w:rsid w:val="009370F4"/>
    <w:rsid w:val="00937DFB"/>
    <w:rsid w:val="009425FD"/>
    <w:rsid w:val="00942717"/>
    <w:rsid w:val="0094607F"/>
    <w:rsid w:val="00947891"/>
    <w:rsid w:val="00950362"/>
    <w:rsid w:val="00951405"/>
    <w:rsid w:val="0095238D"/>
    <w:rsid w:val="009561AF"/>
    <w:rsid w:val="00957259"/>
    <w:rsid w:val="00957766"/>
    <w:rsid w:val="009608BA"/>
    <w:rsid w:val="009627A4"/>
    <w:rsid w:val="00962E56"/>
    <w:rsid w:val="009632B7"/>
    <w:rsid w:val="009638B9"/>
    <w:rsid w:val="0096454C"/>
    <w:rsid w:val="00965946"/>
    <w:rsid w:val="0096788A"/>
    <w:rsid w:val="00967A55"/>
    <w:rsid w:val="009705BB"/>
    <w:rsid w:val="00971164"/>
    <w:rsid w:val="00971261"/>
    <w:rsid w:val="009718FD"/>
    <w:rsid w:val="00972218"/>
    <w:rsid w:val="00973DFD"/>
    <w:rsid w:val="00974DE0"/>
    <w:rsid w:val="0097602E"/>
    <w:rsid w:val="0098050D"/>
    <w:rsid w:val="00983DCE"/>
    <w:rsid w:val="00983F46"/>
    <w:rsid w:val="00984BB7"/>
    <w:rsid w:val="009853F1"/>
    <w:rsid w:val="00985FFD"/>
    <w:rsid w:val="00986614"/>
    <w:rsid w:val="00986D58"/>
    <w:rsid w:val="0098771C"/>
    <w:rsid w:val="00990864"/>
    <w:rsid w:val="00990C26"/>
    <w:rsid w:val="00992A65"/>
    <w:rsid w:val="00993CA7"/>
    <w:rsid w:val="00994A9A"/>
    <w:rsid w:val="00995A63"/>
    <w:rsid w:val="00996225"/>
    <w:rsid w:val="009A0F7D"/>
    <w:rsid w:val="009A2A60"/>
    <w:rsid w:val="009A3433"/>
    <w:rsid w:val="009A4170"/>
    <w:rsid w:val="009A66B9"/>
    <w:rsid w:val="009A6CC5"/>
    <w:rsid w:val="009A799D"/>
    <w:rsid w:val="009B1AFF"/>
    <w:rsid w:val="009B1B96"/>
    <w:rsid w:val="009B5BE9"/>
    <w:rsid w:val="009B5D2C"/>
    <w:rsid w:val="009B66C6"/>
    <w:rsid w:val="009B68AA"/>
    <w:rsid w:val="009C33A6"/>
    <w:rsid w:val="009C5971"/>
    <w:rsid w:val="009C6163"/>
    <w:rsid w:val="009D05DC"/>
    <w:rsid w:val="009D10F5"/>
    <w:rsid w:val="009D358C"/>
    <w:rsid w:val="009D6105"/>
    <w:rsid w:val="009D68E6"/>
    <w:rsid w:val="009D7959"/>
    <w:rsid w:val="009E4435"/>
    <w:rsid w:val="009E59DE"/>
    <w:rsid w:val="009E7448"/>
    <w:rsid w:val="009E7BD3"/>
    <w:rsid w:val="009F023A"/>
    <w:rsid w:val="009F0DB0"/>
    <w:rsid w:val="009F1B6D"/>
    <w:rsid w:val="009F220C"/>
    <w:rsid w:val="009F3F82"/>
    <w:rsid w:val="009F440E"/>
    <w:rsid w:val="009F47E5"/>
    <w:rsid w:val="009F6099"/>
    <w:rsid w:val="009F7AD6"/>
    <w:rsid w:val="009F7F0D"/>
    <w:rsid w:val="00A022E6"/>
    <w:rsid w:val="00A02DD2"/>
    <w:rsid w:val="00A03181"/>
    <w:rsid w:val="00A04338"/>
    <w:rsid w:val="00A04765"/>
    <w:rsid w:val="00A05ACB"/>
    <w:rsid w:val="00A064A4"/>
    <w:rsid w:val="00A10113"/>
    <w:rsid w:val="00A1072C"/>
    <w:rsid w:val="00A120C5"/>
    <w:rsid w:val="00A13A3F"/>
    <w:rsid w:val="00A13F34"/>
    <w:rsid w:val="00A140B2"/>
    <w:rsid w:val="00A141D0"/>
    <w:rsid w:val="00A144BB"/>
    <w:rsid w:val="00A16E2E"/>
    <w:rsid w:val="00A214AD"/>
    <w:rsid w:val="00A21AAB"/>
    <w:rsid w:val="00A224A1"/>
    <w:rsid w:val="00A22C2B"/>
    <w:rsid w:val="00A2622C"/>
    <w:rsid w:val="00A27AA5"/>
    <w:rsid w:val="00A27F1E"/>
    <w:rsid w:val="00A313B9"/>
    <w:rsid w:val="00A36931"/>
    <w:rsid w:val="00A3741A"/>
    <w:rsid w:val="00A406E7"/>
    <w:rsid w:val="00A40C90"/>
    <w:rsid w:val="00A418CB"/>
    <w:rsid w:val="00A422CD"/>
    <w:rsid w:val="00A42575"/>
    <w:rsid w:val="00A438B5"/>
    <w:rsid w:val="00A441E5"/>
    <w:rsid w:val="00A4490B"/>
    <w:rsid w:val="00A44DE3"/>
    <w:rsid w:val="00A458F5"/>
    <w:rsid w:val="00A4710A"/>
    <w:rsid w:val="00A47E65"/>
    <w:rsid w:val="00A47E78"/>
    <w:rsid w:val="00A50458"/>
    <w:rsid w:val="00A5248D"/>
    <w:rsid w:val="00A5272C"/>
    <w:rsid w:val="00A57340"/>
    <w:rsid w:val="00A578C3"/>
    <w:rsid w:val="00A60A51"/>
    <w:rsid w:val="00A62F0C"/>
    <w:rsid w:val="00A64023"/>
    <w:rsid w:val="00A67242"/>
    <w:rsid w:val="00A70523"/>
    <w:rsid w:val="00A70CE6"/>
    <w:rsid w:val="00A7166A"/>
    <w:rsid w:val="00A71C95"/>
    <w:rsid w:val="00A72906"/>
    <w:rsid w:val="00A74471"/>
    <w:rsid w:val="00A7648C"/>
    <w:rsid w:val="00A80C04"/>
    <w:rsid w:val="00A80DCD"/>
    <w:rsid w:val="00A917EE"/>
    <w:rsid w:val="00A9393F"/>
    <w:rsid w:val="00A95127"/>
    <w:rsid w:val="00A952A7"/>
    <w:rsid w:val="00A96D8D"/>
    <w:rsid w:val="00A96F41"/>
    <w:rsid w:val="00AA0927"/>
    <w:rsid w:val="00AA0E14"/>
    <w:rsid w:val="00AA10A6"/>
    <w:rsid w:val="00AA2429"/>
    <w:rsid w:val="00AA3D04"/>
    <w:rsid w:val="00AA5FB4"/>
    <w:rsid w:val="00AA6815"/>
    <w:rsid w:val="00AA6E6F"/>
    <w:rsid w:val="00AA6FFC"/>
    <w:rsid w:val="00AB0591"/>
    <w:rsid w:val="00AB2D46"/>
    <w:rsid w:val="00AB50A7"/>
    <w:rsid w:val="00AB6577"/>
    <w:rsid w:val="00AC01A2"/>
    <w:rsid w:val="00AC0246"/>
    <w:rsid w:val="00AC0C73"/>
    <w:rsid w:val="00AC0DA0"/>
    <w:rsid w:val="00AC1498"/>
    <w:rsid w:val="00AC1891"/>
    <w:rsid w:val="00AC389F"/>
    <w:rsid w:val="00AC4410"/>
    <w:rsid w:val="00AD1AD1"/>
    <w:rsid w:val="00AD4C7B"/>
    <w:rsid w:val="00AD6249"/>
    <w:rsid w:val="00AE0A13"/>
    <w:rsid w:val="00AE159A"/>
    <w:rsid w:val="00AE1FAD"/>
    <w:rsid w:val="00AE25D1"/>
    <w:rsid w:val="00AE4078"/>
    <w:rsid w:val="00AE4AFB"/>
    <w:rsid w:val="00AE5F21"/>
    <w:rsid w:val="00AE7176"/>
    <w:rsid w:val="00AE79CF"/>
    <w:rsid w:val="00AF01DA"/>
    <w:rsid w:val="00AF1556"/>
    <w:rsid w:val="00AF1F88"/>
    <w:rsid w:val="00AF466C"/>
    <w:rsid w:val="00AF4B3A"/>
    <w:rsid w:val="00AF539F"/>
    <w:rsid w:val="00AF5724"/>
    <w:rsid w:val="00AF790E"/>
    <w:rsid w:val="00B00FF4"/>
    <w:rsid w:val="00B038C4"/>
    <w:rsid w:val="00B03D59"/>
    <w:rsid w:val="00B04D25"/>
    <w:rsid w:val="00B0548C"/>
    <w:rsid w:val="00B05CC9"/>
    <w:rsid w:val="00B06E7F"/>
    <w:rsid w:val="00B10BB6"/>
    <w:rsid w:val="00B11BE8"/>
    <w:rsid w:val="00B126FF"/>
    <w:rsid w:val="00B12921"/>
    <w:rsid w:val="00B13022"/>
    <w:rsid w:val="00B13891"/>
    <w:rsid w:val="00B1397B"/>
    <w:rsid w:val="00B14E54"/>
    <w:rsid w:val="00B15020"/>
    <w:rsid w:val="00B152E9"/>
    <w:rsid w:val="00B159E6"/>
    <w:rsid w:val="00B15B20"/>
    <w:rsid w:val="00B17813"/>
    <w:rsid w:val="00B22E4A"/>
    <w:rsid w:val="00B24AD3"/>
    <w:rsid w:val="00B2504B"/>
    <w:rsid w:val="00B250A8"/>
    <w:rsid w:val="00B274B8"/>
    <w:rsid w:val="00B30304"/>
    <w:rsid w:val="00B30E57"/>
    <w:rsid w:val="00B314AC"/>
    <w:rsid w:val="00B32AFB"/>
    <w:rsid w:val="00B33296"/>
    <w:rsid w:val="00B33B85"/>
    <w:rsid w:val="00B34019"/>
    <w:rsid w:val="00B351EC"/>
    <w:rsid w:val="00B35F7E"/>
    <w:rsid w:val="00B37BEA"/>
    <w:rsid w:val="00B402C5"/>
    <w:rsid w:val="00B41552"/>
    <w:rsid w:val="00B431AE"/>
    <w:rsid w:val="00B446EA"/>
    <w:rsid w:val="00B463E0"/>
    <w:rsid w:val="00B4731A"/>
    <w:rsid w:val="00B47543"/>
    <w:rsid w:val="00B476EE"/>
    <w:rsid w:val="00B47DDC"/>
    <w:rsid w:val="00B52A8F"/>
    <w:rsid w:val="00B54376"/>
    <w:rsid w:val="00B61BE7"/>
    <w:rsid w:val="00B62E26"/>
    <w:rsid w:val="00B64353"/>
    <w:rsid w:val="00B6496F"/>
    <w:rsid w:val="00B65C22"/>
    <w:rsid w:val="00B66F54"/>
    <w:rsid w:val="00B66F9E"/>
    <w:rsid w:val="00B712FB"/>
    <w:rsid w:val="00B73B4E"/>
    <w:rsid w:val="00B76033"/>
    <w:rsid w:val="00B7702B"/>
    <w:rsid w:val="00B77848"/>
    <w:rsid w:val="00B81DCC"/>
    <w:rsid w:val="00B82BE2"/>
    <w:rsid w:val="00B8333D"/>
    <w:rsid w:val="00B86122"/>
    <w:rsid w:val="00B87345"/>
    <w:rsid w:val="00B878D6"/>
    <w:rsid w:val="00B9008F"/>
    <w:rsid w:val="00B91B9D"/>
    <w:rsid w:val="00B9330A"/>
    <w:rsid w:val="00B934E0"/>
    <w:rsid w:val="00B94E62"/>
    <w:rsid w:val="00B950B8"/>
    <w:rsid w:val="00B9584E"/>
    <w:rsid w:val="00B96B06"/>
    <w:rsid w:val="00B96ED4"/>
    <w:rsid w:val="00BA1B9F"/>
    <w:rsid w:val="00BA33ED"/>
    <w:rsid w:val="00BA73D2"/>
    <w:rsid w:val="00BB1827"/>
    <w:rsid w:val="00BB3D52"/>
    <w:rsid w:val="00BB4E86"/>
    <w:rsid w:val="00BB64A5"/>
    <w:rsid w:val="00BB6F15"/>
    <w:rsid w:val="00BC1024"/>
    <w:rsid w:val="00BC1502"/>
    <w:rsid w:val="00BC285B"/>
    <w:rsid w:val="00BC76F1"/>
    <w:rsid w:val="00BD05D3"/>
    <w:rsid w:val="00BD0EE6"/>
    <w:rsid w:val="00BD1ECE"/>
    <w:rsid w:val="00BD2385"/>
    <w:rsid w:val="00BD2D3A"/>
    <w:rsid w:val="00BD3B21"/>
    <w:rsid w:val="00BE0F91"/>
    <w:rsid w:val="00BE1FB6"/>
    <w:rsid w:val="00BE20C0"/>
    <w:rsid w:val="00BE264A"/>
    <w:rsid w:val="00BE3D52"/>
    <w:rsid w:val="00BE49BF"/>
    <w:rsid w:val="00BE5177"/>
    <w:rsid w:val="00BE5F23"/>
    <w:rsid w:val="00BF0BDD"/>
    <w:rsid w:val="00BF1150"/>
    <w:rsid w:val="00BF12DF"/>
    <w:rsid w:val="00BF3FBE"/>
    <w:rsid w:val="00BF7026"/>
    <w:rsid w:val="00C00252"/>
    <w:rsid w:val="00C0258E"/>
    <w:rsid w:val="00C029EE"/>
    <w:rsid w:val="00C03E23"/>
    <w:rsid w:val="00C0453C"/>
    <w:rsid w:val="00C060B8"/>
    <w:rsid w:val="00C065DB"/>
    <w:rsid w:val="00C107DA"/>
    <w:rsid w:val="00C10FFB"/>
    <w:rsid w:val="00C121A0"/>
    <w:rsid w:val="00C14118"/>
    <w:rsid w:val="00C1662E"/>
    <w:rsid w:val="00C23975"/>
    <w:rsid w:val="00C23CF6"/>
    <w:rsid w:val="00C2560C"/>
    <w:rsid w:val="00C25CE5"/>
    <w:rsid w:val="00C25F4C"/>
    <w:rsid w:val="00C26521"/>
    <w:rsid w:val="00C270F8"/>
    <w:rsid w:val="00C27A4B"/>
    <w:rsid w:val="00C3214C"/>
    <w:rsid w:val="00C32916"/>
    <w:rsid w:val="00C3300D"/>
    <w:rsid w:val="00C3346D"/>
    <w:rsid w:val="00C3373C"/>
    <w:rsid w:val="00C33D7E"/>
    <w:rsid w:val="00C35EE2"/>
    <w:rsid w:val="00C367E7"/>
    <w:rsid w:val="00C36BFD"/>
    <w:rsid w:val="00C36DC1"/>
    <w:rsid w:val="00C40385"/>
    <w:rsid w:val="00C403A0"/>
    <w:rsid w:val="00C407B2"/>
    <w:rsid w:val="00C408AE"/>
    <w:rsid w:val="00C40ED9"/>
    <w:rsid w:val="00C4341C"/>
    <w:rsid w:val="00C43C1B"/>
    <w:rsid w:val="00C44471"/>
    <w:rsid w:val="00C4494A"/>
    <w:rsid w:val="00C45A29"/>
    <w:rsid w:val="00C45DE3"/>
    <w:rsid w:val="00C46571"/>
    <w:rsid w:val="00C46BC0"/>
    <w:rsid w:val="00C508EF"/>
    <w:rsid w:val="00C50CC5"/>
    <w:rsid w:val="00C52332"/>
    <w:rsid w:val="00C52EBC"/>
    <w:rsid w:val="00C54029"/>
    <w:rsid w:val="00C544B1"/>
    <w:rsid w:val="00C55A52"/>
    <w:rsid w:val="00C567B0"/>
    <w:rsid w:val="00C62B44"/>
    <w:rsid w:val="00C632A5"/>
    <w:rsid w:val="00C644B0"/>
    <w:rsid w:val="00C65B9D"/>
    <w:rsid w:val="00C6617D"/>
    <w:rsid w:val="00C6650E"/>
    <w:rsid w:val="00C66FE1"/>
    <w:rsid w:val="00C71081"/>
    <w:rsid w:val="00C71AB4"/>
    <w:rsid w:val="00C72105"/>
    <w:rsid w:val="00C735C4"/>
    <w:rsid w:val="00C74065"/>
    <w:rsid w:val="00C745D9"/>
    <w:rsid w:val="00C74B4A"/>
    <w:rsid w:val="00C74D07"/>
    <w:rsid w:val="00C75611"/>
    <w:rsid w:val="00C7613B"/>
    <w:rsid w:val="00C76E87"/>
    <w:rsid w:val="00C775B5"/>
    <w:rsid w:val="00C77C85"/>
    <w:rsid w:val="00C80D44"/>
    <w:rsid w:val="00C836E4"/>
    <w:rsid w:val="00C83F57"/>
    <w:rsid w:val="00C8424B"/>
    <w:rsid w:val="00C868CD"/>
    <w:rsid w:val="00C87CF9"/>
    <w:rsid w:val="00C90585"/>
    <w:rsid w:val="00C9075A"/>
    <w:rsid w:val="00C90CF2"/>
    <w:rsid w:val="00C91B3B"/>
    <w:rsid w:val="00C9272D"/>
    <w:rsid w:val="00C9318E"/>
    <w:rsid w:val="00C93E67"/>
    <w:rsid w:val="00C94CA4"/>
    <w:rsid w:val="00C97896"/>
    <w:rsid w:val="00CA1206"/>
    <w:rsid w:val="00CA1424"/>
    <w:rsid w:val="00CA1A64"/>
    <w:rsid w:val="00CA256B"/>
    <w:rsid w:val="00CA4BAA"/>
    <w:rsid w:val="00CA6361"/>
    <w:rsid w:val="00CA7CE0"/>
    <w:rsid w:val="00CB12B5"/>
    <w:rsid w:val="00CB2C51"/>
    <w:rsid w:val="00CB5757"/>
    <w:rsid w:val="00CB747F"/>
    <w:rsid w:val="00CB7710"/>
    <w:rsid w:val="00CB7FAD"/>
    <w:rsid w:val="00CC0ECE"/>
    <w:rsid w:val="00CC10F9"/>
    <w:rsid w:val="00CC208E"/>
    <w:rsid w:val="00CC3291"/>
    <w:rsid w:val="00CC34A1"/>
    <w:rsid w:val="00CC4053"/>
    <w:rsid w:val="00CD01C7"/>
    <w:rsid w:val="00CD045B"/>
    <w:rsid w:val="00CD5303"/>
    <w:rsid w:val="00CD63C9"/>
    <w:rsid w:val="00CD76DF"/>
    <w:rsid w:val="00CE2058"/>
    <w:rsid w:val="00CE29CD"/>
    <w:rsid w:val="00CE3400"/>
    <w:rsid w:val="00CE3A3C"/>
    <w:rsid w:val="00CE4D1F"/>
    <w:rsid w:val="00CE5702"/>
    <w:rsid w:val="00CE6B1C"/>
    <w:rsid w:val="00CE6DA0"/>
    <w:rsid w:val="00CE788D"/>
    <w:rsid w:val="00CF0C7B"/>
    <w:rsid w:val="00CF0E64"/>
    <w:rsid w:val="00CF1489"/>
    <w:rsid w:val="00CF28B2"/>
    <w:rsid w:val="00CF2C3D"/>
    <w:rsid w:val="00CF3C19"/>
    <w:rsid w:val="00D0021C"/>
    <w:rsid w:val="00D02BAC"/>
    <w:rsid w:val="00D032A2"/>
    <w:rsid w:val="00D05126"/>
    <w:rsid w:val="00D074BA"/>
    <w:rsid w:val="00D12DC7"/>
    <w:rsid w:val="00D12E59"/>
    <w:rsid w:val="00D13D9E"/>
    <w:rsid w:val="00D14B3D"/>
    <w:rsid w:val="00D15033"/>
    <w:rsid w:val="00D150AC"/>
    <w:rsid w:val="00D15F12"/>
    <w:rsid w:val="00D16AB3"/>
    <w:rsid w:val="00D179C9"/>
    <w:rsid w:val="00D20494"/>
    <w:rsid w:val="00D21B3F"/>
    <w:rsid w:val="00D21D29"/>
    <w:rsid w:val="00D22C63"/>
    <w:rsid w:val="00D22DAD"/>
    <w:rsid w:val="00D241AD"/>
    <w:rsid w:val="00D2493A"/>
    <w:rsid w:val="00D25C8D"/>
    <w:rsid w:val="00D25F74"/>
    <w:rsid w:val="00D26123"/>
    <w:rsid w:val="00D265A6"/>
    <w:rsid w:val="00D27D58"/>
    <w:rsid w:val="00D3249A"/>
    <w:rsid w:val="00D32F2B"/>
    <w:rsid w:val="00D3393A"/>
    <w:rsid w:val="00D33E00"/>
    <w:rsid w:val="00D33EB4"/>
    <w:rsid w:val="00D34630"/>
    <w:rsid w:val="00D3628F"/>
    <w:rsid w:val="00D37F5E"/>
    <w:rsid w:val="00D411D4"/>
    <w:rsid w:val="00D4199D"/>
    <w:rsid w:val="00D435AB"/>
    <w:rsid w:val="00D43DC1"/>
    <w:rsid w:val="00D45213"/>
    <w:rsid w:val="00D45628"/>
    <w:rsid w:val="00D47BC9"/>
    <w:rsid w:val="00D502B8"/>
    <w:rsid w:val="00D50772"/>
    <w:rsid w:val="00D509F6"/>
    <w:rsid w:val="00D50D51"/>
    <w:rsid w:val="00D5162B"/>
    <w:rsid w:val="00D5225A"/>
    <w:rsid w:val="00D544D2"/>
    <w:rsid w:val="00D54FCF"/>
    <w:rsid w:val="00D55DAD"/>
    <w:rsid w:val="00D5717D"/>
    <w:rsid w:val="00D65030"/>
    <w:rsid w:val="00D6575C"/>
    <w:rsid w:val="00D66D02"/>
    <w:rsid w:val="00D70685"/>
    <w:rsid w:val="00D70B9F"/>
    <w:rsid w:val="00D73563"/>
    <w:rsid w:val="00D74BE5"/>
    <w:rsid w:val="00D751AC"/>
    <w:rsid w:val="00D77642"/>
    <w:rsid w:val="00D77F15"/>
    <w:rsid w:val="00D80387"/>
    <w:rsid w:val="00D804BC"/>
    <w:rsid w:val="00D81225"/>
    <w:rsid w:val="00D8263F"/>
    <w:rsid w:val="00D82935"/>
    <w:rsid w:val="00D82F8A"/>
    <w:rsid w:val="00D8381B"/>
    <w:rsid w:val="00D8406D"/>
    <w:rsid w:val="00D84F90"/>
    <w:rsid w:val="00D87778"/>
    <w:rsid w:val="00D90620"/>
    <w:rsid w:val="00D92745"/>
    <w:rsid w:val="00D93671"/>
    <w:rsid w:val="00D9459C"/>
    <w:rsid w:val="00D9622F"/>
    <w:rsid w:val="00D9657F"/>
    <w:rsid w:val="00D9660D"/>
    <w:rsid w:val="00D9789B"/>
    <w:rsid w:val="00D97B79"/>
    <w:rsid w:val="00DA03C6"/>
    <w:rsid w:val="00DA37BE"/>
    <w:rsid w:val="00DA5B65"/>
    <w:rsid w:val="00DA5DBC"/>
    <w:rsid w:val="00DA612C"/>
    <w:rsid w:val="00DA6FB0"/>
    <w:rsid w:val="00DA78A6"/>
    <w:rsid w:val="00DA7C55"/>
    <w:rsid w:val="00DB0351"/>
    <w:rsid w:val="00DB229A"/>
    <w:rsid w:val="00DB281D"/>
    <w:rsid w:val="00DB381E"/>
    <w:rsid w:val="00DB3B09"/>
    <w:rsid w:val="00DB70B6"/>
    <w:rsid w:val="00DC01F6"/>
    <w:rsid w:val="00DC07E3"/>
    <w:rsid w:val="00DC08AB"/>
    <w:rsid w:val="00DC0BE1"/>
    <w:rsid w:val="00DC0D40"/>
    <w:rsid w:val="00DC2383"/>
    <w:rsid w:val="00DC43DB"/>
    <w:rsid w:val="00DC7001"/>
    <w:rsid w:val="00DC70A8"/>
    <w:rsid w:val="00DC7401"/>
    <w:rsid w:val="00DC7A9C"/>
    <w:rsid w:val="00DD15F2"/>
    <w:rsid w:val="00DD3E27"/>
    <w:rsid w:val="00DD4333"/>
    <w:rsid w:val="00DD77FC"/>
    <w:rsid w:val="00DE14E6"/>
    <w:rsid w:val="00DE1A97"/>
    <w:rsid w:val="00DE3C74"/>
    <w:rsid w:val="00DE3CCA"/>
    <w:rsid w:val="00DE3E45"/>
    <w:rsid w:val="00DE596A"/>
    <w:rsid w:val="00DE6A96"/>
    <w:rsid w:val="00DF4E52"/>
    <w:rsid w:val="00DF63F2"/>
    <w:rsid w:val="00DF730E"/>
    <w:rsid w:val="00E02B66"/>
    <w:rsid w:val="00E03B35"/>
    <w:rsid w:val="00E03CDA"/>
    <w:rsid w:val="00E04EE4"/>
    <w:rsid w:val="00E0692C"/>
    <w:rsid w:val="00E070FD"/>
    <w:rsid w:val="00E118F7"/>
    <w:rsid w:val="00E11EE3"/>
    <w:rsid w:val="00E12D71"/>
    <w:rsid w:val="00E14940"/>
    <w:rsid w:val="00E14D46"/>
    <w:rsid w:val="00E16346"/>
    <w:rsid w:val="00E1658E"/>
    <w:rsid w:val="00E24EBF"/>
    <w:rsid w:val="00E25CE4"/>
    <w:rsid w:val="00E25FEA"/>
    <w:rsid w:val="00E26922"/>
    <w:rsid w:val="00E273CA"/>
    <w:rsid w:val="00E30A1D"/>
    <w:rsid w:val="00E35A02"/>
    <w:rsid w:val="00E40BF4"/>
    <w:rsid w:val="00E41297"/>
    <w:rsid w:val="00E426A5"/>
    <w:rsid w:val="00E432B2"/>
    <w:rsid w:val="00E462BE"/>
    <w:rsid w:val="00E5039A"/>
    <w:rsid w:val="00E50AC4"/>
    <w:rsid w:val="00E51FCF"/>
    <w:rsid w:val="00E529C5"/>
    <w:rsid w:val="00E53135"/>
    <w:rsid w:val="00E53CF8"/>
    <w:rsid w:val="00E602D4"/>
    <w:rsid w:val="00E609EA"/>
    <w:rsid w:val="00E614D5"/>
    <w:rsid w:val="00E61DFE"/>
    <w:rsid w:val="00E62A04"/>
    <w:rsid w:val="00E65AD0"/>
    <w:rsid w:val="00E65B7F"/>
    <w:rsid w:val="00E660E4"/>
    <w:rsid w:val="00E6670E"/>
    <w:rsid w:val="00E70A60"/>
    <w:rsid w:val="00E71ACB"/>
    <w:rsid w:val="00E7224A"/>
    <w:rsid w:val="00E73009"/>
    <w:rsid w:val="00E759B4"/>
    <w:rsid w:val="00E75BAE"/>
    <w:rsid w:val="00E76A5C"/>
    <w:rsid w:val="00E81094"/>
    <w:rsid w:val="00E812D8"/>
    <w:rsid w:val="00E8158F"/>
    <w:rsid w:val="00E81F1B"/>
    <w:rsid w:val="00E8229B"/>
    <w:rsid w:val="00E83211"/>
    <w:rsid w:val="00E85765"/>
    <w:rsid w:val="00E86DA8"/>
    <w:rsid w:val="00E873C9"/>
    <w:rsid w:val="00E87A70"/>
    <w:rsid w:val="00E90610"/>
    <w:rsid w:val="00E9081F"/>
    <w:rsid w:val="00E91891"/>
    <w:rsid w:val="00E91C83"/>
    <w:rsid w:val="00E944BC"/>
    <w:rsid w:val="00E94CE8"/>
    <w:rsid w:val="00E95F96"/>
    <w:rsid w:val="00E96764"/>
    <w:rsid w:val="00E97879"/>
    <w:rsid w:val="00E97F9E"/>
    <w:rsid w:val="00EA29CA"/>
    <w:rsid w:val="00EA3515"/>
    <w:rsid w:val="00EA36C5"/>
    <w:rsid w:val="00EA46BA"/>
    <w:rsid w:val="00EA741F"/>
    <w:rsid w:val="00EA7936"/>
    <w:rsid w:val="00EA79EB"/>
    <w:rsid w:val="00EB0CCE"/>
    <w:rsid w:val="00EB32E2"/>
    <w:rsid w:val="00EB4DD6"/>
    <w:rsid w:val="00EB4DF9"/>
    <w:rsid w:val="00EB4F95"/>
    <w:rsid w:val="00EB733C"/>
    <w:rsid w:val="00EB7357"/>
    <w:rsid w:val="00EB7E12"/>
    <w:rsid w:val="00EC0EE9"/>
    <w:rsid w:val="00EC1B15"/>
    <w:rsid w:val="00EC22AB"/>
    <w:rsid w:val="00EC34AB"/>
    <w:rsid w:val="00EC53DE"/>
    <w:rsid w:val="00EC648D"/>
    <w:rsid w:val="00EC7678"/>
    <w:rsid w:val="00EC7DF5"/>
    <w:rsid w:val="00EC7DF8"/>
    <w:rsid w:val="00ED01A4"/>
    <w:rsid w:val="00ED0A55"/>
    <w:rsid w:val="00ED0ABB"/>
    <w:rsid w:val="00ED0CCA"/>
    <w:rsid w:val="00ED24DB"/>
    <w:rsid w:val="00ED3BEC"/>
    <w:rsid w:val="00ED4E16"/>
    <w:rsid w:val="00EE0974"/>
    <w:rsid w:val="00EE1565"/>
    <w:rsid w:val="00EE1876"/>
    <w:rsid w:val="00EE2C5A"/>
    <w:rsid w:val="00EE3EB0"/>
    <w:rsid w:val="00EE48DE"/>
    <w:rsid w:val="00EE5CE4"/>
    <w:rsid w:val="00EE5F3A"/>
    <w:rsid w:val="00EE7A9A"/>
    <w:rsid w:val="00EF0FE1"/>
    <w:rsid w:val="00EF0FE5"/>
    <w:rsid w:val="00EF3246"/>
    <w:rsid w:val="00EF3FD3"/>
    <w:rsid w:val="00EF5C9F"/>
    <w:rsid w:val="00EF6793"/>
    <w:rsid w:val="00EF6B1A"/>
    <w:rsid w:val="00EF7B54"/>
    <w:rsid w:val="00EF7E79"/>
    <w:rsid w:val="00F009FA"/>
    <w:rsid w:val="00F0306B"/>
    <w:rsid w:val="00F03D3F"/>
    <w:rsid w:val="00F0439B"/>
    <w:rsid w:val="00F043F9"/>
    <w:rsid w:val="00F04AEF"/>
    <w:rsid w:val="00F05A6F"/>
    <w:rsid w:val="00F06B4A"/>
    <w:rsid w:val="00F06EFC"/>
    <w:rsid w:val="00F0788B"/>
    <w:rsid w:val="00F07B75"/>
    <w:rsid w:val="00F1033B"/>
    <w:rsid w:val="00F11DDC"/>
    <w:rsid w:val="00F11E08"/>
    <w:rsid w:val="00F13189"/>
    <w:rsid w:val="00F13D2E"/>
    <w:rsid w:val="00F1445B"/>
    <w:rsid w:val="00F146D3"/>
    <w:rsid w:val="00F14D46"/>
    <w:rsid w:val="00F1650D"/>
    <w:rsid w:val="00F17718"/>
    <w:rsid w:val="00F2157E"/>
    <w:rsid w:val="00F22759"/>
    <w:rsid w:val="00F23033"/>
    <w:rsid w:val="00F23D93"/>
    <w:rsid w:val="00F257A1"/>
    <w:rsid w:val="00F26FAE"/>
    <w:rsid w:val="00F272BB"/>
    <w:rsid w:val="00F3079D"/>
    <w:rsid w:val="00F30A66"/>
    <w:rsid w:val="00F30FAC"/>
    <w:rsid w:val="00F31F40"/>
    <w:rsid w:val="00F33A11"/>
    <w:rsid w:val="00F346C3"/>
    <w:rsid w:val="00F35923"/>
    <w:rsid w:val="00F3735E"/>
    <w:rsid w:val="00F3741F"/>
    <w:rsid w:val="00F378C9"/>
    <w:rsid w:val="00F40281"/>
    <w:rsid w:val="00F412E3"/>
    <w:rsid w:val="00F41CEF"/>
    <w:rsid w:val="00F42071"/>
    <w:rsid w:val="00F429F8"/>
    <w:rsid w:val="00F43FB1"/>
    <w:rsid w:val="00F448D7"/>
    <w:rsid w:val="00F47909"/>
    <w:rsid w:val="00F50200"/>
    <w:rsid w:val="00F503D6"/>
    <w:rsid w:val="00F508D7"/>
    <w:rsid w:val="00F51A41"/>
    <w:rsid w:val="00F55223"/>
    <w:rsid w:val="00F57857"/>
    <w:rsid w:val="00F64A85"/>
    <w:rsid w:val="00F70DC1"/>
    <w:rsid w:val="00F70E51"/>
    <w:rsid w:val="00F717D6"/>
    <w:rsid w:val="00F73DDC"/>
    <w:rsid w:val="00F74A51"/>
    <w:rsid w:val="00F74D75"/>
    <w:rsid w:val="00F76A9F"/>
    <w:rsid w:val="00F833B7"/>
    <w:rsid w:val="00F844BE"/>
    <w:rsid w:val="00F857E9"/>
    <w:rsid w:val="00F8597B"/>
    <w:rsid w:val="00F87196"/>
    <w:rsid w:val="00F873C6"/>
    <w:rsid w:val="00F916AA"/>
    <w:rsid w:val="00F93392"/>
    <w:rsid w:val="00F93B51"/>
    <w:rsid w:val="00F94554"/>
    <w:rsid w:val="00F94992"/>
    <w:rsid w:val="00F9505F"/>
    <w:rsid w:val="00F95491"/>
    <w:rsid w:val="00F956E8"/>
    <w:rsid w:val="00F95EC0"/>
    <w:rsid w:val="00F960DB"/>
    <w:rsid w:val="00F97B72"/>
    <w:rsid w:val="00F97D6E"/>
    <w:rsid w:val="00FA09D8"/>
    <w:rsid w:val="00FA1FD2"/>
    <w:rsid w:val="00FA2154"/>
    <w:rsid w:val="00FA3754"/>
    <w:rsid w:val="00FA37EF"/>
    <w:rsid w:val="00FA387A"/>
    <w:rsid w:val="00FA4ED3"/>
    <w:rsid w:val="00FA737B"/>
    <w:rsid w:val="00FB4033"/>
    <w:rsid w:val="00FB5476"/>
    <w:rsid w:val="00FB6B19"/>
    <w:rsid w:val="00FC27BE"/>
    <w:rsid w:val="00FC63D0"/>
    <w:rsid w:val="00FC63DD"/>
    <w:rsid w:val="00FC6808"/>
    <w:rsid w:val="00FC6A62"/>
    <w:rsid w:val="00FC7E38"/>
    <w:rsid w:val="00FD09CB"/>
    <w:rsid w:val="00FD10A7"/>
    <w:rsid w:val="00FD2878"/>
    <w:rsid w:val="00FD2C02"/>
    <w:rsid w:val="00FD350B"/>
    <w:rsid w:val="00FD7884"/>
    <w:rsid w:val="00FE060B"/>
    <w:rsid w:val="00FE4C84"/>
    <w:rsid w:val="00FE6B43"/>
    <w:rsid w:val="00FF10B3"/>
    <w:rsid w:val="00FF117D"/>
    <w:rsid w:val="00FF1B8C"/>
    <w:rsid w:val="00FF2A7B"/>
    <w:rsid w:val="00FF2F5D"/>
    <w:rsid w:val="00FF41BF"/>
    <w:rsid w:val="00FF5501"/>
    <w:rsid w:val="00FF5D1F"/>
    <w:rsid w:val="00FF7558"/>
    <w:rsid w:val="0D0D8B10"/>
    <w:rsid w:val="0DA5CA12"/>
    <w:rsid w:val="0E9CB035"/>
    <w:rsid w:val="18090B07"/>
    <w:rsid w:val="18410F28"/>
    <w:rsid w:val="1965B0C2"/>
    <w:rsid w:val="2B8E20E4"/>
    <w:rsid w:val="2C84C410"/>
    <w:rsid w:val="2E3EDDF5"/>
    <w:rsid w:val="37C58F33"/>
    <w:rsid w:val="3C374C88"/>
    <w:rsid w:val="3C63DBE4"/>
    <w:rsid w:val="3D2CD373"/>
    <w:rsid w:val="3DFE8140"/>
    <w:rsid w:val="415FF9A0"/>
    <w:rsid w:val="47883CD2"/>
    <w:rsid w:val="49946295"/>
    <w:rsid w:val="50784FD9"/>
    <w:rsid w:val="518C2312"/>
    <w:rsid w:val="535AEAFE"/>
    <w:rsid w:val="53E1B252"/>
    <w:rsid w:val="53FCCE41"/>
    <w:rsid w:val="64A1C10E"/>
    <w:rsid w:val="66E8730B"/>
    <w:rsid w:val="69742754"/>
    <w:rsid w:val="7518DA65"/>
    <w:rsid w:val="7836C9D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4819F"/>
  <w15:chartTrackingRefBased/>
  <w15:docId w15:val="{84B9528A-8AB5-483C-9D32-AEC44F4CA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2A3F"/>
    <w:rPr>
      <w:sz w:val="24"/>
      <w:szCs w:val="24"/>
      <w:lang w:val="es-ES" w:eastAsia="es-ES"/>
    </w:rPr>
  </w:style>
  <w:style w:type="paragraph" w:styleId="Ttulo1">
    <w:name w:val="heading 1"/>
    <w:basedOn w:val="Normal"/>
    <w:next w:val="Normal"/>
    <w:link w:val="Ttulo1Car"/>
    <w:qFormat/>
    <w:pPr>
      <w:keepNext/>
      <w:spacing w:line="360" w:lineRule="auto"/>
      <w:jc w:val="center"/>
      <w:outlineLvl w:val="0"/>
    </w:pPr>
    <w:rPr>
      <w:rFonts w:ascii="Arial" w:hAnsi="Arial" w:cs="Arial"/>
      <w:b/>
      <w:sz w:val="20"/>
      <w:szCs w:val="20"/>
      <w:lang w:val="es-MX"/>
    </w:rPr>
  </w:style>
  <w:style w:type="paragraph" w:styleId="Ttulo2">
    <w:name w:val="heading 2"/>
    <w:basedOn w:val="Normal"/>
    <w:next w:val="Normal"/>
    <w:link w:val="Ttulo2Car"/>
    <w:unhideWhenUsed/>
    <w:qFormat/>
    <w:rsid w:val="003B20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8409B1"/>
    <w:pPr>
      <w:keepNext/>
      <w:keepLines/>
      <w:numPr>
        <w:ilvl w:val="2"/>
        <w:numId w:val="1"/>
      </w:numPr>
      <w:spacing w:before="40"/>
      <w:jc w:val="both"/>
      <w:outlineLvl w:val="2"/>
    </w:pPr>
    <w:rPr>
      <w:rFonts w:ascii="Verdana" w:eastAsiaTheme="majorEastAsia" w:hAnsi="Verdana" w:cstheme="majorBidi"/>
      <w:sz w:val="22"/>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pPr>
      <w:ind w:left="-720"/>
    </w:pPr>
    <w:rPr>
      <w:rFonts w:ascii="Arial" w:hAnsi="Arial" w:cs="Arial"/>
      <w:bCs/>
      <w:sz w:val="20"/>
      <w:szCs w:val="20"/>
      <w:lang w:val="es-MX"/>
    </w:rPr>
  </w:style>
  <w:style w:type="paragraph" w:styleId="Encabezado">
    <w:name w:val="header"/>
    <w:basedOn w:val="Normal"/>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semiHidden/>
    <w:rPr>
      <w:rFonts w:ascii="Tahoma" w:hAnsi="Tahoma" w:cs="Tahoma"/>
      <w:sz w:val="16"/>
      <w:szCs w:val="16"/>
    </w:rPr>
  </w:style>
  <w:style w:type="character" w:styleId="Nmerodepgina">
    <w:name w:val="page number"/>
    <w:basedOn w:val="Fuentedeprrafopredeter"/>
  </w:style>
  <w:style w:type="paragraph" w:styleId="Textoindependiente3">
    <w:name w:val="Body Text 3"/>
    <w:basedOn w:val="Normal"/>
    <w:rsid w:val="00087EB8"/>
    <w:pPr>
      <w:spacing w:after="120"/>
    </w:pPr>
    <w:rPr>
      <w:sz w:val="16"/>
      <w:szCs w:val="16"/>
    </w:rPr>
  </w:style>
  <w:style w:type="paragraph" w:styleId="Textoindependiente">
    <w:name w:val="Body Text"/>
    <w:basedOn w:val="Normal"/>
    <w:rsid w:val="00D02BAC"/>
    <w:pPr>
      <w:spacing w:after="120"/>
    </w:pPr>
  </w:style>
  <w:style w:type="paragraph" w:styleId="Sangra3detindependiente">
    <w:name w:val="Body Text Indent 3"/>
    <w:basedOn w:val="Normal"/>
    <w:rsid w:val="00D02BAC"/>
    <w:pPr>
      <w:spacing w:after="120"/>
      <w:ind w:left="283"/>
    </w:pPr>
    <w:rPr>
      <w:sz w:val="16"/>
      <w:szCs w:val="16"/>
    </w:rPr>
  </w:style>
  <w:style w:type="paragraph" w:styleId="Sangra2detindependiente">
    <w:name w:val="Body Text Indent 2"/>
    <w:basedOn w:val="Normal"/>
    <w:rsid w:val="00D02BAC"/>
    <w:pPr>
      <w:spacing w:after="120" w:line="480" w:lineRule="auto"/>
      <w:ind w:left="283"/>
    </w:pPr>
  </w:style>
  <w:style w:type="table" w:styleId="Tablaconcuadrcula">
    <w:name w:val="Table Grid"/>
    <w:basedOn w:val="Tablanormal"/>
    <w:uiPriority w:val="39"/>
    <w:rsid w:val="00D02B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rsid w:val="00D02BAC"/>
    <w:rPr>
      <w:sz w:val="16"/>
      <w:szCs w:val="16"/>
    </w:rPr>
  </w:style>
  <w:style w:type="paragraph" w:styleId="Textocomentario">
    <w:name w:val="annotation text"/>
    <w:basedOn w:val="Normal"/>
    <w:link w:val="TextocomentarioCar"/>
    <w:uiPriority w:val="99"/>
    <w:rsid w:val="00D02BAC"/>
    <w:rPr>
      <w:sz w:val="20"/>
      <w:szCs w:val="20"/>
    </w:rPr>
  </w:style>
  <w:style w:type="paragraph" w:styleId="Asuntodelcomentario">
    <w:name w:val="annotation subject"/>
    <w:basedOn w:val="Textocomentario"/>
    <w:next w:val="Textocomentario"/>
    <w:semiHidden/>
    <w:rsid w:val="00E16346"/>
    <w:rPr>
      <w:b/>
      <w:bCs/>
    </w:rPr>
  </w:style>
  <w:style w:type="paragraph" w:styleId="Prrafodelista">
    <w:name w:val="List Paragraph"/>
    <w:basedOn w:val="Normal"/>
    <w:uiPriority w:val="34"/>
    <w:qFormat/>
    <w:rsid w:val="000C7687"/>
    <w:pPr>
      <w:ind w:left="708"/>
    </w:pPr>
  </w:style>
  <w:style w:type="character" w:styleId="Fuerte">
    <w:name w:val="Strong"/>
    <w:uiPriority w:val="22"/>
    <w:qFormat/>
    <w:rsid w:val="003B2B6A"/>
    <w:rPr>
      <w:b/>
      <w:bCs/>
    </w:rPr>
  </w:style>
  <w:style w:type="paragraph" w:styleId="NormalWeb">
    <w:name w:val="Normal (Web)"/>
    <w:basedOn w:val="Normal"/>
    <w:uiPriority w:val="99"/>
    <w:unhideWhenUsed/>
    <w:rsid w:val="000B18C5"/>
    <w:pPr>
      <w:spacing w:before="100" w:beforeAutospacing="1" w:after="100" w:afterAutospacing="1"/>
    </w:pPr>
    <w:rPr>
      <w:lang w:val="es-CO" w:eastAsia="es-CO"/>
    </w:rPr>
  </w:style>
  <w:style w:type="paragraph" w:customStyle="1" w:styleId="Default">
    <w:name w:val="Default"/>
    <w:rsid w:val="00FF2A7B"/>
    <w:pPr>
      <w:autoSpaceDE w:val="0"/>
      <w:autoSpaceDN w:val="0"/>
      <w:adjustRightInd w:val="0"/>
    </w:pPr>
    <w:rPr>
      <w:rFonts w:ascii="Arial" w:hAnsi="Arial" w:cs="Arial"/>
      <w:color w:val="000000"/>
      <w:sz w:val="24"/>
      <w:szCs w:val="24"/>
    </w:rPr>
  </w:style>
  <w:style w:type="table" w:customStyle="1" w:styleId="Tablanormal11">
    <w:name w:val="Tabla normal 11"/>
    <w:basedOn w:val="Tablanormal"/>
    <w:uiPriority w:val="41"/>
    <w:rsid w:val="00752A49"/>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ipervnculo">
    <w:name w:val="Hyperlink"/>
    <w:uiPriority w:val="99"/>
    <w:unhideWhenUsed/>
    <w:rsid w:val="00C65B9D"/>
    <w:rPr>
      <w:color w:val="0000FF"/>
      <w:u w:val="single"/>
    </w:rPr>
  </w:style>
  <w:style w:type="character" w:customStyle="1" w:styleId="PiedepginaCar">
    <w:name w:val="Pie de página Car"/>
    <w:link w:val="Piedepgina"/>
    <w:uiPriority w:val="99"/>
    <w:rsid w:val="00C83F57"/>
    <w:rPr>
      <w:sz w:val="24"/>
      <w:szCs w:val="24"/>
      <w:lang w:val="es-ES" w:eastAsia="es-ES"/>
    </w:rPr>
  </w:style>
  <w:style w:type="character" w:customStyle="1" w:styleId="Ttulo3Car">
    <w:name w:val="Título 3 Car"/>
    <w:basedOn w:val="Fuentedeprrafopredeter"/>
    <w:link w:val="Ttulo3"/>
    <w:uiPriority w:val="9"/>
    <w:rsid w:val="008409B1"/>
    <w:rPr>
      <w:rFonts w:ascii="Verdana" w:eastAsiaTheme="majorEastAsia" w:hAnsi="Verdana" w:cstheme="majorBidi"/>
      <w:sz w:val="22"/>
      <w:szCs w:val="24"/>
      <w:lang w:eastAsia="en-US"/>
    </w:rPr>
  </w:style>
  <w:style w:type="character" w:customStyle="1" w:styleId="Ttulo1Car">
    <w:name w:val="Título 1 Car"/>
    <w:basedOn w:val="Fuentedeprrafopredeter"/>
    <w:link w:val="Ttulo1"/>
    <w:rsid w:val="00AC389F"/>
    <w:rPr>
      <w:rFonts w:ascii="Arial" w:hAnsi="Arial" w:cs="Arial"/>
      <w:b/>
      <w:lang w:val="es-MX" w:eastAsia="es-ES"/>
    </w:rPr>
  </w:style>
  <w:style w:type="character" w:customStyle="1" w:styleId="TextocomentarioCar">
    <w:name w:val="Texto comentario Car"/>
    <w:basedOn w:val="Fuentedeprrafopredeter"/>
    <w:link w:val="Textocomentario"/>
    <w:uiPriority w:val="99"/>
    <w:rsid w:val="001B6D58"/>
    <w:rPr>
      <w:lang w:val="es-ES" w:eastAsia="es-ES"/>
    </w:rPr>
  </w:style>
  <w:style w:type="character" w:customStyle="1" w:styleId="Ttulo2Car">
    <w:name w:val="Título 2 Car"/>
    <w:basedOn w:val="Fuentedeprrafopredeter"/>
    <w:link w:val="Ttulo2"/>
    <w:rsid w:val="003B2049"/>
    <w:rPr>
      <w:rFonts w:asciiTheme="majorHAnsi" w:eastAsiaTheme="majorEastAsia" w:hAnsiTheme="majorHAnsi" w:cstheme="majorBidi"/>
      <w:color w:val="2E74B5" w:themeColor="accent1" w:themeShade="BF"/>
      <w:sz w:val="26"/>
      <w:szCs w:val="26"/>
      <w:lang w:val="es-ES" w:eastAsia="es-ES"/>
    </w:rPr>
  </w:style>
  <w:style w:type="character" w:styleId="Mencinsinresolver">
    <w:name w:val="Unresolved Mention"/>
    <w:basedOn w:val="Fuentedeprrafopredeter"/>
    <w:uiPriority w:val="99"/>
    <w:semiHidden/>
    <w:unhideWhenUsed/>
    <w:rsid w:val="001F4466"/>
    <w:rPr>
      <w:color w:val="605E5C"/>
      <w:shd w:val="clear" w:color="auto" w:fill="E1DFDD"/>
    </w:rPr>
  </w:style>
  <w:style w:type="paragraph" w:styleId="Revisin">
    <w:name w:val="Revision"/>
    <w:hidden/>
    <w:uiPriority w:val="99"/>
    <w:semiHidden/>
    <w:rsid w:val="008F5436"/>
    <w:rPr>
      <w:sz w:val="24"/>
      <w:szCs w:val="24"/>
      <w:lang w:val="es-ES" w:eastAsia="es-ES"/>
    </w:rPr>
  </w:style>
  <w:style w:type="character" w:styleId="Hipervnculovisitado">
    <w:name w:val="FollowedHyperlink"/>
    <w:basedOn w:val="Fuentedeprrafopredeter"/>
    <w:rsid w:val="008D63E0"/>
    <w:rPr>
      <w:color w:val="954F72" w:themeColor="followedHyperlink"/>
      <w:u w:val="single"/>
    </w:rPr>
  </w:style>
  <w:style w:type="paragraph" w:customStyle="1" w:styleId="pf0">
    <w:name w:val="pf0"/>
    <w:basedOn w:val="Normal"/>
    <w:rsid w:val="00634196"/>
    <w:pPr>
      <w:spacing w:before="100" w:beforeAutospacing="1" w:after="100" w:afterAutospacing="1"/>
    </w:pPr>
    <w:rPr>
      <w:lang w:val="es-CO" w:eastAsia="es-CO"/>
    </w:rPr>
  </w:style>
  <w:style w:type="character" w:customStyle="1" w:styleId="cf01">
    <w:name w:val="cf01"/>
    <w:basedOn w:val="Fuentedeprrafopredeter"/>
    <w:rsid w:val="00634196"/>
    <w:rPr>
      <w:rFonts w:ascii="Segoe UI" w:hAnsi="Segoe UI" w:cs="Segoe UI" w:hint="default"/>
      <w:sz w:val="18"/>
      <w:szCs w:val="18"/>
    </w:rPr>
  </w:style>
  <w:style w:type="paragraph" w:styleId="Textonotapie">
    <w:name w:val="footnote text"/>
    <w:basedOn w:val="Normal"/>
    <w:link w:val="TextonotapieCar"/>
    <w:rsid w:val="00EA36C5"/>
    <w:rPr>
      <w:sz w:val="20"/>
      <w:szCs w:val="20"/>
    </w:rPr>
  </w:style>
  <w:style w:type="character" w:customStyle="1" w:styleId="TextonotapieCar">
    <w:name w:val="Texto nota pie Car"/>
    <w:basedOn w:val="Fuentedeprrafopredeter"/>
    <w:link w:val="Textonotapie"/>
    <w:rsid w:val="00EA36C5"/>
    <w:rPr>
      <w:lang w:val="es-ES" w:eastAsia="es-ES"/>
    </w:rPr>
  </w:style>
  <w:style w:type="character" w:styleId="Refdenotaalpie">
    <w:name w:val="footnote reference"/>
    <w:basedOn w:val="Fuentedeprrafopredeter"/>
    <w:rsid w:val="00EA36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31463">
      <w:bodyDiv w:val="1"/>
      <w:marLeft w:val="0"/>
      <w:marRight w:val="0"/>
      <w:marTop w:val="0"/>
      <w:marBottom w:val="0"/>
      <w:divBdr>
        <w:top w:val="none" w:sz="0" w:space="0" w:color="auto"/>
        <w:left w:val="none" w:sz="0" w:space="0" w:color="auto"/>
        <w:bottom w:val="none" w:sz="0" w:space="0" w:color="auto"/>
        <w:right w:val="none" w:sz="0" w:space="0" w:color="auto"/>
      </w:divBdr>
    </w:div>
    <w:div w:id="142549673">
      <w:bodyDiv w:val="1"/>
      <w:marLeft w:val="0"/>
      <w:marRight w:val="0"/>
      <w:marTop w:val="0"/>
      <w:marBottom w:val="0"/>
      <w:divBdr>
        <w:top w:val="none" w:sz="0" w:space="0" w:color="auto"/>
        <w:left w:val="none" w:sz="0" w:space="0" w:color="auto"/>
        <w:bottom w:val="none" w:sz="0" w:space="0" w:color="auto"/>
        <w:right w:val="none" w:sz="0" w:space="0" w:color="auto"/>
      </w:divBdr>
    </w:div>
    <w:div w:id="287854414">
      <w:bodyDiv w:val="1"/>
      <w:marLeft w:val="0"/>
      <w:marRight w:val="0"/>
      <w:marTop w:val="0"/>
      <w:marBottom w:val="0"/>
      <w:divBdr>
        <w:top w:val="none" w:sz="0" w:space="0" w:color="auto"/>
        <w:left w:val="none" w:sz="0" w:space="0" w:color="auto"/>
        <w:bottom w:val="none" w:sz="0" w:space="0" w:color="auto"/>
        <w:right w:val="none" w:sz="0" w:space="0" w:color="auto"/>
      </w:divBdr>
    </w:div>
    <w:div w:id="385908008">
      <w:bodyDiv w:val="1"/>
      <w:marLeft w:val="0"/>
      <w:marRight w:val="0"/>
      <w:marTop w:val="0"/>
      <w:marBottom w:val="0"/>
      <w:divBdr>
        <w:top w:val="none" w:sz="0" w:space="0" w:color="auto"/>
        <w:left w:val="none" w:sz="0" w:space="0" w:color="auto"/>
        <w:bottom w:val="none" w:sz="0" w:space="0" w:color="auto"/>
        <w:right w:val="none" w:sz="0" w:space="0" w:color="auto"/>
      </w:divBdr>
    </w:div>
    <w:div w:id="432089006">
      <w:bodyDiv w:val="1"/>
      <w:marLeft w:val="0"/>
      <w:marRight w:val="0"/>
      <w:marTop w:val="0"/>
      <w:marBottom w:val="0"/>
      <w:divBdr>
        <w:top w:val="none" w:sz="0" w:space="0" w:color="auto"/>
        <w:left w:val="none" w:sz="0" w:space="0" w:color="auto"/>
        <w:bottom w:val="none" w:sz="0" w:space="0" w:color="auto"/>
        <w:right w:val="none" w:sz="0" w:space="0" w:color="auto"/>
      </w:divBdr>
    </w:div>
    <w:div w:id="473109804">
      <w:bodyDiv w:val="1"/>
      <w:marLeft w:val="0"/>
      <w:marRight w:val="0"/>
      <w:marTop w:val="0"/>
      <w:marBottom w:val="0"/>
      <w:divBdr>
        <w:top w:val="none" w:sz="0" w:space="0" w:color="auto"/>
        <w:left w:val="none" w:sz="0" w:space="0" w:color="auto"/>
        <w:bottom w:val="none" w:sz="0" w:space="0" w:color="auto"/>
        <w:right w:val="none" w:sz="0" w:space="0" w:color="auto"/>
      </w:divBdr>
    </w:div>
    <w:div w:id="509103821">
      <w:bodyDiv w:val="1"/>
      <w:marLeft w:val="0"/>
      <w:marRight w:val="0"/>
      <w:marTop w:val="0"/>
      <w:marBottom w:val="0"/>
      <w:divBdr>
        <w:top w:val="none" w:sz="0" w:space="0" w:color="auto"/>
        <w:left w:val="none" w:sz="0" w:space="0" w:color="auto"/>
        <w:bottom w:val="none" w:sz="0" w:space="0" w:color="auto"/>
        <w:right w:val="none" w:sz="0" w:space="0" w:color="auto"/>
      </w:divBdr>
    </w:div>
    <w:div w:id="761295392">
      <w:bodyDiv w:val="1"/>
      <w:marLeft w:val="0"/>
      <w:marRight w:val="0"/>
      <w:marTop w:val="0"/>
      <w:marBottom w:val="0"/>
      <w:divBdr>
        <w:top w:val="none" w:sz="0" w:space="0" w:color="auto"/>
        <w:left w:val="none" w:sz="0" w:space="0" w:color="auto"/>
        <w:bottom w:val="none" w:sz="0" w:space="0" w:color="auto"/>
        <w:right w:val="none" w:sz="0" w:space="0" w:color="auto"/>
      </w:divBdr>
    </w:div>
    <w:div w:id="850727618">
      <w:bodyDiv w:val="1"/>
      <w:marLeft w:val="0"/>
      <w:marRight w:val="0"/>
      <w:marTop w:val="0"/>
      <w:marBottom w:val="0"/>
      <w:divBdr>
        <w:top w:val="none" w:sz="0" w:space="0" w:color="auto"/>
        <w:left w:val="none" w:sz="0" w:space="0" w:color="auto"/>
        <w:bottom w:val="none" w:sz="0" w:space="0" w:color="auto"/>
        <w:right w:val="none" w:sz="0" w:space="0" w:color="auto"/>
      </w:divBdr>
    </w:div>
    <w:div w:id="897277485">
      <w:bodyDiv w:val="1"/>
      <w:marLeft w:val="0"/>
      <w:marRight w:val="0"/>
      <w:marTop w:val="0"/>
      <w:marBottom w:val="0"/>
      <w:divBdr>
        <w:top w:val="none" w:sz="0" w:space="0" w:color="auto"/>
        <w:left w:val="none" w:sz="0" w:space="0" w:color="auto"/>
        <w:bottom w:val="none" w:sz="0" w:space="0" w:color="auto"/>
        <w:right w:val="none" w:sz="0" w:space="0" w:color="auto"/>
      </w:divBdr>
    </w:div>
    <w:div w:id="908685656">
      <w:bodyDiv w:val="1"/>
      <w:marLeft w:val="0"/>
      <w:marRight w:val="0"/>
      <w:marTop w:val="0"/>
      <w:marBottom w:val="0"/>
      <w:divBdr>
        <w:top w:val="none" w:sz="0" w:space="0" w:color="auto"/>
        <w:left w:val="none" w:sz="0" w:space="0" w:color="auto"/>
        <w:bottom w:val="none" w:sz="0" w:space="0" w:color="auto"/>
        <w:right w:val="none" w:sz="0" w:space="0" w:color="auto"/>
      </w:divBdr>
    </w:div>
    <w:div w:id="962735095">
      <w:bodyDiv w:val="1"/>
      <w:marLeft w:val="0"/>
      <w:marRight w:val="0"/>
      <w:marTop w:val="0"/>
      <w:marBottom w:val="0"/>
      <w:divBdr>
        <w:top w:val="none" w:sz="0" w:space="0" w:color="auto"/>
        <w:left w:val="none" w:sz="0" w:space="0" w:color="auto"/>
        <w:bottom w:val="none" w:sz="0" w:space="0" w:color="auto"/>
        <w:right w:val="none" w:sz="0" w:space="0" w:color="auto"/>
      </w:divBdr>
      <w:divsChild>
        <w:div w:id="71776628">
          <w:marLeft w:val="547"/>
          <w:marRight w:val="0"/>
          <w:marTop w:val="0"/>
          <w:marBottom w:val="0"/>
          <w:divBdr>
            <w:top w:val="none" w:sz="0" w:space="0" w:color="auto"/>
            <w:left w:val="none" w:sz="0" w:space="0" w:color="auto"/>
            <w:bottom w:val="none" w:sz="0" w:space="0" w:color="auto"/>
            <w:right w:val="none" w:sz="0" w:space="0" w:color="auto"/>
          </w:divBdr>
        </w:div>
      </w:divsChild>
    </w:div>
    <w:div w:id="971444952">
      <w:bodyDiv w:val="1"/>
      <w:marLeft w:val="0"/>
      <w:marRight w:val="0"/>
      <w:marTop w:val="0"/>
      <w:marBottom w:val="0"/>
      <w:divBdr>
        <w:top w:val="none" w:sz="0" w:space="0" w:color="auto"/>
        <w:left w:val="none" w:sz="0" w:space="0" w:color="auto"/>
        <w:bottom w:val="none" w:sz="0" w:space="0" w:color="auto"/>
        <w:right w:val="none" w:sz="0" w:space="0" w:color="auto"/>
      </w:divBdr>
    </w:div>
    <w:div w:id="1031032686">
      <w:bodyDiv w:val="1"/>
      <w:marLeft w:val="0"/>
      <w:marRight w:val="0"/>
      <w:marTop w:val="0"/>
      <w:marBottom w:val="0"/>
      <w:divBdr>
        <w:top w:val="none" w:sz="0" w:space="0" w:color="auto"/>
        <w:left w:val="none" w:sz="0" w:space="0" w:color="auto"/>
        <w:bottom w:val="none" w:sz="0" w:space="0" w:color="auto"/>
        <w:right w:val="none" w:sz="0" w:space="0" w:color="auto"/>
      </w:divBdr>
    </w:div>
    <w:div w:id="1107122609">
      <w:bodyDiv w:val="1"/>
      <w:marLeft w:val="0"/>
      <w:marRight w:val="0"/>
      <w:marTop w:val="0"/>
      <w:marBottom w:val="0"/>
      <w:divBdr>
        <w:top w:val="none" w:sz="0" w:space="0" w:color="auto"/>
        <w:left w:val="none" w:sz="0" w:space="0" w:color="auto"/>
        <w:bottom w:val="none" w:sz="0" w:space="0" w:color="auto"/>
        <w:right w:val="none" w:sz="0" w:space="0" w:color="auto"/>
      </w:divBdr>
      <w:divsChild>
        <w:div w:id="746078700">
          <w:marLeft w:val="547"/>
          <w:marRight w:val="0"/>
          <w:marTop w:val="0"/>
          <w:marBottom w:val="0"/>
          <w:divBdr>
            <w:top w:val="none" w:sz="0" w:space="0" w:color="auto"/>
            <w:left w:val="none" w:sz="0" w:space="0" w:color="auto"/>
            <w:bottom w:val="none" w:sz="0" w:space="0" w:color="auto"/>
            <w:right w:val="none" w:sz="0" w:space="0" w:color="auto"/>
          </w:divBdr>
        </w:div>
        <w:div w:id="792938779">
          <w:marLeft w:val="547"/>
          <w:marRight w:val="0"/>
          <w:marTop w:val="0"/>
          <w:marBottom w:val="0"/>
          <w:divBdr>
            <w:top w:val="none" w:sz="0" w:space="0" w:color="auto"/>
            <w:left w:val="none" w:sz="0" w:space="0" w:color="auto"/>
            <w:bottom w:val="none" w:sz="0" w:space="0" w:color="auto"/>
            <w:right w:val="none" w:sz="0" w:space="0" w:color="auto"/>
          </w:divBdr>
        </w:div>
        <w:div w:id="1659646367">
          <w:marLeft w:val="547"/>
          <w:marRight w:val="0"/>
          <w:marTop w:val="0"/>
          <w:marBottom w:val="0"/>
          <w:divBdr>
            <w:top w:val="none" w:sz="0" w:space="0" w:color="auto"/>
            <w:left w:val="none" w:sz="0" w:space="0" w:color="auto"/>
            <w:bottom w:val="none" w:sz="0" w:space="0" w:color="auto"/>
            <w:right w:val="none" w:sz="0" w:space="0" w:color="auto"/>
          </w:divBdr>
        </w:div>
      </w:divsChild>
    </w:div>
    <w:div w:id="1174566910">
      <w:bodyDiv w:val="1"/>
      <w:marLeft w:val="0"/>
      <w:marRight w:val="0"/>
      <w:marTop w:val="0"/>
      <w:marBottom w:val="0"/>
      <w:divBdr>
        <w:top w:val="none" w:sz="0" w:space="0" w:color="auto"/>
        <w:left w:val="none" w:sz="0" w:space="0" w:color="auto"/>
        <w:bottom w:val="none" w:sz="0" w:space="0" w:color="auto"/>
        <w:right w:val="none" w:sz="0" w:space="0" w:color="auto"/>
      </w:divBdr>
    </w:div>
    <w:div w:id="1176573532">
      <w:bodyDiv w:val="1"/>
      <w:marLeft w:val="0"/>
      <w:marRight w:val="0"/>
      <w:marTop w:val="0"/>
      <w:marBottom w:val="0"/>
      <w:divBdr>
        <w:top w:val="none" w:sz="0" w:space="0" w:color="auto"/>
        <w:left w:val="none" w:sz="0" w:space="0" w:color="auto"/>
        <w:bottom w:val="none" w:sz="0" w:space="0" w:color="auto"/>
        <w:right w:val="none" w:sz="0" w:space="0" w:color="auto"/>
      </w:divBdr>
    </w:div>
    <w:div w:id="1203445300">
      <w:bodyDiv w:val="1"/>
      <w:marLeft w:val="0"/>
      <w:marRight w:val="0"/>
      <w:marTop w:val="0"/>
      <w:marBottom w:val="0"/>
      <w:divBdr>
        <w:top w:val="none" w:sz="0" w:space="0" w:color="auto"/>
        <w:left w:val="none" w:sz="0" w:space="0" w:color="auto"/>
        <w:bottom w:val="none" w:sz="0" w:space="0" w:color="auto"/>
        <w:right w:val="none" w:sz="0" w:space="0" w:color="auto"/>
      </w:divBdr>
    </w:div>
    <w:div w:id="1273584703">
      <w:bodyDiv w:val="1"/>
      <w:marLeft w:val="0"/>
      <w:marRight w:val="0"/>
      <w:marTop w:val="0"/>
      <w:marBottom w:val="0"/>
      <w:divBdr>
        <w:top w:val="none" w:sz="0" w:space="0" w:color="auto"/>
        <w:left w:val="none" w:sz="0" w:space="0" w:color="auto"/>
        <w:bottom w:val="none" w:sz="0" w:space="0" w:color="auto"/>
        <w:right w:val="none" w:sz="0" w:space="0" w:color="auto"/>
      </w:divBdr>
      <w:divsChild>
        <w:div w:id="288056035">
          <w:marLeft w:val="547"/>
          <w:marRight w:val="0"/>
          <w:marTop w:val="0"/>
          <w:marBottom w:val="0"/>
          <w:divBdr>
            <w:top w:val="none" w:sz="0" w:space="0" w:color="auto"/>
            <w:left w:val="none" w:sz="0" w:space="0" w:color="auto"/>
            <w:bottom w:val="none" w:sz="0" w:space="0" w:color="auto"/>
            <w:right w:val="none" w:sz="0" w:space="0" w:color="auto"/>
          </w:divBdr>
        </w:div>
        <w:div w:id="339544576">
          <w:marLeft w:val="547"/>
          <w:marRight w:val="0"/>
          <w:marTop w:val="0"/>
          <w:marBottom w:val="0"/>
          <w:divBdr>
            <w:top w:val="none" w:sz="0" w:space="0" w:color="auto"/>
            <w:left w:val="none" w:sz="0" w:space="0" w:color="auto"/>
            <w:bottom w:val="none" w:sz="0" w:space="0" w:color="auto"/>
            <w:right w:val="none" w:sz="0" w:space="0" w:color="auto"/>
          </w:divBdr>
        </w:div>
        <w:div w:id="930238862">
          <w:marLeft w:val="547"/>
          <w:marRight w:val="0"/>
          <w:marTop w:val="0"/>
          <w:marBottom w:val="0"/>
          <w:divBdr>
            <w:top w:val="none" w:sz="0" w:space="0" w:color="auto"/>
            <w:left w:val="none" w:sz="0" w:space="0" w:color="auto"/>
            <w:bottom w:val="none" w:sz="0" w:space="0" w:color="auto"/>
            <w:right w:val="none" w:sz="0" w:space="0" w:color="auto"/>
          </w:divBdr>
        </w:div>
        <w:div w:id="1261139506">
          <w:marLeft w:val="547"/>
          <w:marRight w:val="0"/>
          <w:marTop w:val="0"/>
          <w:marBottom w:val="0"/>
          <w:divBdr>
            <w:top w:val="none" w:sz="0" w:space="0" w:color="auto"/>
            <w:left w:val="none" w:sz="0" w:space="0" w:color="auto"/>
            <w:bottom w:val="none" w:sz="0" w:space="0" w:color="auto"/>
            <w:right w:val="none" w:sz="0" w:space="0" w:color="auto"/>
          </w:divBdr>
        </w:div>
        <w:div w:id="1616786821">
          <w:marLeft w:val="547"/>
          <w:marRight w:val="0"/>
          <w:marTop w:val="0"/>
          <w:marBottom w:val="0"/>
          <w:divBdr>
            <w:top w:val="none" w:sz="0" w:space="0" w:color="auto"/>
            <w:left w:val="none" w:sz="0" w:space="0" w:color="auto"/>
            <w:bottom w:val="none" w:sz="0" w:space="0" w:color="auto"/>
            <w:right w:val="none" w:sz="0" w:space="0" w:color="auto"/>
          </w:divBdr>
        </w:div>
        <w:div w:id="1726905975">
          <w:marLeft w:val="547"/>
          <w:marRight w:val="0"/>
          <w:marTop w:val="0"/>
          <w:marBottom w:val="0"/>
          <w:divBdr>
            <w:top w:val="none" w:sz="0" w:space="0" w:color="auto"/>
            <w:left w:val="none" w:sz="0" w:space="0" w:color="auto"/>
            <w:bottom w:val="none" w:sz="0" w:space="0" w:color="auto"/>
            <w:right w:val="none" w:sz="0" w:space="0" w:color="auto"/>
          </w:divBdr>
        </w:div>
        <w:div w:id="2135098460">
          <w:marLeft w:val="547"/>
          <w:marRight w:val="0"/>
          <w:marTop w:val="0"/>
          <w:marBottom w:val="0"/>
          <w:divBdr>
            <w:top w:val="none" w:sz="0" w:space="0" w:color="auto"/>
            <w:left w:val="none" w:sz="0" w:space="0" w:color="auto"/>
            <w:bottom w:val="none" w:sz="0" w:space="0" w:color="auto"/>
            <w:right w:val="none" w:sz="0" w:space="0" w:color="auto"/>
          </w:divBdr>
        </w:div>
      </w:divsChild>
    </w:div>
    <w:div w:id="1339313728">
      <w:bodyDiv w:val="1"/>
      <w:marLeft w:val="0"/>
      <w:marRight w:val="0"/>
      <w:marTop w:val="0"/>
      <w:marBottom w:val="0"/>
      <w:divBdr>
        <w:top w:val="none" w:sz="0" w:space="0" w:color="auto"/>
        <w:left w:val="none" w:sz="0" w:space="0" w:color="auto"/>
        <w:bottom w:val="none" w:sz="0" w:space="0" w:color="auto"/>
        <w:right w:val="none" w:sz="0" w:space="0" w:color="auto"/>
      </w:divBdr>
    </w:div>
    <w:div w:id="1428581052">
      <w:bodyDiv w:val="1"/>
      <w:marLeft w:val="0"/>
      <w:marRight w:val="0"/>
      <w:marTop w:val="0"/>
      <w:marBottom w:val="0"/>
      <w:divBdr>
        <w:top w:val="none" w:sz="0" w:space="0" w:color="auto"/>
        <w:left w:val="none" w:sz="0" w:space="0" w:color="auto"/>
        <w:bottom w:val="none" w:sz="0" w:space="0" w:color="auto"/>
        <w:right w:val="none" w:sz="0" w:space="0" w:color="auto"/>
      </w:divBdr>
      <w:divsChild>
        <w:div w:id="328488484">
          <w:marLeft w:val="547"/>
          <w:marRight w:val="0"/>
          <w:marTop w:val="0"/>
          <w:marBottom w:val="0"/>
          <w:divBdr>
            <w:top w:val="none" w:sz="0" w:space="0" w:color="auto"/>
            <w:left w:val="none" w:sz="0" w:space="0" w:color="auto"/>
            <w:bottom w:val="none" w:sz="0" w:space="0" w:color="auto"/>
            <w:right w:val="none" w:sz="0" w:space="0" w:color="auto"/>
          </w:divBdr>
        </w:div>
      </w:divsChild>
    </w:div>
    <w:div w:id="1452244055">
      <w:bodyDiv w:val="1"/>
      <w:marLeft w:val="0"/>
      <w:marRight w:val="0"/>
      <w:marTop w:val="0"/>
      <w:marBottom w:val="0"/>
      <w:divBdr>
        <w:top w:val="none" w:sz="0" w:space="0" w:color="auto"/>
        <w:left w:val="none" w:sz="0" w:space="0" w:color="auto"/>
        <w:bottom w:val="none" w:sz="0" w:space="0" w:color="auto"/>
        <w:right w:val="none" w:sz="0" w:space="0" w:color="auto"/>
      </w:divBdr>
    </w:div>
    <w:div w:id="1476798669">
      <w:bodyDiv w:val="1"/>
      <w:marLeft w:val="0"/>
      <w:marRight w:val="0"/>
      <w:marTop w:val="0"/>
      <w:marBottom w:val="0"/>
      <w:divBdr>
        <w:top w:val="none" w:sz="0" w:space="0" w:color="auto"/>
        <w:left w:val="none" w:sz="0" w:space="0" w:color="auto"/>
        <w:bottom w:val="none" w:sz="0" w:space="0" w:color="auto"/>
        <w:right w:val="none" w:sz="0" w:space="0" w:color="auto"/>
      </w:divBdr>
    </w:div>
    <w:div w:id="1606956802">
      <w:bodyDiv w:val="1"/>
      <w:marLeft w:val="0"/>
      <w:marRight w:val="0"/>
      <w:marTop w:val="0"/>
      <w:marBottom w:val="0"/>
      <w:divBdr>
        <w:top w:val="none" w:sz="0" w:space="0" w:color="auto"/>
        <w:left w:val="none" w:sz="0" w:space="0" w:color="auto"/>
        <w:bottom w:val="none" w:sz="0" w:space="0" w:color="auto"/>
        <w:right w:val="none" w:sz="0" w:space="0" w:color="auto"/>
      </w:divBdr>
    </w:div>
    <w:div w:id="1762484358">
      <w:bodyDiv w:val="1"/>
      <w:marLeft w:val="0"/>
      <w:marRight w:val="0"/>
      <w:marTop w:val="0"/>
      <w:marBottom w:val="0"/>
      <w:divBdr>
        <w:top w:val="none" w:sz="0" w:space="0" w:color="auto"/>
        <w:left w:val="none" w:sz="0" w:space="0" w:color="auto"/>
        <w:bottom w:val="none" w:sz="0" w:space="0" w:color="auto"/>
        <w:right w:val="none" w:sz="0" w:space="0" w:color="auto"/>
      </w:divBdr>
    </w:div>
    <w:div w:id="1776752024">
      <w:bodyDiv w:val="1"/>
      <w:marLeft w:val="0"/>
      <w:marRight w:val="0"/>
      <w:marTop w:val="0"/>
      <w:marBottom w:val="0"/>
      <w:divBdr>
        <w:top w:val="none" w:sz="0" w:space="0" w:color="auto"/>
        <w:left w:val="none" w:sz="0" w:space="0" w:color="auto"/>
        <w:bottom w:val="none" w:sz="0" w:space="0" w:color="auto"/>
        <w:right w:val="none" w:sz="0" w:space="0" w:color="auto"/>
      </w:divBdr>
    </w:div>
    <w:div w:id="1807308185">
      <w:bodyDiv w:val="1"/>
      <w:marLeft w:val="0"/>
      <w:marRight w:val="0"/>
      <w:marTop w:val="0"/>
      <w:marBottom w:val="0"/>
      <w:divBdr>
        <w:top w:val="none" w:sz="0" w:space="0" w:color="auto"/>
        <w:left w:val="none" w:sz="0" w:space="0" w:color="auto"/>
        <w:bottom w:val="none" w:sz="0" w:space="0" w:color="auto"/>
        <w:right w:val="none" w:sz="0" w:space="0" w:color="auto"/>
      </w:divBdr>
    </w:div>
    <w:div w:id="1972862478">
      <w:bodyDiv w:val="1"/>
      <w:marLeft w:val="0"/>
      <w:marRight w:val="0"/>
      <w:marTop w:val="0"/>
      <w:marBottom w:val="0"/>
      <w:divBdr>
        <w:top w:val="none" w:sz="0" w:space="0" w:color="auto"/>
        <w:left w:val="none" w:sz="0" w:space="0" w:color="auto"/>
        <w:bottom w:val="none" w:sz="0" w:space="0" w:color="auto"/>
        <w:right w:val="none" w:sz="0" w:space="0" w:color="auto"/>
      </w:divBdr>
    </w:div>
    <w:div w:id="2014408469">
      <w:bodyDiv w:val="1"/>
      <w:marLeft w:val="0"/>
      <w:marRight w:val="0"/>
      <w:marTop w:val="0"/>
      <w:marBottom w:val="0"/>
      <w:divBdr>
        <w:top w:val="none" w:sz="0" w:space="0" w:color="auto"/>
        <w:left w:val="none" w:sz="0" w:space="0" w:color="auto"/>
        <w:bottom w:val="none" w:sz="0" w:space="0" w:color="auto"/>
        <w:right w:val="none" w:sz="0" w:space="0" w:color="auto"/>
      </w:divBdr>
    </w:div>
    <w:div w:id="2070106165">
      <w:bodyDiv w:val="1"/>
      <w:marLeft w:val="0"/>
      <w:marRight w:val="0"/>
      <w:marTop w:val="0"/>
      <w:marBottom w:val="0"/>
      <w:divBdr>
        <w:top w:val="none" w:sz="0" w:space="0" w:color="auto"/>
        <w:left w:val="none" w:sz="0" w:space="0" w:color="auto"/>
        <w:bottom w:val="none" w:sz="0" w:space="0" w:color="auto"/>
        <w:right w:val="none" w:sz="0" w:space="0" w:color="auto"/>
      </w:divBdr>
    </w:div>
    <w:div w:id="2132429221">
      <w:bodyDiv w:val="1"/>
      <w:marLeft w:val="0"/>
      <w:marRight w:val="0"/>
      <w:marTop w:val="0"/>
      <w:marBottom w:val="0"/>
      <w:divBdr>
        <w:top w:val="none" w:sz="0" w:space="0" w:color="auto"/>
        <w:left w:val="none" w:sz="0" w:space="0" w:color="auto"/>
        <w:bottom w:val="none" w:sz="0" w:space="0" w:color="auto"/>
        <w:right w:val="none" w:sz="0" w:space="0" w:color="auto"/>
      </w:divBdr>
    </w:div>
    <w:div w:id="213479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ogle.com/search?q=Resoluci%C3%B3n+1519+de+2020&amp;sca_esv=a9712045909877f0&amp;aep=1&amp;biw=1366&amp;bih=633&amp;ei=poawaY_tF8rPwbkP2M7DkAY&amp;ved=2ahUKEwjJ04exnZaTAxVzSDABHSrkEokQgK4QegQIARAE&amp;uact=5&amp;oq=redacta+un+texto+que+incluya+incluye+algo+referente+al+cumplimiento+de+los+elementos+de+seguridad+requeridos+en+el+marco+de+la+pol%C3%ADtica+de+gobierno+digital+decreto+767%2C+resoluci%C3%B3n+500+2021%2C+resoluci%C3%B3n+2277+de+2025%2C+resoluci%C3%B3n+1519+de+2020+y+dem%C3%A1s+normas+concordantes.&amp;gs_lp=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-qAQQwLjMyuAEDyAEA-AEB-AECmAIjoAL-H6gCCcICCxAAGIAEGJECGIoFwgIKEAAYgAQYQxiKBcICBRAAGIAEwgILEC4YgAQY0QMYxwHCAhcQABiABBiRAhi0AhjnBhiKBRjqAtgBAcICIBAAGIAEGLQCGNQDGOUCGOcGGLcDGIoFGOoCGIoD2AEBwgIFEC4YgATCAhQQLhiABBiXBRjcBBjeBBjgBNgBAsICCxAuGIAEGMcBGK8BwgINEAAYgAQYQxjJAxiKBcICCxAAGIAEGJIDGIoFwgIOEC4YgAQYxwEYjgUYrwHCAgQQABgewgIJEAAYgAQYExgNwgIHEAAYgAQYE8ICCBAAGBMYFhgewgIIEAAYgAQYogSYAwLxBYvvOfTo_OFtugYECAEYB7oGBggCEAEYFJIHBDMuMzKgB7fwAbIHBDAuMzK4B_YfwgcGMC4yOS42yAdQgAgA&amp;sclient=gws-wiz-serp&amp;mstk=AUtExfDVLxcubGSP5xP9CJE5MHrI41A6ZtDtvCARxfdFhD3pudy6jJm1D4yUahspbcqR5Ob8J8SCC-PUOH1HjAsIkUwLB4dwyKht1BtjZLEYOH35TzJYu6LGAD4c5yxnUznYf64&amp;csui=3" TargetMode="External"/><Relationship Id="rId18" Type="http://schemas.openxmlformats.org/officeDocument/2006/relationships/hyperlink" Target="https://www.supersociedades.gov.co/"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olombiacompra.gov.co/secop" TargetMode="External"/><Relationship Id="rId7" Type="http://schemas.openxmlformats.org/officeDocument/2006/relationships/styles" Target="styles.xml"/><Relationship Id="rId12" Type="http://schemas.openxmlformats.org/officeDocument/2006/relationships/hyperlink" Target="https://www.google.com/search?q=MSPI+mediante+la+Resoluci%C3%B3n+2277+de+2025&amp;sca_esv=a9712045909877f0&amp;aep=1&amp;biw=1366&amp;bih=633&amp;ei=poawaY_tF8rPwbkP2M7DkAY&amp;ved=2ahUKEwjJ04exnZaTAxVzSDABHSrkEokQgK4QegQIARAD&amp;uact=5&amp;oq=redacta+un+texto+que+incluya+incluye+algo+referente+al+cumplimiento+de+los+elementos+de+seguridad+requeridos+en+el+marco+de+la+pol%C3%ADtica+de+gobierno+digital+decreto+767%2C+resoluci%C3%B3n+500+2021%2C+resoluci%C3%B3n+2277+de+2025%2C+resoluci%C3%B3n+1519+de+2020+y+dem%C3%A1s+normas+concordantes.&amp;gs_lp=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-qAQQwLjMyuAEDyAEA-AEB-AECmAIjoAL-H6gCCcICCxAAGIAEGJECGIoFwgIKEAAYgAQYQxiKBcICBRAAGIAEwgILEC4YgAQY0QMYxwHCAhcQABiABBiRAhi0AhjnBhiKBRjqAtgBAcICIBAAGIAEGLQCGNQDGOUCGOcGGLcDGIoFGOoCGIoD2AEBwgIFEC4YgATCAhQQLhiABBiXBRjcBBjeBBjgBNgBAsICCxAuGIAEGMcBGK8BwgINEAAYgAQYQxjJAxiKBcICCxAAGIAEGJIDGIoFwgIOEC4YgAQYxwEYjgUYrwHCAgQQABgewgIJEAAYgAQYExgNwgIHEAAYgAQYE8ICCBAAGBMYFhgewgIIEAAYgAQYogSYAwLxBYvvOfTo_OFtugYECAEYB7oGBggCEAEYFJIHBDMuMzKgB7fwAbIHBDAuMzK4B_YfwgcGMC4yOS42yAdQgAgA&amp;sclient=gws-wiz-serp&amp;mstk=AUtExfDVLxcubGSP5xP9CJE5MHrI41A6ZtDtvCARxfdFhD3pudy6jJm1D4yUahspbcqR5Ob8J8SCC-PUOH1HjAsIkUwLB4dwyKht1BtjZLEYOH35TzJYu6LGAD4c5yxnUznYf64&amp;csui=3" TargetMode="External"/><Relationship Id="rId17" Type="http://schemas.openxmlformats.org/officeDocument/2006/relationships/footer" Target="footer1.xml"/><Relationship Id="rId25" Type="http://schemas.openxmlformats.org/officeDocument/2006/relationships/hyperlink" Target="https://gobiernodigital.mintic.gov.co/"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supersociedades.gov.co/siareli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incp.org.co" TargetMode="Externa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yperlink" Target="https://www.datos.gov.co" TargetMode="External"/><Relationship Id="rId10" Type="http://schemas.openxmlformats.org/officeDocument/2006/relationships/footnotes" Target="footnotes.xml"/><Relationship Id="rId19" Type="http://schemas.openxmlformats.org/officeDocument/2006/relationships/hyperlink" Target="https://www.supersociedades.gov.co/tesauro"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hyperlink" Target="https://www.infolaft.com"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ocesos_SGI xmlns="0948c079-19c9-4a36-bb7d-d65ca794eba7">Procesos de Apoyo - Gestión de Infraestructura y Tecnologías de Información</Procesos_SGI>
    <Fecha_Actualizacion xmlns="0948c079-19c9-4a36-bb7d-d65ca794eba7">2021-12-23T05:00:00+00:00</Fecha_Actualizacion>
    <Dependencia_Nivel_Superior xmlns="0948c079-19c9-4a36-bb7d-d65ca794eba7">Despacho Superintendente de Sociedades</Dependencia_Nivel_Superior>
    <Grupos_de_Proceso xmlns="0948c079-19c9-4a36-bb7d-d65ca794eba7">Procesos de Apoyo</Grupos_de_Proceso>
    <_dlc_DocId xmlns="0948c079-19c9-4a36-bb7d-d65ca794eba7">SSDOCID-1136287043-5897</_dlc_DocId>
    <_dlc_DocIdUrl xmlns="0948c079-19c9-4a36-bb7d-d65ca794eba7">
      <Url>http://old2022.supersociedades.gov.co/sgi/_layouts/15/DocIdRedir.aspx?ID=SSDOCID-1136287043-5897</Url>
      <Description>SSDOCID-1136287043-5897</Description>
    </_dlc_DocIdUrl>
    <Tipo_x0020_Documental_x0020_SGI xmlns="0948c079-19c9-4a36-bb7d-d65ca794eba7">Documento</Tipo_x0020_Documental_x0020_SGI>
    <Version_Documento xmlns="0948c079-19c9-4a36-bb7d-d65ca794eba7">3</Version_Documento>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EE2620CA4BCF6C4C887D6F74208FF5EE" ma:contentTypeVersion="7" ma:contentTypeDescription="Crear nuevo documento." ma:contentTypeScope="" ma:versionID="1e6840c0ce0543248b217ae5bd1e0683">
  <xsd:schema xmlns:xsd="http://www.w3.org/2001/XMLSchema" xmlns:xs="http://www.w3.org/2001/XMLSchema" xmlns:p="http://schemas.microsoft.com/office/2006/metadata/properties" xmlns:ns1="http://schemas.microsoft.com/sharepoint/v3" xmlns:ns2="0948c079-19c9-4a36-bb7d-d65ca794eba7" targetNamespace="http://schemas.microsoft.com/office/2006/metadata/properties" ma:root="true" ma:fieldsID="d663fedf9e616a1edada5f8f72ea2a1b" ns1:_="" ns2:_="">
    <xsd:import namespace="http://schemas.microsoft.com/sharepoint/v3"/>
    <xsd:import namespace="0948c079-19c9-4a36-bb7d-d65ca794eba7"/>
    <xsd:element name="properties">
      <xsd:complexType>
        <xsd:sequence>
          <xsd:element name="documentManagement">
            <xsd:complexType>
              <xsd:all>
                <xsd:element ref="ns1:PublishingStartDate" minOccurs="0"/>
                <xsd:element ref="ns1:PublishingExpirationDate" minOccurs="0"/>
                <xsd:element ref="ns2:Dependencia_Nivel_Superior" minOccurs="0"/>
                <xsd:element ref="ns2:Fecha_Actualizacion" minOccurs="0"/>
                <xsd:element ref="ns2:Grupos_de_Proceso" minOccurs="0"/>
                <xsd:element ref="ns2:Procesos_SGI" minOccurs="0"/>
                <xsd:element ref="ns2:Tipo_x0020_Documental_x0020_SGI" minOccurs="0"/>
                <xsd:element ref="ns2:Version_Documento"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48c079-19c9-4a36-bb7d-d65ca794eba7" elementFormDefault="qualified">
    <xsd:import namespace="http://schemas.microsoft.com/office/2006/documentManagement/types"/>
    <xsd:import namespace="http://schemas.microsoft.com/office/infopath/2007/PartnerControls"/>
    <xsd:element name="Dependencia_Nivel_Superior" ma:index="10" nillable="true" ma:displayName="Dependencia_Nivel_Superior" ma:format="Dropdown" ma:internalName="Dependencia_Nivel_Superior">
      <xsd:simpleType>
        <xsd:restriction base="dms:Choice">
          <xsd:enumeration value="Despacho Superintendente de Sociedades"/>
          <xsd:enumeration value="Delegatura para Procedimientos de Insolvencia"/>
          <xsd:enumeration value="Delegatura para Procedimientos Mercantiles"/>
          <xsd:enumeration value="Delegatura Inspección, Vigilancia y Control"/>
          <xsd:enumeration value="Delegatura Asuntos Económicos y Contables"/>
          <xsd:enumeration value="Secretaría General"/>
        </xsd:restriction>
      </xsd:simpleType>
    </xsd:element>
    <xsd:element name="Fecha_Actualizacion" ma:index="11" nillable="true" ma:displayName="Fecha_Actualizacion" ma:default="[today]" ma:description="Esta columna incorpora la fecha de la última modificación realizada al documento por la oficina Asesora de Planeación." ma:format="DateOnly" ma:internalName="Fecha_Actualizacion">
      <xsd:simpleType>
        <xsd:restriction base="dms:DateTime"/>
      </xsd:simpleType>
    </xsd:element>
    <xsd:element name="Grupos_de_Proceso" ma:index="12" nillable="true" ma:displayName="Grupos_de_Proceso" ma:description="Esta columna contiene los Grupos de Proceso asociados al sistema de Gestión Integral de la entidad." ma:format="Dropdown" ma:internalName="Grupos_de_Proceso">
      <xsd:simpleType>
        <xsd:restriction base="dms:Choice">
          <xsd:enumeration value="Procesos de Direccionamiento"/>
          <xsd:enumeration value="Procesos Misionales"/>
          <xsd:enumeration value="Procesos de Apoyo"/>
          <xsd:enumeration value="Seguimiento"/>
        </xsd:restriction>
      </xsd:simpleType>
    </xsd:element>
    <xsd:element name="Procesos_SGI" ma:index="13" nillable="true" ma:displayName="Procesos_SGI" ma:default="Proceso Direccionamiento - Gestión Estratégica" ma:format="Dropdown" ma:internalName="Procesos_SGI">
      <xsd:simpleType>
        <xsd:restriction base="dms:Choice">
          <xsd:enumeration value="Proceso Direccionamiento - Gestión Estratégica"/>
          <xsd:enumeration value="Procesos Direccionamiento - Gestión Judicial"/>
          <xsd:enumeration value="Procesos Direccionamiento - Gestión Integral"/>
          <xsd:enumeration value="Procesos Direccionamiento - Gestión de Comunicaciones"/>
          <xsd:enumeration value="Procesos Misionales - Gestión de Información Empresarial"/>
          <xsd:enumeration value="Procesos Misionales - Análisis económico y de Riesgos"/>
          <xsd:enumeration value="Procesos Misionales - Análisis Financiero y Contable"/>
          <xsd:enumeration value="Procesos Misionales - Actuaciones y autorizaciones Administrativas"/>
          <xsd:enumeration value="Procesos Misionales - Investigaciones Administrativas"/>
          <xsd:enumeration value="Procesos Misionales - Régimen Cambiario"/>
          <xsd:enumeration value="Procesos Misionales - Recuperación Empresarial"/>
          <xsd:enumeration value="Procesos Misionales - Liquidación Judicial"/>
          <xsd:enumeration value="Procesos Misionales - Intervención"/>
          <xsd:enumeration value="Procesos Misionales - Procesos Especiales"/>
          <xsd:enumeration value="Procesos Misionales - Procesos Societarios"/>
          <xsd:enumeration value="Procesos Misionales - Conciliación y Arbitramiento"/>
          <xsd:enumeration value="Procesos de Apoyo - Gestión Contractual"/>
          <xsd:enumeration value="Procesos de Apoyo - Gestión Documental"/>
          <xsd:enumeration value="Procesos de Apoyo - Gestión Financiera y Contable"/>
          <xsd:enumeration value="Procesos de Apoyo - Gestión de Infraestructura y Tecnologías de Información"/>
          <xsd:enumeration value="Procesos de Apoyo - Gestión del Talento Humano"/>
          <xsd:enumeration value="Procesos de Apoyo - Atención al ciudadano"/>
          <xsd:enumeration value="Procesos de Apoyo - Gestión de Infraestructura Física"/>
          <xsd:enumeration value="Procesos de Apoyo - Gestión de Apoyo Judicial"/>
          <xsd:enumeration value="Procesos de Seguimiento - Evaluación y Control"/>
          <xsd:enumeration value="Procesos de Seguimiento - Control Disciplinario"/>
        </xsd:restriction>
      </xsd:simpleType>
    </xsd:element>
    <xsd:element name="Tipo_x0020_Documental_x0020_SGI" ma:index="14" nillable="true" ma:displayName="Tipo Documental SGI" ma:default="Caracterización" ma:format="Dropdown" ma:internalName="Tipo_x0020_Documental_x0020_SGI">
      <xsd:simpleType>
        <xsd:restriction base="dms:Choice">
          <xsd:enumeration value="Caracterización"/>
          <xsd:enumeration value="Formato"/>
          <xsd:enumeration value="Documento"/>
        </xsd:restriction>
      </xsd:simpleType>
    </xsd:element>
    <xsd:element name="Version_Documento" ma:index="15" nillable="true" ma:displayName="Version_Documento" ma:decimals="0" ma:internalName="Version_Documento">
      <xsd:simpleType>
        <xsd:restriction base="dms:Number"/>
      </xsd:simpleType>
    </xsd:element>
    <xsd:element name="_dlc_DocId" ma:index="16" nillable="true" ma:displayName="Valor de Id. de documento" ma:description="El valor del identificador de documento asignado a este elemento." ma:internalName="_dlc_DocId" ma:readOnly="true">
      <xsd:simpleType>
        <xsd:restriction base="dms:Text"/>
      </xsd:simpleType>
    </xsd:element>
    <xsd:element name="_dlc_DocIdUrl" ma:index="17"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A7ED800-8313-4297-8601-EDE3EF418973}">
  <ds:schemaRefs>
    <ds:schemaRef ds:uri="http://schemas.microsoft.com/sharepoint/v3/contenttype/forms"/>
  </ds:schemaRefs>
</ds:datastoreItem>
</file>

<file path=customXml/itemProps2.xml><?xml version="1.0" encoding="utf-8"?>
<ds:datastoreItem xmlns:ds="http://schemas.openxmlformats.org/officeDocument/2006/customXml" ds:itemID="{9F3BB023-1D9F-4F41-A244-D36F94375589}">
  <ds:schemaRefs>
    <ds:schemaRef ds:uri="http://schemas.microsoft.com/office/2006/metadata/properties"/>
    <ds:schemaRef ds:uri="http://schemas.microsoft.com/office/infopath/2007/PartnerControls"/>
    <ds:schemaRef ds:uri="0948c079-19c9-4a36-bb7d-d65ca794eba7"/>
    <ds:schemaRef ds:uri="http://schemas.microsoft.com/sharepoint/v3"/>
  </ds:schemaRefs>
</ds:datastoreItem>
</file>

<file path=customXml/itemProps3.xml><?xml version="1.0" encoding="utf-8"?>
<ds:datastoreItem xmlns:ds="http://schemas.openxmlformats.org/officeDocument/2006/customXml" ds:itemID="{2BA53128-6F9C-413D-B71E-4E3541967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48c079-19c9-4a36-bb7d-d65ca794eb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423152-F272-4732-80F2-485EBF880E74}">
  <ds:schemaRefs>
    <ds:schemaRef ds:uri="http://schemas.openxmlformats.org/officeDocument/2006/bibliography"/>
  </ds:schemaRefs>
</ds:datastoreItem>
</file>

<file path=customXml/itemProps5.xml><?xml version="1.0" encoding="utf-8"?>
<ds:datastoreItem xmlns:ds="http://schemas.openxmlformats.org/officeDocument/2006/customXml" ds:itemID="{AB0998B0-0D78-4C29-84F2-A418B3D0DD1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9004</Words>
  <Characters>49528</Characters>
  <Application>Microsoft Office Word</Application>
  <DocSecurity>0</DocSecurity>
  <Lines>412</Lines>
  <Paragraphs>116</Paragraphs>
  <ScaleCrop>false</ScaleCrop>
  <HeadingPairs>
    <vt:vector size="2" baseType="variant">
      <vt:variant>
        <vt:lpstr>Título</vt:lpstr>
      </vt:variant>
      <vt:variant>
        <vt:i4>1</vt:i4>
      </vt:variant>
    </vt:vector>
  </HeadingPairs>
  <TitlesOfParts>
    <vt:vector size="1" baseType="lpstr">
      <vt:lpstr>Procedimiento Baja de aplicativos y de software en desuso</vt:lpstr>
    </vt:vector>
  </TitlesOfParts>
  <Company>SUPERSOCIEDADES</Company>
  <LinksUpToDate>false</LinksUpToDate>
  <CharactersWithSpaces>58416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Baja de aplicativos y de software en desuso</dc:title>
  <dc:subject/>
  <dc:creator>MariaS</dc:creator>
  <cp:keywords/>
  <cp:lastModifiedBy>Claudia Marcela Sandoval Aldana</cp:lastModifiedBy>
  <cp:revision>10</cp:revision>
  <cp:lastPrinted>2022-05-07T23:19:00Z</cp:lastPrinted>
  <dcterms:created xsi:type="dcterms:W3CDTF">2026-07-27T18:51:00Z</dcterms:created>
  <dcterms:modified xsi:type="dcterms:W3CDTF">2026-07-27T18:55:00Z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0x010100EE2620CA4BCF6C4C887D6F74208FF5EE</vt:lpwstr>
  </property>
  <property fmtid="{D5CDD505-2E9C-101B-9397-08002B2CF9AE}" pid="3" name="_dlc_DocIdItemGuid">
    <vt:lpwstr>ef04cc50-3eba-45a1-82f7-4ea4d3804b1b</vt:lpwstr>
  </property>
  <property fmtid="{D5CDD505-2E9C-101B-9397-08002B2CF9AE}" pid="4" name="Tipo Documental SGI">
    <vt:lpwstr>Documento</vt:lpwstr>
  </property>
  <property fmtid="{D5CDD505-2E9C-101B-9397-08002B2CF9AE}" pid="5" name="Version_Documento">
    <vt:r8>2</vt:r8>
  </property>
  <property fmtid="{D5CDD505-2E9C-101B-9397-08002B2CF9AE}" pid="6" name="MSIP_Label_0e276b9b-e947-408c-8898-19de23b201e4_Enabled">
    <vt:lpwstr>true</vt:lpwstr>
  </property>
  <property fmtid="{D5CDD505-2E9C-101B-9397-08002B2CF9AE}" pid="7" name="MSIP_Label_0e276b9b-e947-408c-8898-19de23b201e4_SetDate">
    <vt:lpwstr>2026-05-07T16:17:55Z</vt:lpwstr>
  </property>
  <property fmtid="{D5CDD505-2E9C-101B-9397-08002B2CF9AE}" pid="8" name="MSIP_Label_0e276b9b-e947-408c-8898-19de23b201e4_Method">
    <vt:lpwstr>Standard</vt:lpwstr>
  </property>
  <property fmtid="{D5CDD505-2E9C-101B-9397-08002B2CF9AE}" pid="9" name="MSIP_Label_0e276b9b-e947-408c-8898-19de23b201e4_Name">
    <vt:lpwstr>Publica</vt:lpwstr>
  </property>
  <property fmtid="{D5CDD505-2E9C-101B-9397-08002B2CF9AE}" pid="10" name="MSIP_Label_0e276b9b-e947-408c-8898-19de23b201e4_SiteId">
    <vt:lpwstr>6ee94c34-bbd6-4647-a483-0e196a4de0ff</vt:lpwstr>
  </property>
  <property fmtid="{D5CDD505-2E9C-101B-9397-08002B2CF9AE}" pid="11" name="MSIP_Label_0e276b9b-e947-408c-8898-19de23b201e4_ActionId">
    <vt:lpwstr>c7fa6390-8d6b-4f14-81e2-c543bb1d58b6</vt:lpwstr>
  </property>
  <property fmtid="{D5CDD505-2E9C-101B-9397-08002B2CF9AE}" pid="12" name="MSIP_Label_0e276b9b-e947-408c-8898-19de23b201e4_ContentBits">
    <vt:lpwstr>0</vt:lpwstr>
  </property>
  <property fmtid="{D5CDD505-2E9C-101B-9397-08002B2CF9AE}" pid="13" name="MSIP_Label_0e276b9b-e947-408c-8898-19de23b201e4_Tag">
    <vt:lpwstr>10, 3, 0, 1</vt:lpwstr>
  </property>
</Properties>
</file>