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4759DE" w:rsidRDefault="000F24E1" w:rsidP="00791BE6">
      <w:pPr>
        <w:spacing w:after="0" w:line="240" w:lineRule="auto"/>
        <w:ind w:left="426" w:right="141" w:hanging="426"/>
        <w:jc w:val="center"/>
        <w:rPr>
          <w:rFonts w:ascii="Verdana" w:hAnsi="Verdana"/>
          <w:lang w:val="es-ES"/>
        </w:rPr>
      </w:pPr>
    </w:p>
    <w:p w14:paraId="3BBA48FF" w14:textId="77777777" w:rsidR="00791BE6" w:rsidRPr="004759DE" w:rsidRDefault="00791BE6" w:rsidP="00791BE6">
      <w:pPr>
        <w:spacing w:after="0" w:line="240" w:lineRule="auto"/>
        <w:ind w:left="426" w:right="141" w:hanging="426"/>
        <w:jc w:val="center"/>
        <w:rPr>
          <w:rFonts w:ascii="Verdana" w:hAnsi="Verdana"/>
          <w:lang w:val="es-ES"/>
        </w:rPr>
      </w:pPr>
    </w:p>
    <w:p w14:paraId="3279D465" w14:textId="77777777" w:rsidR="00791BE6" w:rsidRPr="004759DE" w:rsidRDefault="00791BE6" w:rsidP="00791BE6">
      <w:pPr>
        <w:spacing w:after="0" w:line="240" w:lineRule="auto"/>
        <w:ind w:left="426" w:right="141" w:hanging="426"/>
        <w:jc w:val="center"/>
        <w:rPr>
          <w:rFonts w:ascii="Verdana" w:hAnsi="Verdana"/>
          <w:lang w:val="es-ES"/>
        </w:rPr>
      </w:pPr>
    </w:p>
    <w:p w14:paraId="585B500C" w14:textId="77777777" w:rsidR="00791BE6" w:rsidRPr="004759DE" w:rsidRDefault="00791BE6" w:rsidP="00791BE6">
      <w:pPr>
        <w:spacing w:after="0" w:line="240" w:lineRule="auto"/>
        <w:ind w:left="426" w:right="141" w:hanging="426"/>
        <w:jc w:val="center"/>
        <w:rPr>
          <w:rFonts w:ascii="Verdana" w:hAnsi="Verdana"/>
          <w:lang w:val="es-ES"/>
        </w:rPr>
      </w:pPr>
    </w:p>
    <w:p w14:paraId="161750D7" w14:textId="77777777" w:rsidR="00791BE6" w:rsidRPr="004759DE" w:rsidRDefault="00791BE6" w:rsidP="00791BE6">
      <w:pPr>
        <w:spacing w:after="0" w:line="240" w:lineRule="auto"/>
        <w:ind w:left="426" w:right="141" w:hanging="426"/>
        <w:jc w:val="center"/>
        <w:rPr>
          <w:rFonts w:ascii="Verdana" w:hAnsi="Verdana"/>
          <w:lang w:val="es-ES"/>
        </w:rPr>
      </w:pPr>
    </w:p>
    <w:p w14:paraId="00A59079" w14:textId="0338D471" w:rsidR="00B45CDC" w:rsidRPr="00EE0283" w:rsidRDefault="00B45CDC" w:rsidP="00B45CDC">
      <w:pPr>
        <w:jc w:val="center"/>
        <w:rPr>
          <w:rFonts w:ascii="Verdana" w:hAnsi="Verdana" w:cs="Arial"/>
          <w:b/>
          <w:bCs/>
          <w:sz w:val="32"/>
          <w:szCs w:val="32"/>
        </w:rPr>
      </w:pPr>
      <w:r w:rsidRPr="00EE0283">
        <w:rPr>
          <w:rFonts w:ascii="Verdana" w:hAnsi="Verdana"/>
          <w:b/>
          <w:bCs/>
          <w:sz w:val="32"/>
          <w:szCs w:val="32"/>
          <w:lang w:val="es-ES"/>
        </w:rPr>
        <w:t>MANUAL DE PARTICIPACIÓN CIUDADANA EN LA GESTIÓN PÚBLICA</w:t>
      </w:r>
    </w:p>
    <w:p w14:paraId="64D3C7DE" w14:textId="6AA41240" w:rsidR="00791BE6" w:rsidRPr="00EE0283" w:rsidRDefault="00791BE6" w:rsidP="00791BE6">
      <w:pPr>
        <w:spacing w:after="0" w:line="240" w:lineRule="auto"/>
        <w:ind w:left="426" w:right="141" w:hanging="426"/>
        <w:jc w:val="center"/>
        <w:rPr>
          <w:rFonts w:ascii="Verdana" w:hAnsi="Verdana"/>
          <w:b/>
          <w:bCs/>
          <w:sz w:val="32"/>
          <w:szCs w:val="32"/>
        </w:rPr>
      </w:pPr>
    </w:p>
    <w:p w14:paraId="72765498"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2C89CBE1"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5CCD7F99"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1D6B6FC5"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79AC8DB7" w14:textId="587936A2" w:rsidR="00791BE6" w:rsidRPr="00EE0283" w:rsidRDefault="00791BE6" w:rsidP="00791BE6">
      <w:pPr>
        <w:spacing w:after="0" w:line="240" w:lineRule="auto"/>
        <w:ind w:left="426" w:right="141" w:hanging="426"/>
        <w:jc w:val="center"/>
        <w:rPr>
          <w:rFonts w:ascii="Verdana" w:hAnsi="Verdana"/>
          <w:b/>
          <w:bCs/>
          <w:sz w:val="32"/>
          <w:szCs w:val="32"/>
          <w:lang w:val="es-ES"/>
        </w:rPr>
      </w:pPr>
      <w:r w:rsidRPr="00EE0283">
        <w:rPr>
          <w:rFonts w:ascii="Verdana" w:hAnsi="Verdana"/>
          <w:noProof/>
          <w:sz w:val="32"/>
          <w:szCs w:val="32"/>
          <w:lang w:eastAsia="es-CO"/>
        </w:rPr>
        <w:drawing>
          <wp:anchor distT="0" distB="0" distL="114300" distR="114300" simplePos="0" relativeHeight="251648000"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Pr="00EE0283" w:rsidRDefault="00791BE6" w:rsidP="00791BE6">
      <w:pPr>
        <w:spacing w:after="0" w:line="240" w:lineRule="auto"/>
        <w:ind w:left="426" w:right="141" w:hanging="426"/>
        <w:jc w:val="center"/>
        <w:rPr>
          <w:rFonts w:ascii="Verdana" w:hAnsi="Verdana"/>
          <w:b/>
          <w:bCs/>
          <w:sz w:val="32"/>
          <w:szCs w:val="32"/>
          <w:lang w:val="es-ES"/>
        </w:rPr>
      </w:pPr>
    </w:p>
    <w:p w14:paraId="5B27FEA5" w14:textId="2324DE84" w:rsidR="00791BE6" w:rsidRPr="00EE0283" w:rsidRDefault="00791BE6" w:rsidP="00791BE6">
      <w:pPr>
        <w:spacing w:after="0" w:line="240" w:lineRule="auto"/>
        <w:ind w:left="426" w:right="141" w:hanging="426"/>
        <w:jc w:val="center"/>
        <w:rPr>
          <w:rFonts w:ascii="Verdana" w:hAnsi="Verdana"/>
          <w:b/>
          <w:bCs/>
          <w:sz w:val="32"/>
          <w:szCs w:val="32"/>
          <w:lang w:val="es-ES"/>
        </w:rPr>
      </w:pPr>
    </w:p>
    <w:p w14:paraId="28784958" w14:textId="63C5ED2F" w:rsidR="00791BE6" w:rsidRPr="00EE0283" w:rsidRDefault="00791BE6" w:rsidP="00791BE6">
      <w:pPr>
        <w:spacing w:after="0" w:line="240" w:lineRule="auto"/>
        <w:ind w:left="426" w:right="141" w:hanging="426"/>
        <w:jc w:val="center"/>
        <w:rPr>
          <w:rFonts w:ascii="Verdana" w:hAnsi="Verdana"/>
          <w:b/>
          <w:bCs/>
          <w:sz w:val="32"/>
          <w:szCs w:val="32"/>
          <w:lang w:val="es-ES"/>
        </w:rPr>
      </w:pPr>
    </w:p>
    <w:p w14:paraId="5ABAFEFA" w14:textId="7D32BA5E" w:rsidR="00791BE6" w:rsidRPr="00EE0283" w:rsidRDefault="00791BE6" w:rsidP="00791BE6">
      <w:pPr>
        <w:spacing w:after="0" w:line="240" w:lineRule="auto"/>
        <w:ind w:left="426" w:right="141" w:hanging="426"/>
        <w:jc w:val="center"/>
        <w:rPr>
          <w:rFonts w:ascii="Verdana" w:hAnsi="Verdana"/>
          <w:b/>
          <w:bCs/>
          <w:sz w:val="32"/>
          <w:szCs w:val="32"/>
          <w:lang w:val="es-ES"/>
        </w:rPr>
      </w:pPr>
    </w:p>
    <w:p w14:paraId="0CF0ABF3"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3305E3F7"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29274C7F"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7F88896E"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49C4718A" w14:textId="77777777" w:rsidR="007A2D9E" w:rsidRPr="00EE0283" w:rsidRDefault="007A2D9E" w:rsidP="00791BE6">
      <w:pPr>
        <w:spacing w:after="0" w:line="240" w:lineRule="auto"/>
        <w:ind w:left="426" w:right="141" w:hanging="426"/>
        <w:jc w:val="center"/>
        <w:rPr>
          <w:rFonts w:ascii="Verdana" w:hAnsi="Verdana"/>
          <w:b/>
          <w:bCs/>
          <w:sz w:val="32"/>
          <w:szCs w:val="32"/>
          <w:lang w:val="es-ES"/>
        </w:rPr>
      </w:pPr>
    </w:p>
    <w:p w14:paraId="34D70651" w14:textId="77777777" w:rsidR="007A2D9E" w:rsidRPr="00EE0283" w:rsidRDefault="007A2D9E" w:rsidP="00791BE6">
      <w:pPr>
        <w:spacing w:after="0" w:line="240" w:lineRule="auto"/>
        <w:ind w:left="426" w:right="141" w:hanging="426"/>
        <w:jc w:val="center"/>
        <w:rPr>
          <w:rFonts w:ascii="Verdana" w:hAnsi="Verdana"/>
          <w:b/>
          <w:bCs/>
          <w:sz w:val="32"/>
          <w:szCs w:val="32"/>
          <w:lang w:val="es-ES"/>
        </w:rPr>
      </w:pPr>
    </w:p>
    <w:p w14:paraId="65307ACA" w14:textId="06646290" w:rsidR="00791BE6" w:rsidRPr="00EE0283" w:rsidRDefault="00791BE6" w:rsidP="00791BE6">
      <w:pPr>
        <w:spacing w:after="0" w:line="240" w:lineRule="auto"/>
        <w:ind w:left="426" w:right="141" w:hanging="426"/>
        <w:jc w:val="center"/>
        <w:rPr>
          <w:rFonts w:ascii="Verdana" w:hAnsi="Verdana"/>
          <w:b/>
          <w:bCs/>
          <w:sz w:val="32"/>
          <w:szCs w:val="32"/>
          <w:lang w:val="es-ES"/>
        </w:rPr>
      </w:pPr>
      <w:r w:rsidRPr="00EE0283">
        <w:rPr>
          <w:rFonts w:ascii="Verdana" w:hAnsi="Verdana"/>
          <w:b/>
          <w:bCs/>
          <w:sz w:val="32"/>
          <w:szCs w:val="32"/>
          <w:lang w:val="es-ES"/>
        </w:rPr>
        <w:t>SUPER INTENDENCIA DE SOCIEDADES</w:t>
      </w:r>
    </w:p>
    <w:p w14:paraId="56DB53C1"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376AA613"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5A51B033"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7EF95C09"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7FCA7E7E" w14:textId="77777777" w:rsidR="00791BE6" w:rsidRPr="00EE0283" w:rsidRDefault="00791BE6" w:rsidP="00791BE6">
      <w:pPr>
        <w:spacing w:after="0" w:line="240" w:lineRule="auto"/>
        <w:ind w:left="426" w:right="141" w:hanging="426"/>
        <w:jc w:val="center"/>
        <w:rPr>
          <w:rFonts w:ascii="Verdana" w:hAnsi="Verdana"/>
          <w:b/>
          <w:bCs/>
          <w:sz w:val="32"/>
          <w:szCs w:val="32"/>
          <w:lang w:val="es-ES"/>
        </w:rPr>
      </w:pPr>
    </w:p>
    <w:p w14:paraId="5F0B1DC7" w14:textId="4CC9EADA" w:rsidR="00791BE6" w:rsidRPr="004759DE" w:rsidRDefault="00791BE6" w:rsidP="00791BE6">
      <w:pPr>
        <w:spacing w:after="0" w:line="240" w:lineRule="auto"/>
        <w:ind w:left="426" w:right="141" w:hanging="426"/>
        <w:jc w:val="center"/>
        <w:rPr>
          <w:rFonts w:ascii="Verdana" w:hAnsi="Verdana"/>
          <w:b/>
          <w:bCs/>
          <w:color w:val="FF0000"/>
          <w:lang w:val="es-ES"/>
        </w:rPr>
      </w:pPr>
      <w:r w:rsidRPr="00EE0283">
        <w:rPr>
          <w:rFonts w:ascii="Verdana" w:hAnsi="Verdana"/>
          <w:b/>
          <w:bCs/>
          <w:sz w:val="32"/>
          <w:szCs w:val="32"/>
          <w:lang w:val="es-ES"/>
        </w:rPr>
        <w:t xml:space="preserve">Bogotá, D.C., </w:t>
      </w:r>
      <w:r w:rsidR="00EE0283">
        <w:rPr>
          <w:rFonts w:ascii="Verdana" w:hAnsi="Verdana"/>
          <w:b/>
          <w:bCs/>
          <w:sz w:val="32"/>
          <w:szCs w:val="32"/>
          <w:lang w:val="es-ES"/>
        </w:rPr>
        <w:t>30</w:t>
      </w:r>
      <w:r w:rsidRPr="00EE0283">
        <w:rPr>
          <w:rFonts w:ascii="Verdana" w:hAnsi="Verdana"/>
          <w:b/>
          <w:bCs/>
          <w:sz w:val="32"/>
          <w:szCs w:val="32"/>
          <w:lang w:val="es-ES"/>
        </w:rPr>
        <w:t xml:space="preserve"> de </w:t>
      </w:r>
      <w:r w:rsidR="000712A4" w:rsidRPr="00EE0283">
        <w:rPr>
          <w:rFonts w:ascii="Verdana" w:hAnsi="Verdana"/>
          <w:b/>
          <w:bCs/>
          <w:sz w:val="32"/>
          <w:szCs w:val="32"/>
          <w:lang w:val="es-ES"/>
        </w:rPr>
        <w:t>octubre</w:t>
      </w:r>
      <w:r w:rsidRPr="00EE0283">
        <w:rPr>
          <w:rFonts w:ascii="Verdana" w:hAnsi="Verdana"/>
          <w:b/>
          <w:bCs/>
          <w:sz w:val="32"/>
          <w:szCs w:val="32"/>
          <w:lang w:val="es-ES"/>
        </w:rPr>
        <w:t xml:space="preserve"> de </w:t>
      </w:r>
      <w:r w:rsidR="004759DE" w:rsidRPr="00EE0283">
        <w:rPr>
          <w:rFonts w:ascii="Verdana" w:hAnsi="Verdana"/>
          <w:b/>
          <w:bCs/>
          <w:sz w:val="32"/>
          <w:szCs w:val="32"/>
          <w:lang w:val="es-ES"/>
        </w:rPr>
        <w:t>2025</w:t>
      </w:r>
    </w:p>
    <w:p w14:paraId="467C682E" w14:textId="77777777" w:rsidR="00791BE6" w:rsidRPr="004759DE" w:rsidRDefault="00791BE6" w:rsidP="00791BE6">
      <w:pPr>
        <w:spacing w:after="0" w:line="240" w:lineRule="auto"/>
        <w:ind w:left="426" w:right="141" w:hanging="426"/>
        <w:jc w:val="center"/>
        <w:rPr>
          <w:rFonts w:ascii="Verdana" w:hAnsi="Verdana" w:cs="Arial"/>
          <w:b/>
          <w:bCs/>
          <w:color w:val="FF0000"/>
        </w:rPr>
      </w:pPr>
    </w:p>
    <w:p w14:paraId="54286D37" w14:textId="77777777" w:rsidR="000F24E1" w:rsidRPr="004759DE" w:rsidRDefault="000F24E1" w:rsidP="004512A1">
      <w:pPr>
        <w:spacing w:after="0" w:line="240" w:lineRule="auto"/>
        <w:rPr>
          <w:rFonts w:ascii="Verdana" w:hAnsi="Verdana"/>
          <w:b/>
          <w:bCs/>
          <w:color w:val="FF0000"/>
        </w:rPr>
      </w:pPr>
      <w:r w:rsidRPr="004759DE">
        <w:rPr>
          <w:rFonts w:ascii="Verdana" w:hAnsi="Verdana"/>
          <w:b/>
          <w:bCs/>
          <w:color w:val="FF0000"/>
        </w:rPr>
        <w:br w:type="page"/>
      </w:r>
    </w:p>
    <w:p w14:paraId="44DFC28A" w14:textId="77777777" w:rsidR="00791BE6" w:rsidRPr="004759DE" w:rsidRDefault="00791BE6" w:rsidP="004512A1">
      <w:pPr>
        <w:spacing w:after="0" w:line="240" w:lineRule="auto"/>
        <w:rPr>
          <w:rFonts w:ascii="Verdana" w:hAnsi="Verdana"/>
          <w:b/>
          <w:bCs/>
          <w:color w:val="FF0000"/>
        </w:rPr>
      </w:pPr>
    </w:p>
    <w:sdt>
      <w:sdtPr>
        <w:rPr>
          <w:rFonts w:ascii="Verdana" w:eastAsiaTheme="minorHAnsi" w:hAnsi="Verdana" w:cstheme="minorBidi"/>
          <w:color w:val="auto"/>
          <w:sz w:val="20"/>
          <w:szCs w:val="20"/>
          <w:lang w:val="es-ES" w:eastAsia="en-US"/>
        </w:rPr>
        <w:id w:val="1917435053"/>
        <w:docPartObj>
          <w:docPartGallery w:val="Table of Contents"/>
          <w:docPartUnique/>
        </w:docPartObj>
      </w:sdtPr>
      <w:sdtEndPr>
        <w:rPr>
          <w:b/>
          <w:bCs/>
          <w:sz w:val="18"/>
          <w:szCs w:val="18"/>
        </w:rPr>
      </w:sdtEndPr>
      <w:sdtContent>
        <w:p w14:paraId="36D60A1A" w14:textId="7B21C0F1" w:rsidR="007A2D9E" w:rsidRPr="00181443" w:rsidRDefault="009606AA" w:rsidP="007A2D9E">
          <w:pPr>
            <w:pStyle w:val="TtuloTDC"/>
            <w:numPr>
              <w:ilvl w:val="0"/>
              <w:numId w:val="0"/>
            </w:numPr>
            <w:ind w:left="720" w:hanging="360"/>
            <w:jc w:val="center"/>
            <w:rPr>
              <w:rFonts w:ascii="Verdana" w:eastAsiaTheme="minorHAnsi" w:hAnsi="Verdana" w:cstheme="minorBidi"/>
              <w:b/>
              <w:bCs/>
              <w:color w:val="auto"/>
              <w:sz w:val="20"/>
              <w:szCs w:val="20"/>
              <w:lang w:val="es-ES" w:eastAsia="en-US"/>
            </w:rPr>
          </w:pPr>
          <w:r w:rsidRPr="00181443">
            <w:rPr>
              <w:rFonts w:ascii="Verdana" w:eastAsiaTheme="minorHAnsi" w:hAnsi="Verdana" w:cstheme="minorBidi"/>
              <w:b/>
              <w:bCs/>
              <w:color w:val="auto"/>
              <w:sz w:val="20"/>
              <w:szCs w:val="20"/>
              <w:lang w:val="es-ES" w:eastAsia="en-US"/>
            </w:rPr>
            <w:t>TABLA DE CONTENIDO</w:t>
          </w:r>
        </w:p>
        <w:p w14:paraId="7A488A8A" w14:textId="77777777" w:rsidR="007A2D9E" w:rsidRPr="00181443" w:rsidRDefault="007A2D9E" w:rsidP="007A2D9E">
          <w:pPr>
            <w:rPr>
              <w:rFonts w:ascii="Verdana" w:hAnsi="Verdana"/>
              <w:sz w:val="20"/>
              <w:szCs w:val="20"/>
              <w:lang w:val="es-ES"/>
            </w:rPr>
          </w:pPr>
        </w:p>
        <w:p w14:paraId="7D875EFB" w14:textId="77777777" w:rsidR="007A2D9E" w:rsidRPr="00181443" w:rsidRDefault="007A2D9E" w:rsidP="007A2D9E">
          <w:pPr>
            <w:rPr>
              <w:rFonts w:ascii="Verdana" w:hAnsi="Verdana"/>
              <w:sz w:val="20"/>
              <w:szCs w:val="20"/>
              <w:lang w:val="es-ES"/>
            </w:rPr>
          </w:pPr>
        </w:p>
        <w:p w14:paraId="461B3F71" w14:textId="5FC45C2E" w:rsidR="00440554" w:rsidRDefault="007A2D9E">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r w:rsidRPr="00181443">
            <w:rPr>
              <w:rFonts w:ascii="Verdana" w:hAnsi="Verdana"/>
            </w:rPr>
            <w:fldChar w:fldCharType="begin"/>
          </w:r>
          <w:r w:rsidRPr="00181443">
            <w:rPr>
              <w:rFonts w:ascii="Verdana" w:hAnsi="Verdana"/>
            </w:rPr>
            <w:instrText xml:space="preserve"> TOC \o "1-3" \h \z \u </w:instrText>
          </w:r>
          <w:r w:rsidRPr="00181443">
            <w:rPr>
              <w:rFonts w:ascii="Verdana" w:hAnsi="Verdana"/>
            </w:rPr>
            <w:fldChar w:fldCharType="separate"/>
          </w:r>
          <w:hyperlink w:anchor="_Toc212879395" w:history="1">
            <w:r w:rsidR="00440554" w:rsidRPr="009225EA">
              <w:rPr>
                <w:rStyle w:val="Hipervnculo"/>
                <w:rFonts w:eastAsiaTheme="majorEastAsia"/>
                <w:noProof/>
              </w:rPr>
              <w:t>1.</w:t>
            </w:r>
            <w:r w:rsidR="00440554">
              <w:rPr>
                <w:rFonts w:asciiTheme="minorHAnsi" w:eastAsiaTheme="minorEastAsia" w:hAnsiTheme="minorHAnsi" w:cstheme="minorBidi"/>
                <w:noProof/>
                <w:kern w:val="2"/>
                <w:sz w:val="24"/>
                <w:szCs w:val="24"/>
                <w:lang w:val="es-CO" w:eastAsia="es-CO"/>
                <w14:ligatures w14:val="standardContextual"/>
              </w:rPr>
              <w:tab/>
            </w:r>
            <w:r w:rsidR="00440554" w:rsidRPr="009225EA">
              <w:rPr>
                <w:rStyle w:val="Hipervnculo"/>
                <w:rFonts w:eastAsiaTheme="majorEastAsia"/>
                <w:noProof/>
              </w:rPr>
              <w:t>OBJETIVO</w:t>
            </w:r>
            <w:r w:rsidR="00440554">
              <w:rPr>
                <w:noProof/>
                <w:webHidden/>
              </w:rPr>
              <w:tab/>
            </w:r>
            <w:r w:rsidR="00440554">
              <w:rPr>
                <w:noProof/>
                <w:webHidden/>
              </w:rPr>
              <w:fldChar w:fldCharType="begin"/>
            </w:r>
            <w:r w:rsidR="00440554">
              <w:rPr>
                <w:noProof/>
                <w:webHidden/>
              </w:rPr>
              <w:instrText xml:space="preserve"> PAGEREF _Toc212879395 \h </w:instrText>
            </w:r>
            <w:r w:rsidR="00440554">
              <w:rPr>
                <w:noProof/>
                <w:webHidden/>
              </w:rPr>
            </w:r>
            <w:r w:rsidR="00440554">
              <w:rPr>
                <w:noProof/>
                <w:webHidden/>
              </w:rPr>
              <w:fldChar w:fldCharType="separate"/>
            </w:r>
            <w:r w:rsidR="00D763A7">
              <w:rPr>
                <w:noProof/>
                <w:webHidden/>
              </w:rPr>
              <w:t>3</w:t>
            </w:r>
            <w:r w:rsidR="00440554">
              <w:rPr>
                <w:noProof/>
                <w:webHidden/>
              </w:rPr>
              <w:fldChar w:fldCharType="end"/>
            </w:r>
          </w:hyperlink>
        </w:p>
        <w:p w14:paraId="1E5DB0EA" w14:textId="2D608BF9" w:rsidR="00440554" w:rsidRDefault="00440554">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396" w:history="1">
            <w:r w:rsidRPr="009225EA">
              <w:rPr>
                <w:rStyle w:val="Hipervnculo"/>
                <w:rFonts w:eastAsiaTheme="majorEastAsia"/>
                <w:noProof/>
              </w:rPr>
              <w:t>2.</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ALCANCE</w:t>
            </w:r>
            <w:r>
              <w:rPr>
                <w:noProof/>
                <w:webHidden/>
              </w:rPr>
              <w:tab/>
            </w:r>
            <w:r>
              <w:rPr>
                <w:noProof/>
                <w:webHidden/>
              </w:rPr>
              <w:fldChar w:fldCharType="begin"/>
            </w:r>
            <w:r>
              <w:rPr>
                <w:noProof/>
                <w:webHidden/>
              </w:rPr>
              <w:instrText xml:space="preserve"> PAGEREF _Toc212879396 \h </w:instrText>
            </w:r>
            <w:r>
              <w:rPr>
                <w:noProof/>
                <w:webHidden/>
              </w:rPr>
            </w:r>
            <w:r>
              <w:rPr>
                <w:noProof/>
                <w:webHidden/>
              </w:rPr>
              <w:fldChar w:fldCharType="separate"/>
            </w:r>
            <w:r w:rsidR="00D763A7">
              <w:rPr>
                <w:noProof/>
                <w:webHidden/>
              </w:rPr>
              <w:t>3</w:t>
            </w:r>
            <w:r>
              <w:rPr>
                <w:noProof/>
                <w:webHidden/>
              </w:rPr>
              <w:fldChar w:fldCharType="end"/>
            </w:r>
          </w:hyperlink>
        </w:p>
        <w:p w14:paraId="0B58B2D7" w14:textId="0889D659" w:rsidR="00440554" w:rsidRDefault="00440554">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397" w:history="1">
            <w:r w:rsidRPr="009225EA">
              <w:rPr>
                <w:rStyle w:val="Hipervnculo"/>
                <w:rFonts w:eastAsiaTheme="majorEastAsia"/>
                <w:noProof/>
              </w:rPr>
              <w:t>3.</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RESPONSABLE</w:t>
            </w:r>
            <w:r>
              <w:rPr>
                <w:noProof/>
                <w:webHidden/>
              </w:rPr>
              <w:tab/>
            </w:r>
            <w:r>
              <w:rPr>
                <w:noProof/>
                <w:webHidden/>
              </w:rPr>
              <w:fldChar w:fldCharType="begin"/>
            </w:r>
            <w:r>
              <w:rPr>
                <w:noProof/>
                <w:webHidden/>
              </w:rPr>
              <w:instrText xml:space="preserve"> PAGEREF _Toc212879397 \h </w:instrText>
            </w:r>
            <w:r>
              <w:rPr>
                <w:noProof/>
                <w:webHidden/>
              </w:rPr>
            </w:r>
            <w:r>
              <w:rPr>
                <w:noProof/>
                <w:webHidden/>
              </w:rPr>
              <w:fldChar w:fldCharType="separate"/>
            </w:r>
            <w:r w:rsidR="00D763A7">
              <w:rPr>
                <w:noProof/>
                <w:webHidden/>
              </w:rPr>
              <w:t>3</w:t>
            </w:r>
            <w:r>
              <w:rPr>
                <w:noProof/>
                <w:webHidden/>
              </w:rPr>
              <w:fldChar w:fldCharType="end"/>
            </w:r>
          </w:hyperlink>
        </w:p>
        <w:p w14:paraId="64D18D90" w14:textId="73E8CDF4" w:rsidR="00440554" w:rsidRDefault="00440554">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398" w:history="1">
            <w:r w:rsidRPr="009225EA">
              <w:rPr>
                <w:rStyle w:val="Hipervnculo"/>
                <w:rFonts w:eastAsiaTheme="majorEastAsia"/>
                <w:noProof/>
              </w:rPr>
              <w:t>4.</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DEFINICIONES</w:t>
            </w:r>
            <w:r>
              <w:rPr>
                <w:noProof/>
                <w:webHidden/>
              </w:rPr>
              <w:tab/>
            </w:r>
            <w:r>
              <w:rPr>
                <w:noProof/>
                <w:webHidden/>
              </w:rPr>
              <w:fldChar w:fldCharType="begin"/>
            </w:r>
            <w:r>
              <w:rPr>
                <w:noProof/>
                <w:webHidden/>
              </w:rPr>
              <w:instrText xml:space="preserve"> PAGEREF _Toc212879398 \h </w:instrText>
            </w:r>
            <w:r>
              <w:rPr>
                <w:noProof/>
                <w:webHidden/>
              </w:rPr>
            </w:r>
            <w:r>
              <w:rPr>
                <w:noProof/>
                <w:webHidden/>
              </w:rPr>
              <w:fldChar w:fldCharType="separate"/>
            </w:r>
            <w:r w:rsidR="00D763A7">
              <w:rPr>
                <w:noProof/>
                <w:webHidden/>
              </w:rPr>
              <w:t>3</w:t>
            </w:r>
            <w:r>
              <w:rPr>
                <w:noProof/>
                <w:webHidden/>
              </w:rPr>
              <w:fldChar w:fldCharType="end"/>
            </w:r>
          </w:hyperlink>
        </w:p>
        <w:p w14:paraId="5630B4A3" w14:textId="288019F2" w:rsidR="00440554" w:rsidRDefault="00440554">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399" w:history="1">
            <w:r w:rsidRPr="009225EA">
              <w:rPr>
                <w:rStyle w:val="Hipervnculo"/>
                <w:rFonts w:eastAsiaTheme="majorEastAsia"/>
                <w:noProof/>
              </w:rPr>
              <w:t>5.</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CONTENIDO</w:t>
            </w:r>
            <w:r>
              <w:rPr>
                <w:noProof/>
                <w:webHidden/>
              </w:rPr>
              <w:tab/>
            </w:r>
            <w:r>
              <w:rPr>
                <w:noProof/>
                <w:webHidden/>
              </w:rPr>
              <w:fldChar w:fldCharType="begin"/>
            </w:r>
            <w:r>
              <w:rPr>
                <w:noProof/>
                <w:webHidden/>
              </w:rPr>
              <w:instrText xml:space="preserve"> PAGEREF _Toc212879399 \h </w:instrText>
            </w:r>
            <w:r>
              <w:rPr>
                <w:noProof/>
                <w:webHidden/>
              </w:rPr>
            </w:r>
            <w:r>
              <w:rPr>
                <w:noProof/>
                <w:webHidden/>
              </w:rPr>
              <w:fldChar w:fldCharType="separate"/>
            </w:r>
            <w:r w:rsidR="00D763A7">
              <w:rPr>
                <w:noProof/>
                <w:webHidden/>
              </w:rPr>
              <w:t>6</w:t>
            </w:r>
            <w:r>
              <w:rPr>
                <w:noProof/>
                <w:webHidden/>
              </w:rPr>
              <w:fldChar w:fldCharType="end"/>
            </w:r>
          </w:hyperlink>
        </w:p>
        <w:p w14:paraId="258EBD90" w14:textId="4A7D9D20" w:rsidR="00440554" w:rsidRDefault="00440554">
          <w:pPr>
            <w:pStyle w:val="TDC1"/>
            <w:tabs>
              <w:tab w:val="left" w:pos="72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00" w:history="1">
            <w:r w:rsidRPr="009225EA">
              <w:rPr>
                <w:rStyle w:val="Hipervnculo"/>
                <w:rFonts w:eastAsiaTheme="majorEastAsia"/>
                <w:noProof/>
              </w:rPr>
              <w:t>5.1</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PARTICIPACIÓN CIUDADANA</w:t>
            </w:r>
            <w:r>
              <w:rPr>
                <w:noProof/>
                <w:webHidden/>
              </w:rPr>
              <w:tab/>
            </w:r>
            <w:r>
              <w:rPr>
                <w:noProof/>
                <w:webHidden/>
              </w:rPr>
              <w:fldChar w:fldCharType="begin"/>
            </w:r>
            <w:r>
              <w:rPr>
                <w:noProof/>
                <w:webHidden/>
              </w:rPr>
              <w:instrText xml:space="preserve"> PAGEREF _Toc212879400 \h </w:instrText>
            </w:r>
            <w:r>
              <w:rPr>
                <w:noProof/>
                <w:webHidden/>
              </w:rPr>
            </w:r>
            <w:r>
              <w:rPr>
                <w:noProof/>
                <w:webHidden/>
              </w:rPr>
              <w:fldChar w:fldCharType="separate"/>
            </w:r>
            <w:r w:rsidR="00D763A7">
              <w:rPr>
                <w:noProof/>
                <w:webHidden/>
              </w:rPr>
              <w:t>6</w:t>
            </w:r>
            <w:r>
              <w:rPr>
                <w:noProof/>
                <w:webHidden/>
              </w:rPr>
              <w:fldChar w:fldCharType="end"/>
            </w:r>
          </w:hyperlink>
        </w:p>
        <w:p w14:paraId="700B09D0" w14:textId="69E84FE9" w:rsidR="00440554" w:rsidRDefault="00440554">
          <w:pPr>
            <w:pStyle w:val="TDC1"/>
            <w:tabs>
              <w:tab w:val="left" w:pos="72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01" w:history="1">
            <w:r w:rsidRPr="009225EA">
              <w:rPr>
                <w:rStyle w:val="Hipervnculo"/>
                <w:rFonts w:eastAsiaTheme="majorEastAsia"/>
                <w:noProof/>
              </w:rPr>
              <w:t>5.2</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POLÍTICA DE PARTICIPACIÓN CIUDADANA EN LA GESTIÓN PÚBLICA</w:t>
            </w:r>
            <w:r>
              <w:rPr>
                <w:noProof/>
                <w:webHidden/>
              </w:rPr>
              <w:tab/>
            </w:r>
            <w:r>
              <w:rPr>
                <w:noProof/>
                <w:webHidden/>
              </w:rPr>
              <w:fldChar w:fldCharType="begin"/>
            </w:r>
            <w:r>
              <w:rPr>
                <w:noProof/>
                <w:webHidden/>
              </w:rPr>
              <w:instrText xml:space="preserve"> PAGEREF _Toc212879401 \h </w:instrText>
            </w:r>
            <w:r>
              <w:rPr>
                <w:noProof/>
                <w:webHidden/>
              </w:rPr>
            </w:r>
            <w:r>
              <w:rPr>
                <w:noProof/>
                <w:webHidden/>
              </w:rPr>
              <w:fldChar w:fldCharType="separate"/>
            </w:r>
            <w:r w:rsidR="00D763A7">
              <w:rPr>
                <w:noProof/>
                <w:webHidden/>
              </w:rPr>
              <w:t>6</w:t>
            </w:r>
            <w:r>
              <w:rPr>
                <w:noProof/>
                <w:webHidden/>
              </w:rPr>
              <w:fldChar w:fldCharType="end"/>
            </w:r>
          </w:hyperlink>
        </w:p>
        <w:p w14:paraId="72845BDB" w14:textId="31C58E1E" w:rsidR="00440554" w:rsidRDefault="00440554">
          <w:pPr>
            <w:pStyle w:val="TDC1"/>
            <w:tabs>
              <w:tab w:val="left" w:pos="72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02" w:history="1">
            <w:r w:rsidRPr="009225EA">
              <w:rPr>
                <w:rStyle w:val="Hipervnculo"/>
                <w:rFonts w:eastAsiaTheme="majorEastAsia"/>
                <w:noProof/>
              </w:rPr>
              <w:t>5.3</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LINEAMIENTOS GENERALES PARA LA IMPLEMENTACIÓN</w:t>
            </w:r>
            <w:r>
              <w:rPr>
                <w:noProof/>
                <w:webHidden/>
              </w:rPr>
              <w:tab/>
            </w:r>
            <w:r>
              <w:rPr>
                <w:noProof/>
                <w:webHidden/>
              </w:rPr>
              <w:fldChar w:fldCharType="begin"/>
            </w:r>
            <w:r>
              <w:rPr>
                <w:noProof/>
                <w:webHidden/>
              </w:rPr>
              <w:instrText xml:space="preserve"> PAGEREF _Toc212879402 \h </w:instrText>
            </w:r>
            <w:r>
              <w:rPr>
                <w:noProof/>
                <w:webHidden/>
              </w:rPr>
            </w:r>
            <w:r>
              <w:rPr>
                <w:noProof/>
                <w:webHidden/>
              </w:rPr>
              <w:fldChar w:fldCharType="separate"/>
            </w:r>
            <w:r w:rsidR="00D763A7">
              <w:rPr>
                <w:noProof/>
                <w:webHidden/>
              </w:rPr>
              <w:t>7</w:t>
            </w:r>
            <w:r>
              <w:rPr>
                <w:noProof/>
                <w:webHidden/>
              </w:rPr>
              <w:fldChar w:fldCharType="end"/>
            </w:r>
          </w:hyperlink>
        </w:p>
        <w:p w14:paraId="5AC4E4F5" w14:textId="643371ED" w:rsidR="00440554" w:rsidRDefault="00440554">
          <w:pPr>
            <w:pStyle w:val="TDC1"/>
            <w:tabs>
              <w:tab w:val="left" w:pos="72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03" w:history="1">
            <w:r w:rsidRPr="009225EA">
              <w:rPr>
                <w:rStyle w:val="Hipervnculo"/>
                <w:rFonts w:eastAsiaTheme="majorEastAsia"/>
                <w:noProof/>
              </w:rPr>
              <w:t>5.4</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COMPONENTES DE LA POLÍTICA DE PARTICIPACIÓN CIUDADANA</w:t>
            </w:r>
            <w:r>
              <w:rPr>
                <w:noProof/>
                <w:webHidden/>
              </w:rPr>
              <w:tab/>
            </w:r>
            <w:r>
              <w:rPr>
                <w:noProof/>
                <w:webHidden/>
              </w:rPr>
              <w:fldChar w:fldCharType="begin"/>
            </w:r>
            <w:r>
              <w:rPr>
                <w:noProof/>
                <w:webHidden/>
              </w:rPr>
              <w:instrText xml:space="preserve"> PAGEREF _Toc212879403 \h </w:instrText>
            </w:r>
            <w:r>
              <w:rPr>
                <w:noProof/>
                <w:webHidden/>
              </w:rPr>
            </w:r>
            <w:r>
              <w:rPr>
                <w:noProof/>
                <w:webHidden/>
              </w:rPr>
              <w:fldChar w:fldCharType="separate"/>
            </w:r>
            <w:r w:rsidR="00D763A7">
              <w:rPr>
                <w:noProof/>
                <w:webHidden/>
              </w:rPr>
              <w:t>8</w:t>
            </w:r>
            <w:r>
              <w:rPr>
                <w:noProof/>
                <w:webHidden/>
              </w:rPr>
              <w:fldChar w:fldCharType="end"/>
            </w:r>
          </w:hyperlink>
        </w:p>
        <w:p w14:paraId="4E906358" w14:textId="1F6A017A" w:rsidR="00440554" w:rsidRDefault="00440554">
          <w:pPr>
            <w:pStyle w:val="TDC1"/>
            <w:tabs>
              <w:tab w:val="left" w:pos="72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04" w:history="1">
            <w:r w:rsidRPr="009225EA">
              <w:rPr>
                <w:rStyle w:val="Hipervnculo"/>
                <w:rFonts w:eastAsiaTheme="majorEastAsia"/>
                <w:noProof/>
              </w:rPr>
              <w:t>5.5</w:t>
            </w:r>
            <w:r>
              <w:rPr>
                <w:rFonts w:asciiTheme="minorHAnsi" w:eastAsiaTheme="minorEastAsia" w:hAnsiTheme="minorHAnsi" w:cstheme="minorBidi"/>
                <w:noProof/>
                <w:kern w:val="2"/>
                <w:sz w:val="24"/>
                <w:szCs w:val="24"/>
                <w:lang w:val="es-CO" w:eastAsia="es-CO"/>
                <w14:ligatures w14:val="standardContextual"/>
              </w:rPr>
              <w:tab/>
            </w:r>
            <w:r w:rsidRPr="009225EA">
              <w:rPr>
                <w:rStyle w:val="Hipervnculo"/>
                <w:rFonts w:eastAsiaTheme="majorEastAsia"/>
                <w:noProof/>
              </w:rPr>
              <w:t>MEDIOS Y CANALES A DISPOSICIÓN DE LA CIUDADANÍA PARA LA PARTICIPACIÓN</w:t>
            </w:r>
            <w:r>
              <w:rPr>
                <w:noProof/>
                <w:webHidden/>
              </w:rPr>
              <w:tab/>
            </w:r>
            <w:r>
              <w:rPr>
                <w:noProof/>
                <w:webHidden/>
              </w:rPr>
              <w:fldChar w:fldCharType="begin"/>
            </w:r>
            <w:r>
              <w:rPr>
                <w:noProof/>
                <w:webHidden/>
              </w:rPr>
              <w:instrText xml:space="preserve"> PAGEREF _Toc212879404 \h </w:instrText>
            </w:r>
            <w:r>
              <w:rPr>
                <w:noProof/>
                <w:webHidden/>
              </w:rPr>
            </w:r>
            <w:r>
              <w:rPr>
                <w:noProof/>
                <w:webHidden/>
              </w:rPr>
              <w:fldChar w:fldCharType="separate"/>
            </w:r>
            <w:r w:rsidR="00D763A7">
              <w:rPr>
                <w:noProof/>
                <w:webHidden/>
              </w:rPr>
              <w:t>12</w:t>
            </w:r>
            <w:r>
              <w:rPr>
                <w:noProof/>
                <w:webHidden/>
              </w:rPr>
              <w:fldChar w:fldCharType="end"/>
            </w:r>
          </w:hyperlink>
        </w:p>
        <w:p w14:paraId="144006BB" w14:textId="3D1EBF54" w:rsidR="00440554" w:rsidRDefault="00440554">
          <w:pPr>
            <w:pStyle w:val="TDC2"/>
            <w:tabs>
              <w:tab w:val="left" w:pos="960"/>
              <w:tab w:val="right" w:leader="dot" w:pos="9345"/>
            </w:tabs>
            <w:rPr>
              <w:rFonts w:eastAsiaTheme="minorEastAsia"/>
              <w:noProof/>
              <w:kern w:val="2"/>
              <w:sz w:val="24"/>
              <w:szCs w:val="24"/>
              <w:lang w:eastAsia="es-CO"/>
              <w14:ligatures w14:val="standardContextual"/>
            </w:rPr>
          </w:pPr>
          <w:hyperlink w:anchor="_Toc212879405" w:history="1">
            <w:r w:rsidRPr="009225EA">
              <w:rPr>
                <w:rStyle w:val="Hipervnculo"/>
                <w:noProof/>
              </w:rPr>
              <w:t>5.5.1</w:t>
            </w:r>
            <w:r>
              <w:rPr>
                <w:rFonts w:eastAsiaTheme="minorEastAsia"/>
                <w:noProof/>
                <w:kern w:val="2"/>
                <w:sz w:val="24"/>
                <w:szCs w:val="24"/>
                <w:lang w:eastAsia="es-CO"/>
                <w14:ligatures w14:val="standardContextual"/>
              </w:rPr>
              <w:tab/>
            </w:r>
            <w:r w:rsidRPr="009225EA">
              <w:rPr>
                <w:rStyle w:val="Hipervnculo"/>
                <w:noProof/>
              </w:rPr>
              <w:t>Canal Virtual</w:t>
            </w:r>
            <w:r>
              <w:rPr>
                <w:noProof/>
                <w:webHidden/>
              </w:rPr>
              <w:tab/>
            </w:r>
            <w:r>
              <w:rPr>
                <w:noProof/>
                <w:webHidden/>
              </w:rPr>
              <w:fldChar w:fldCharType="begin"/>
            </w:r>
            <w:r>
              <w:rPr>
                <w:noProof/>
                <w:webHidden/>
              </w:rPr>
              <w:instrText xml:space="preserve"> PAGEREF _Toc212879405 \h </w:instrText>
            </w:r>
            <w:r>
              <w:rPr>
                <w:noProof/>
                <w:webHidden/>
              </w:rPr>
            </w:r>
            <w:r>
              <w:rPr>
                <w:noProof/>
                <w:webHidden/>
              </w:rPr>
              <w:fldChar w:fldCharType="separate"/>
            </w:r>
            <w:r w:rsidR="00D763A7">
              <w:rPr>
                <w:noProof/>
                <w:webHidden/>
              </w:rPr>
              <w:t>12</w:t>
            </w:r>
            <w:r>
              <w:rPr>
                <w:noProof/>
                <w:webHidden/>
              </w:rPr>
              <w:fldChar w:fldCharType="end"/>
            </w:r>
          </w:hyperlink>
        </w:p>
        <w:p w14:paraId="774EECA7" w14:textId="6D2A4431" w:rsidR="00440554" w:rsidRDefault="00440554">
          <w:pPr>
            <w:pStyle w:val="TDC2"/>
            <w:tabs>
              <w:tab w:val="left" w:pos="960"/>
              <w:tab w:val="right" w:leader="dot" w:pos="9345"/>
            </w:tabs>
            <w:rPr>
              <w:rFonts w:eastAsiaTheme="minorEastAsia"/>
              <w:noProof/>
              <w:kern w:val="2"/>
              <w:sz w:val="24"/>
              <w:szCs w:val="24"/>
              <w:lang w:eastAsia="es-CO"/>
              <w14:ligatures w14:val="standardContextual"/>
            </w:rPr>
          </w:pPr>
          <w:hyperlink w:anchor="_Toc212879406" w:history="1">
            <w:r w:rsidRPr="009225EA">
              <w:rPr>
                <w:rStyle w:val="Hipervnculo"/>
                <w:rFonts w:cs="Arial"/>
                <w:noProof/>
              </w:rPr>
              <w:t>5.5.2</w:t>
            </w:r>
            <w:r>
              <w:rPr>
                <w:rFonts w:eastAsiaTheme="minorEastAsia"/>
                <w:noProof/>
                <w:kern w:val="2"/>
                <w:sz w:val="24"/>
                <w:szCs w:val="24"/>
                <w:lang w:eastAsia="es-CO"/>
                <w14:ligatures w14:val="standardContextual"/>
              </w:rPr>
              <w:tab/>
            </w:r>
            <w:r w:rsidRPr="009225EA">
              <w:rPr>
                <w:rStyle w:val="Hipervnculo"/>
                <w:noProof/>
              </w:rPr>
              <w:t>Canales de Correspondencia</w:t>
            </w:r>
            <w:r>
              <w:rPr>
                <w:noProof/>
                <w:webHidden/>
              </w:rPr>
              <w:tab/>
            </w:r>
            <w:r>
              <w:rPr>
                <w:noProof/>
                <w:webHidden/>
              </w:rPr>
              <w:fldChar w:fldCharType="begin"/>
            </w:r>
            <w:r>
              <w:rPr>
                <w:noProof/>
                <w:webHidden/>
              </w:rPr>
              <w:instrText xml:space="preserve"> PAGEREF _Toc212879406 \h </w:instrText>
            </w:r>
            <w:r>
              <w:rPr>
                <w:noProof/>
                <w:webHidden/>
              </w:rPr>
            </w:r>
            <w:r>
              <w:rPr>
                <w:noProof/>
                <w:webHidden/>
              </w:rPr>
              <w:fldChar w:fldCharType="separate"/>
            </w:r>
            <w:r w:rsidR="00D763A7">
              <w:rPr>
                <w:noProof/>
                <w:webHidden/>
              </w:rPr>
              <w:t>13</w:t>
            </w:r>
            <w:r>
              <w:rPr>
                <w:noProof/>
                <w:webHidden/>
              </w:rPr>
              <w:fldChar w:fldCharType="end"/>
            </w:r>
          </w:hyperlink>
        </w:p>
        <w:p w14:paraId="29D9AFC4" w14:textId="19A8795C" w:rsidR="00440554" w:rsidRDefault="00440554">
          <w:pPr>
            <w:pStyle w:val="TDC2"/>
            <w:tabs>
              <w:tab w:val="left" w:pos="960"/>
              <w:tab w:val="right" w:leader="dot" w:pos="9345"/>
            </w:tabs>
            <w:rPr>
              <w:rFonts w:eastAsiaTheme="minorEastAsia"/>
              <w:noProof/>
              <w:kern w:val="2"/>
              <w:sz w:val="24"/>
              <w:szCs w:val="24"/>
              <w:lang w:eastAsia="es-CO"/>
              <w14:ligatures w14:val="standardContextual"/>
            </w:rPr>
          </w:pPr>
          <w:hyperlink w:anchor="_Toc212879407" w:history="1">
            <w:r w:rsidRPr="009225EA">
              <w:rPr>
                <w:rStyle w:val="Hipervnculo"/>
                <w:noProof/>
              </w:rPr>
              <w:t>5.5.3</w:t>
            </w:r>
            <w:r>
              <w:rPr>
                <w:rFonts w:eastAsiaTheme="minorEastAsia"/>
                <w:noProof/>
                <w:kern w:val="2"/>
                <w:sz w:val="24"/>
                <w:szCs w:val="24"/>
                <w:lang w:eastAsia="es-CO"/>
                <w14:ligatures w14:val="standardContextual"/>
              </w:rPr>
              <w:tab/>
            </w:r>
            <w:r w:rsidRPr="009225EA">
              <w:rPr>
                <w:rStyle w:val="Hipervnculo"/>
                <w:noProof/>
              </w:rPr>
              <w:t>Canal Telefónico</w:t>
            </w:r>
            <w:r>
              <w:rPr>
                <w:noProof/>
                <w:webHidden/>
              </w:rPr>
              <w:tab/>
            </w:r>
            <w:r>
              <w:rPr>
                <w:noProof/>
                <w:webHidden/>
              </w:rPr>
              <w:fldChar w:fldCharType="begin"/>
            </w:r>
            <w:r>
              <w:rPr>
                <w:noProof/>
                <w:webHidden/>
              </w:rPr>
              <w:instrText xml:space="preserve"> PAGEREF _Toc212879407 \h </w:instrText>
            </w:r>
            <w:r>
              <w:rPr>
                <w:noProof/>
                <w:webHidden/>
              </w:rPr>
            </w:r>
            <w:r>
              <w:rPr>
                <w:noProof/>
                <w:webHidden/>
              </w:rPr>
              <w:fldChar w:fldCharType="separate"/>
            </w:r>
            <w:r w:rsidR="00D763A7">
              <w:rPr>
                <w:noProof/>
                <w:webHidden/>
              </w:rPr>
              <w:t>14</w:t>
            </w:r>
            <w:r>
              <w:rPr>
                <w:noProof/>
                <w:webHidden/>
              </w:rPr>
              <w:fldChar w:fldCharType="end"/>
            </w:r>
          </w:hyperlink>
        </w:p>
        <w:p w14:paraId="1F38B7AA" w14:textId="30706F1D" w:rsidR="00440554" w:rsidRDefault="00440554">
          <w:pPr>
            <w:pStyle w:val="TDC2"/>
            <w:tabs>
              <w:tab w:val="left" w:pos="960"/>
              <w:tab w:val="right" w:leader="dot" w:pos="9345"/>
            </w:tabs>
            <w:rPr>
              <w:rFonts w:eastAsiaTheme="minorEastAsia"/>
              <w:noProof/>
              <w:kern w:val="2"/>
              <w:sz w:val="24"/>
              <w:szCs w:val="24"/>
              <w:lang w:eastAsia="es-CO"/>
              <w14:ligatures w14:val="standardContextual"/>
            </w:rPr>
          </w:pPr>
          <w:hyperlink w:anchor="_Toc212879408" w:history="1">
            <w:r w:rsidRPr="009225EA">
              <w:rPr>
                <w:rStyle w:val="Hipervnculo"/>
                <w:rFonts w:cs="Arial"/>
                <w:noProof/>
              </w:rPr>
              <w:t>5.5.4</w:t>
            </w:r>
            <w:r>
              <w:rPr>
                <w:rFonts w:eastAsiaTheme="minorEastAsia"/>
                <w:noProof/>
                <w:kern w:val="2"/>
                <w:sz w:val="24"/>
                <w:szCs w:val="24"/>
                <w:lang w:eastAsia="es-CO"/>
                <w14:ligatures w14:val="standardContextual"/>
              </w:rPr>
              <w:tab/>
            </w:r>
            <w:r w:rsidRPr="009225EA">
              <w:rPr>
                <w:rStyle w:val="Hipervnculo"/>
                <w:noProof/>
              </w:rPr>
              <w:t>Canales Presenciales</w:t>
            </w:r>
            <w:r>
              <w:rPr>
                <w:noProof/>
                <w:webHidden/>
              </w:rPr>
              <w:tab/>
            </w:r>
            <w:r>
              <w:rPr>
                <w:noProof/>
                <w:webHidden/>
              </w:rPr>
              <w:fldChar w:fldCharType="begin"/>
            </w:r>
            <w:r>
              <w:rPr>
                <w:noProof/>
                <w:webHidden/>
              </w:rPr>
              <w:instrText xml:space="preserve"> PAGEREF _Toc212879408 \h </w:instrText>
            </w:r>
            <w:r>
              <w:rPr>
                <w:noProof/>
                <w:webHidden/>
              </w:rPr>
            </w:r>
            <w:r>
              <w:rPr>
                <w:noProof/>
                <w:webHidden/>
              </w:rPr>
              <w:fldChar w:fldCharType="separate"/>
            </w:r>
            <w:r w:rsidR="00D763A7">
              <w:rPr>
                <w:noProof/>
                <w:webHidden/>
              </w:rPr>
              <w:t>15</w:t>
            </w:r>
            <w:r>
              <w:rPr>
                <w:noProof/>
                <w:webHidden/>
              </w:rPr>
              <w:fldChar w:fldCharType="end"/>
            </w:r>
          </w:hyperlink>
        </w:p>
        <w:p w14:paraId="5DEAB6D8" w14:textId="5979401D" w:rsidR="00440554" w:rsidRDefault="00440554">
          <w:pPr>
            <w:pStyle w:val="TDC2"/>
            <w:tabs>
              <w:tab w:val="left" w:pos="960"/>
              <w:tab w:val="right" w:leader="dot" w:pos="9345"/>
            </w:tabs>
            <w:rPr>
              <w:rFonts w:eastAsiaTheme="minorEastAsia"/>
              <w:noProof/>
              <w:kern w:val="2"/>
              <w:sz w:val="24"/>
              <w:szCs w:val="24"/>
              <w:lang w:eastAsia="es-CO"/>
              <w14:ligatures w14:val="standardContextual"/>
            </w:rPr>
          </w:pPr>
          <w:hyperlink w:anchor="_Toc212879409" w:history="1">
            <w:r w:rsidRPr="009225EA">
              <w:rPr>
                <w:rStyle w:val="Hipervnculo"/>
                <w:noProof/>
              </w:rPr>
              <w:t>5.5.5</w:t>
            </w:r>
            <w:r>
              <w:rPr>
                <w:rFonts w:eastAsiaTheme="minorEastAsia"/>
                <w:noProof/>
                <w:kern w:val="2"/>
                <w:sz w:val="24"/>
                <w:szCs w:val="24"/>
                <w:lang w:eastAsia="es-CO"/>
                <w14:ligatures w14:val="standardContextual"/>
              </w:rPr>
              <w:tab/>
            </w:r>
            <w:r w:rsidRPr="009225EA">
              <w:rPr>
                <w:rStyle w:val="Hipervnculo"/>
                <w:noProof/>
              </w:rPr>
              <w:t>Botón Participa</w:t>
            </w:r>
            <w:r>
              <w:rPr>
                <w:noProof/>
                <w:webHidden/>
              </w:rPr>
              <w:tab/>
            </w:r>
            <w:r>
              <w:rPr>
                <w:noProof/>
                <w:webHidden/>
              </w:rPr>
              <w:fldChar w:fldCharType="begin"/>
            </w:r>
            <w:r>
              <w:rPr>
                <w:noProof/>
                <w:webHidden/>
              </w:rPr>
              <w:instrText xml:space="preserve"> PAGEREF _Toc212879409 \h </w:instrText>
            </w:r>
            <w:r>
              <w:rPr>
                <w:noProof/>
                <w:webHidden/>
              </w:rPr>
            </w:r>
            <w:r>
              <w:rPr>
                <w:noProof/>
                <w:webHidden/>
              </w:rPr>
              <w:fldChar w:fldCharType="separate"/>
            </w:r>
            <w:r w:rsidR="00D763A7">
              <w:rPr>
                <w:noProof/>
                <w:webHidden/>
              </w:rPr>
              <w:t>15</w:t>
            </w:r>
            <w:r>
              <w:rPr>
                <w:noProof/>
                <w:webHidden/>
              </w:rPr>
              <w:fldChar w:fldCharType="end"/>
            </w:r>
          </w:hyperlink>
        </w:p>
        <w:p w14:paraId="10755E41" w14:textId="04F6FEFF" w:rsidR="00440554" w:rsidRDefault="00440554">
          <w:pPr>
            <w:pStyle w:val="TDC1"/>
            <w:tabs>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10" w:history="1">
            <w:r w:rsidRPr="009225EA">
              <w:rPr>
                <w:rStyle w:val="Hipervnculo"/>
                <w:rFonts w:eastAsiaTheme="majorEastAsia"/>
                <w:noProof/>
              </w:rPr>
              <w:t>5.6. METODOLOGÍA PARA LA IMPLEMENTACIÓN DE LA POLITICA DE PARTICIPACIÓN CIUDADANA EN LA GESTIÓN INSTITUCIONAL</w:t>
            </w:r>
            <w:r>
              <w:rPr>
                <w:noProof/>
                <w:webHidden/>
              </w:rPr>
              <w:tab/>
            </w:r>
            <w:r>
              <w:rPr>
                <w:noProof/>
                <w:webHidden/>
              </w:rPr>
              <w:fldChar w:fldCharType="begin"/>
            </w:r>
            <w:r>
              <w:rPr>
                <w:noProof/>
                <w:webHidden/>
              </w:rPr>
              <w:instrText xml:space="preserve"> PAGEREF _Toc212879410 \h </w:instrText>
            </w:r>
            <w:r>
              <w:rPr>
                <w:noProof/>
                <w:webHidden/>
              </w:rPr>
            </w:r>
            <w:r>
              <w:rPr>
                <w:noProof/>
                <w:webHidden/>
              </w:rPr>
              <w:fldChar w:fldCharType="separate"/>
            </w:r>
            <w:r w:rsidR="00D763A7">
              <w:rPr>
                <w:noProof/>
                <w:webHidden/>
              </w:rPr>
              <w:t>18</w:t>
            </w:r>
            <w:r>
              <w:rPr>
                <w:noProof/>
                <w:webHidden/>
              </w:rPr>
              <w:fldChar w:fldCharType="end"/>
            </w:r>
          </w:hyperlink>
        </w:p>
        <w:p w14:paraId="01AD98AB" w14:textId="4B77E8F3" w:rsidR="00440554" w:rsidRDefault="00440554">
          <w:pPr>
            <w:pStyle w:val="TDC2"/>
            <w:tabs>
              <w:tab w:val="right" w:leader="dot" w:pos="9345"/>
            </w:tabs>
            <w:rPr>
              <w:rFonts w:eastAsiaTheme="minorEastAsia"/>
              <w:noProof/>
              <w:kern w:val="2"/>
              <w:sz w:val="24"/>
              <w:szCs w:val="24"/>
              <w:lang w:eastAsia="es-CO"/>
              <w14:ligatures w14:val="standardContextual"/>
            </w:rPr>
          </w:pPr>
          <w:hyperlink w:anchor="_Toc212879411" w:history="1">
            <w:r w:rsidRPr="009225EA">
              <w:rPr>
                <w:rStyle w:val="Hipervnculo"/>
                <w:noProof/>
              </w:rPr>
              <w:t>5.6.1. Diagnóstico del Estado Actual de la Política de Participación Ciudadana</w:t>
            </w:r>
            <w:r>
              <w:rPr>
                <w:noProof/>
                <w:webHidden/>
              </w:rPr>
              <w:tab/>
            </w:r>
            <w:r>
              <w:rPr>
                <w:noProof/>
                <w:webHidden/>
              </w:rPr>
              <w:fldChar w:fldCharType="begin"/>
            </w:r>
            <w:r>
              <w:rPr>
                <w:noProof/>
                <w:webHidden/>
              </w:rPr>
              <w:instrText xml:space="preserve"> PAGEREF _Toc212879411 \h </w:instrText>
            </w:r>
            <w:r>
              <w:rPr>
                <w:noProof/>
                <w:webHidden/>
              </w:rPr>
            </w:r>
            <w:r>
              <w:rPr>
                <w:noProof/>
                <w:webHidden/>
              </w:rPr>
              <w:fldChar w:fldCharType="separate"/>
            </w:r>
            <w:r w:rsidR="00D763A7">
              <w:rPr>
                <w:noProof/>
                <w:webHidden/>
              </w:rPr>
              <w:t>18</w:t>
            </w:r>
            <w:r>
              <w:rPr>
                <w:noProof/>
                <w:webHidden/>
              </w:rPr>
              <w:fldChar w:fldCharType="end"/>
            </w:r>
          </w:hyperlink>
        </w:p>
        <w:p w14:paraId="7BC67C4F" w14:textId="2CD51D0D" w:rsidR="00440554" w:rsidRDefault="00440554">
          <w:pPr>
            <w:pStyle w:val="TDC2"/>
            <w:tabs>
              <w:tab w:val="right" w:leader="dot" w:pos="9345"/>
            </w:tabs>
            <w:rPr>
              <w:rFonts w:eastAsiaTheme="minorEastAsia"/>
              <w:noProof/>
              <w:kern w:val="2"/>
              <w:sz w:val="24"/>
              <w:szCs w:val="24"/>
              <w:lang w:eastAsia="es-CO"/>
              <w14:ligatures w14:val="standardContextual"/>
            </w:rPr>
          </w:pPr>
          <w:hyperlink w:anchor="_Toc212879412" w:history="1">
            <w:r w:rsidRPr="009225EA">
              <w:rPr>
                <w:rStyle w:val="Hipervnculo"/>
                <w:noProof/>
              </w:rPr>
              <w:t>5.6.2. Criterios para la construcción de la Estrategia Anual de Participación Ciudadana.</w:t>
            </w:r>
            <w:r>
              <w:rPr>
                <w:noProof/>
                <w:webHidden/>
              </w:rPr>
              <w:tab/>
            </w:r>
            <w:r>
              <w:rPr>
                <w:noProof/>
                <w:webHidden/>
              </w:rPr>
              <w:fldChar w:fldCharType="begin"/>
            </w:r>
            <w:r>
              <w:rPr>
                <w:noProof/>
                <w:webHidden/>
              </w:rPr>
              <w:instrText xml:space="preserve"> PAGEREF _Toc212879412 \h </w:instrText>
            </w:r>
            <w:r>
              <w:rPr>
                <w:noProof/>
                <w:webHidden/>
              </w:rPr>
            </w:r>
            <w:r>
              <w:rPr>
                <w:noProof/>
                <w:webHidden/>
              </w:rPr>
              <w:fldChar w:fldCharType="separate"/>
            </w:r>
            <w:r w:rsidR="00D763A7">
              <w:rPr>
                <w:noProof/>
                <w:webHidden/>
              </w:rPr>
              <w:t>18</w:t>
            </w:r>
            <w:r>
              <w:rPr>
                <w:noProof/>
                <w:webHidden/>
              </w:rPr>
              <w:fldChar w:fldCharType="end"/>
            </w:r>
          </w:hyperlink>
        </w:p>
        <w:p w14:paraId="089BD8A4" w14:textId="4F170084" w:rsidR="00440554" w:rsidRDefault="00440554">
          <w:pPr>
            <w:pStyle w:val="TDC2"/>
            <w:tabs>
              <w:tab w:val="right" w:leader="dot" w:pos="9345"/>
            </w:tabs>
            <w:rPr>
              <w:rFonts w:eastAsiaTheme="minorEastAsia"/>
              <w:noProof/>
              <w:kern w:val="2"/>
              <w:sz w:val="24"/>
              <w:szCs w:val="24"/>
              <w:lang w:eastAsia="es-CO"/>
              <w14:ligatures w14:val="standardContextual"/>
            </w:rPr>
          </w:pPr>
          <w:hyperlink w:anchor="_Toc212879413" w:history="1">
            <w:r w:rsidRPr="009225EA">
              <w:rPr>
                <w:rStyle w:val="Hipervnculo"/>
                <w:noProof/>
              </w:rPr>
              <w:t>5.6.3. Fases para la Construcción de la Estrategia de Participación Ciudadana</w:t>
            </w:r>
            <w:r>
              <w:rPr>
                <w:noProof/>
                <w:webHidden/>
              </w:rPr>
              <w:tab/>
            </w:r>
            <w:r>
              <w:rPr>
                <w:noProof/>
                <w:webHidden/>
              </w:rPr>
              <w:fldChar w:fldCharType="begin"/>
            </w:r>
            <w:r>
              <w:rPr>
                <w:noProof/>
                <w:webHidden/>
              </w:rPr>
              <w:instrText xml:space="preserve"> PAGEREF _Toc212879413 \h </w:instrText>
            </w:r>
            <w:r>
              <w:rPr>
                <w:noProof/>
                <w:webHidden/>
              </w:rPr>
            </w:r>
            <w:r>
              <w:rPr>
                <w:noProof/>
                <w:webHidden/>
              </w:rPr>
              <w:fldChar w:fldCharType="separate"/>
            </w:r>
            <w:r w:rsidR="00D763A7">
              <w:rPr>
                <w:noProof/>
                <w:webHidden/>
              </w:rPr>
              <w:t>19</w:t>
            </w:r>
            <w:r>
              <w:rPr>
                <w:noProof/>
                <w:webHidden/>
              </w:rPr>
              <w:fldChar w:fldCharType="end"/>
            </w:r>
          </w:hyperlink>
        </w:p>
        <w:p w14:paraId="5DD2D262" w14:textId="6587118D" w:rsidR="00440554" w:rsidRDefault="00440554">
          <w:pPr>
            <w:pStyle w:val="TDC1"/>
            <w:tabs>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2879414" w:history="1">
            <w:r w:rsidRPr="009225EA">
              <w:rPr>
                <w:rStyle w:val="Hipervnculo"/>
                <w:rFonts w:eastAsiaTheme="majorEastAsia"/>
                <w:noProof/>
              </w:rPr>
              <w:t>6. CONTROL DE CAMBIOS</w:t>
            </w:r>
            <w:r>
              <w:rPr>
                <w:noProof/>
                <w:webHidden/>
              </w:rPr>
              <w:tab/>
            </w:r>
            <w:r>
              <w:rPr>
                <w:noProof/>
                <w:webHidden/>
              </w:rPr>
              <w:fldChar w:fldCharType="begin"/>
            </w:r>
            <w:r>
              <w:rPr>
                <w:noProof/>
                <w:webHidden/>
              </w:rPr>
              <w:instrText xml:space="preserve"> PAGEREF _Toc212879414 \h </w:instrText>
            </w:r>
            <w:r>
              <w:rPr>
                <w:noProof/>
                <w:webHidden/>
              </w:rPr>
            </w:r>
            <w:r>
              <w:rPr>
                <w:noProof/>
                <w:webHidden/>
              </w:rPr>
              <w:fldChar w:fldCharType="separate"/>
            </w:r>
            <w:r w:rsidR="00D763A7">
              <w:rPr>
                <w:noProof/>
                <w:webHidden/>
              </w:rPr>
              <w:t>22</w:t>
            </w:r>
            <w:r>
              <w:rPr>
                <w:noProof/>
                <w:webHidden/>
              </w:rPr>
              <w:fldChar w:fldCharType="end"/>
            </w:r>
          </w:hyperlink>
        </w:p>
        <w:p w14:paraId="4C4E6375" w14:textId="7BDDEC63" w:rsidR="007A2D9E" w:rsidRPr="00181443" w:rsidRDefault="007A2D9E">
          <w:pPr>
            <w:rPr>
              <w:rFonts w:ascii="Verdana" w:hAnsi="Verdana"/>
              <w:sz w:val="18"/>
              <w:szCs w:val="18"/>
            </w:rPr>
          </w:pPr>
          <w:r w:rsidRPr="00181443">
            <w:rPr>
              <w:rFonts w:ascii="Verdana" w:hAnsi="Verdana"/>
              <w:b/>
              <w:bCs/>
              <w:sz w:val="20"/>
              <w:szCs w:val="20"/>
              <w:lang w:val="es-ES"/>
            </w:rPr>
            <w:fldChar w:fldCharType="end"/>
          </w:r>
        </w:p>
      </w:sdtContent>
    </w:sdt>
    <w:p w14:paraId="5C76BE58" w14:textId="77777777" w:rsidR="007A2D9E" w:rsidRPr="004759DE" w:rsidRDefault="007A2D9E" w:rsidP="004512A1">
      <w:pPr>
        <w:spacing w:after="0" w:line="240" w:lineRule="auto"/>
        <w:rPr>
          <w:rFonts w:ascii="Verdana" w:hAnsi="Verdana"/>
          <w:b/>
          <w:bCs/>
          <w:color w:val="FF0000"/>
          <w:sz w:val="20"/>
          <w:szCs w:val="20"/>
        </w:rPr>
      </w:pPr>
    </w:p>
    <w:p w14:paraId="56C30682" w14:textId="77777777" w:rsidR="007A2D9E" w:rsidRPr="004759DE" w:rsidRDefault="007A2D9E" w:rsidP="004512A1">
      <w:pPr>
        <w:spacing w:after="0" w:line="240" w:lineRule="auto"/>
        <w:rPr>
          <w:rFonts w:ascii="Verdana" w:hAnsi="Verdana"/>
          <w:b/>
          <w:bCs/>
          <w:color w:val="FF0000"/>
          <w:sz w:val="20"/>
          <w:szCs w:val="20"/>
        </w:rPr>
      </w:pPr>
    </w:p>
    <w:p w14:paraId="581967EA" w14:textId="77777777" w:rsidR="007A2D9E" w:rsidRPr="004759DE" w:rsidRDefault="007A2D9E" w:rsidP="004512A1">
      <w:pPr>
        <w:spacing w:after="0" w:line="240" w:lineRule="auto"/>
        <w:rPr>
          <w:rFonts w:ascii="Verdana" w:hAnsi="Verdana"/>
          <w:b/>
          <w:bCs/>
          <w:color w:val="FF0000"/>
          <w:sz w:val="20"/>
          <w:szCs w:val="20"/>
        </w:rPr>
      </w:pPr>
    </w:p>
    <w:p w14:paraId="5FB86735" w14:textId="77777777" w:rsidR="007A2D9E" w:rsidRPr="004759DE" w:rsidRDefault="007A2D9E" w:rsidP="004512A1">
      <w:pPr>
        <w:spacing w:after="0" w:line="240" w:lineRule="auto"/>
        <w:rPr>
          <w:rFonts w:ascii="Verdana" w:hAnsi="Verdana"/>
          <w:b/>
          <w:bCs/>
          <w:color w:val="FF0000"/>
          <w:sz w:val="20"/>
          <w:szCs w:val="20"/>
        </w:rPr>
      </w:pPr>
    </w:p>
    <w:p w14:paraId="2F2EEA63" w14:textId="77777777" w:rsidR="007A2D9E" w:rsidRPr="004759DE" w:rsidRDefault="007A2D9E" w:rsidP="004512A1">
      <w:pPr>
        <w:spacing w:after="0" w:line="240" w:lineRule="auto"/>
        <w:rPr>
          <w:rFonts w:ascii="Verdana" w:hAnsi="Verdana"/>
          <w:b/>
          <w:bCs/>
          <w:color w:val="FF0000"/>
        </w:rPr>
      </w:pPr>
    </w:p>
    <w:p w14:paraId="552DB91C" w14:textId="77777777" w:rsidR="007A2D9E" w:rsidRPr="004759DE" w:rsidRDefault="007A2D9E" w:rsidP="004512A1">
      <w:pPr>
        <w:spacing w:after="0" w:line="240" w:lineRule="auto"/>
        <w:rPr>
          <w:rFonts w:ascii="Verdana" w:hAnsi="Verdana"/>
          <w:b/>
          <w:bCs/>
          <w:color w:val="FF0000"/>
        </w:rPr>
      </w:pPr>
    </w:p>
    <w:p w14:paraId="23704B85" w14:textId="77777777" w:rsidR="007A2D9E" w:rsidRPr="004759DE" w:rsidRDefault="007A2D9E" w:rsidP="004512A1">
      <w:pPr>
        <w:spacing w:after="0" w:line="240" w:lineRule="auto"/>
        <w:rPr>
          <w:rFonts w:ascii="Verdana" w:hAnsi="Verdana"/>
          <w:b/>
          <w:bCs/>
          <w:color w:val="FF0000"/>
        </w:rPr>
      </w:pPr>
    </w:p>
    <w:p w14:paraId="62346E80" w14:textId="77777777" w:rsidR="004759DE" w:rsidRDefault="004759DE">
      <w:pPr>
        <w:rPr>
          <w:rFonts w:ascii="Verdana" w:eastAsia="Times New Roman" w:hAnsi="Verdana" w:cs="Arial"/>
          <w:b/>
          <w:lang w:val="es-ES" w:eastAsia="es-ES"/>
        </w:rPr>
      </w:pPr>
      <w:r>
        <w:br w:type="page"/>
      </w:r>
    </w:p>
    <w:p w14:paraId="2DF2C9B2" w14:textId="298EB14C" w:rsidR="000F24E1" w:rsidRPr="004759DE" w:rsidRDefault="000F24E1" w:rsidP="00293214">
      <w:pPr>
        <w:pStyle w:val="Ttulo1"/>
        <w:rPr>
          <w:szCs w:val="22"/>
        </w:rPr>
      </w:pPr>
      <w:bookmarkStart w:id="0" w:name="_Toc212879395"/>
      <w:r w:rsidRPr="004759DE">
        <w:rPr>
          <w:szCs w:val="22"/>
        </w:rPr>
        <w:lastRenderedPageBreak/>
        <w:t>OBJETIVO</w:t>
      </w:r>
      <w:bookmarkEnd w:id="0"/>
    </w:p>
    <w:p w14:paraId="76AFF646" w14:textId="77777777" w:rsidR="00505CBB" w:rsidRPr="004759DE" w:rsidRDefault="00505CBB" w:rsidP="004512A1">
      <w:pPr>
        <w:spacing w:after="0" w:line="240" w:lineRule="auto"/>
        <w:jc w:val="both"/>
        <w:rPr>
          <w:rFonts w:ascii="Verdana" w:hAnsi="Verdana"/>
        </w:rPr>
      </w:pPr>
    </w:p>
    <w:p w14:paraId="03E25169" w14:textId="37EDC8E6" w:rsidR="00B45CDC" w:rsidRPr="004759DE" w:rsidRDefault="00B45CDC" w:rsidP="00B45CDC">
      <w:pPr>
        <w:spacing w:after="0"/>
        <w:jc w:val="both"/>
        <w:rPr>
          <w:rFonts w:ascii="Verdana" w:hAnsi="Verdana" w:cs="Arial"/>
        </w:rPr>
      </w:pPr>
      <w:r w:rsidRPr="004759DE">
        <w:rPr>
          <w:rFonts w:ascii="Verdana" w:hAnsi="Verdana" w:cs="Arial"/>
        </w:rPr>
        <w:t xml:space="preserve">Establecer los lineamientos para formular, implementar y monitorear el </w:t>
      </w:r>
      <w:r w:rsidR="00C05C30">
        <w:rPr>
          <w:rFonts w:ascii="Verdana" w:hAnsi="Verdana" w:cs="Arial"/>
        </w:rPr>
        <w:t>Estrategia</w:t>
      </w:r>
      <w:r w:rsidRPr="004759DE">
        <w:rPr>
          <w:rFonts w:ascii="Verdana" w:hAnsi="Verdana" w:cs="Arial"/>
        </w:rPr>
        <w:t xml:space="preserve"> y las estrategias de participación ciudadana de la Superintendencia de Sociedades, articulando los espacios de participación y comunicación en todo el ciclo de la gestión de la entidad con el propósito de optimizar las relaciones con sus grupos de interés.</w:t>
      </w:r>
    </w:p>
    <w:p w14:paraId="5033CDE6" w14:textId="77777777" w:rsidR="00505CBB" w:rsidRPr="004759DE" w:rsidRDefault="00505CBB" w:rsidP="00855E6F">
      <w:pPr>
        <w:spacing w:after="0" w:line="240" w:lineRule="auto"/>
        <w:jc w:val="both"/>
        <w:rPr>
          <w:rFonts w:ascii="Verdana" w:hAnsi="Verdana"/>
        </w:rPr>
      </w:pPr>
    </w:p>
    <w:p w14:paraId="0E0681E8" w14:textId="77777777" w:rsidR="009B1755" w:rsidRPr="004759DE" w:rsidRDefault="009B1755" w:rsidP="00855E6F">
      <w:pPr>
        <w:spacing w:after="0" w:line="240" w:lineRule="auto"/>
        <w:jc w:val="both"/>
        <w:rPr>
          <w:rFonts w:ascii="Verdana" w:hAnsi="Verdana"/>
          <w:lang w:val="es-ES_tradnl"/>
        </w:rPr>
      </w:pPr>
    </w:p>
    <w:p w14:paraId="1FEBBF76" w14:textId="251B92A1" w:rsidR="000F24E1" w:rsidRPr="004759DE" w:rsidRDefault="000F24E1" w:rsidP="00293214">
      <w:pPr>
        <w:pStyle w:val="Ttulo1"/>
        <w:rPr>
          <w:szCs w:val="22"/>
        </w:rPr>
      </w:pPr>
      <w:bookmarkStart w:id="1" w:name="_Toc212879396"/>
      <w:r w:rsidRPr="004759DE">
        <w:rPr>
          <w:szCs w:val="22"/>
        </w:rPr>
        <w:t>ALCANCE</w:t>
      </w:r>
      <w:bookmarkEnd w:id="1"/>
    </w:p>
    <w:p w14:paraId="09C69252" w14:textId="77777777" w:rsidR="00E44438" w:rsidRPr="004759DE" w:rsidRDefault="00E44438" w:rsidP="00855E6F">
      <w:pPr>
        <w:spacing w:after="0" w:line="240" w:lineRule="auto"/>
        <w:jc w:val="both"/>
        <w:rPr>
          <w:rFonts w:ascii="Verdana" w:hAnsi="Verdana"/>
        </w:rPr>
      </w:pPr>
    </w:p>
    <w:p w14:paraId="2DD36245" w14:textId="3841029C" w:rsidR="00B45CDC" w:rsidRPr="004759DE" w:rsidRDefault="00B45CDC" w:rsidP="00B45CDC">
      <w:pPr>
        <w:spacing w:after="0"/>
        <w:jc w:val="both"/>
        <w:rPr>
          <w:rFonts w:ascii="Verdana" w:hAnsi="Verdana" w:cs="Arial"/>
        </w:rPr>
      </w:pPr>
      <w:r w:rsidRPr="004759DE">
        <w:rPr>
          <w:rFonts w:ascii="Verdana" w:hAnsi="Verdana" w:cs="Arial"/>
        </w:rPr>
        <w:t xml:space="preserve">Aplica a </w:t>
      </w:r>
      <w:r w:rsidRPr="004759DE">
        <w:rPr>
          <w:rFonts w:ascii="Verdana" w:hAnsi="Verdana" w:cs="Arial"/>
          <w:b/>
          <w:bCs/>
        </w:rPr>
        <w:t>todos los procesos</w:t>
      </w:r>
      <w:r w:rsidRPr="004759DE">
        <w:rPr>
          <w:rFonts w:ascii="Verdana" w:hAnsi="Verdana" w:cs="Arial"/>
        </w:rPr>
        <w:t xml:space="preserve"> en el desarrollo de las actividades trasversales de participación ciudadana, diseñadas e implementadas para cada una de las etapas del ciclo de gestión pública, que estén incluidas en el </w:t>
      </w:r>
      <w:r w:rsidR="00C05C30">
        <w:rPr>
          <w:rFonts w:ascii="Verdana" w:hAnsi="Verdana" w:cs="Arial"/>
        </w:rPr>
        <w:t>Estrategia</w:t>
      </w:r>
      <w:r w:rsidRPr="004759DE">
        <w:rPr>
          <w:rFonts w:ascii="Verdana" w:hAnsi="Verdana" w:cs="Arial"/>
        </w:rPr>
        <w:t xml:space="preserve"> y las estrategias de participación ciudadana de la entidad</w:t>
      </w:r>
      <w:r w:rsidR="004A41F1" w:rsidRPr="004759DE">
        <w:rPr>
          <w:rFonts w:ascii="Verdana" w:hAnsi="Verdana" w:cs="Arial"/>
        </w:rPr>
        <w:t xml:space="preserve"> en la sede principal e intendencias regionales.</w:t>
      </w:r>
    </w:p>
    <w:p w14:paraId="0DBD2F7C" w14:textId="77777777" w:rsidR="00B45CDC" w:rsidRPr="004759DE" w:rsidRDefault="00B45CDC" w:rsidP="00855E6F">
      <w:pPr>
        <w:spacing w:after="0"/>
        <w:jc w:val="both"/>
        <w:rPr>
          <w:rFonts w:ascii="Verdana" w:hAnsi="Verdana" w:cs="Arial"/>
          <w:color w:val="FF0000"/>
        </w:rPr>
      </w:pPr>
    </w:p>
    <w:p w14:paraId="7C1EEA83" w14:textId="5D156D47" w:rsidR="00F2343B" w:rsidRPr="004759DE" w:rsidRDefault="00F2343B" w:rsidP="00293214">
      <w:pPr>
        <w:pStyle w:val="Ttulo1"/>
        <w:rPr>
          <w:szCs w:val="22"/>
        </w:rPr>
      </w:pPr>
      <w:bookmarkStart w:id="2" w:name="_Toc212879397"/>
      <w:r w:rsidRPr="004759DE">
        <w:rPr>
          <w:szCs w:val="22"/>
        </w:rPr>
        <w:t>RESPONSABLE</w:t>
      </w:r>
      <w:bookmarkEnd w:id="2"/>
    </w:p>
    <w:p w14:paraId="3FC8630A" w14:textId="77777777" w:rsidR="009B1755" w:rsidRPr="004759DE" w:rsidRDefault="009B1755" w:rsidP="00855E6F">
      <w:pPr>
        <w:spacing w:after="0"/>
        <w:jc w:val="both"/>
        <w:rPr>
          <w:rFonts w:ascii="Verdana" w:hAnsi="Verdana" w:cs="Arial"/>
          <w:color w:val="FF0000"/>
          <w:lang w:val="es-ES_tradnl"/>
        </w:rPr>
      </w:pPr>
    </w:p>
    <w:p w14:paraId="758100AF" w14:textId="33BB5127" w:rsidR="00772655" w:rsidRPr="004759DE" w:rsidRDefault="00850DAB" w:rsidP="009D4994">
      <w:pPr>
        <w:numPr>
          <w:ilvl w:val="0"/>
          <w:numId w:val="4"/>
        </w:numPr>
        <w:spacing w:after="0"/>
        <w:ind w:left="714" w:hanging="357"/>
        <w:jc w:val="both"/>
        <w:rPr>
          <w:rFonts w:ascii="Verdana" w:hAnsi="Verdana" w:cs="Arial"/>
        </w:rPr>
      </w:pPr>
      <w:r w:rsidRPr="004759DE">
        <w:rPr>
          <w:rFonts w:ascii="Verdana" w:hAnsi="Verdana" w:cs="Arial"/>
        </w:rPr>
        <w:t xml:space="preserve">Coordinador del </w:t>
      </w:r>
      <w:r w:rsidR="00772655" w:rsidRPr="004759DE">
        <w:rPr>
          <w:rFonts w:ascii="Verdana" w:hAnsi="Verdana" w:cs="Arial"/>
        </w:rPr>
        <w:t>Grupo de Relación Estado Ciudadano</w:t>
      </w:r>
    </w:p>
    <w:p w14:paraId="0FC0B3A7" w14:textId="1060107C" w:rsidR="00385E4A" w:rsidRPr="004759DE" w:rsidRDefault="00641172" w:rsidP="009D4994">
      <w:pPr>
        <w:numPr>
          <w:ilvl w:val="0"/>
          <w:numId w:val="4"/>
        </w:numPr>
        <w:spacing w:after="0"/>
        <w:ind w:left="714" w:hanging="357"/>
        <w:jc w:val="both"/>
        <w:rPr>
          <w:rFonts w:ascii="Verdana" w:hAnsi="Verdana" w:cs="Arial"/>
        </w:rPr>
      </w:pPr>
      <w:r>
        <w:rPr>
          <w:rFonts w:ascii="Verdana" w:hAnsi="Verdana" w:cs="Arial"/>
        </w:rPr>
        <w:t>Grupo de Comunicaciones</w:t>
      </w:r>
    </w:p>
    <w:p w14:paraId="71041DFA" w14:textId="77777777" w:rsidR="00772655" w:rsidRPr="004759DE" w:rsidRDefault="00772655" w:rsidP="009D4994">
      <w:pPr>
        <w:numPr>
          <w:ilvl w:val="0"/>
          <w:numId w:val="4"/>
        </w:numPr>
        <w:spacing w:after="0"/>
        <w:ind w:left="714" w:hanging="357"/>
        <w:jc w:val="both"/>
        <w:rPr>
          <w:rFonts w:ascii="Verdana" w:hAnsi="Verdana" w:cs="Arial"/>
        </w:rPr>
      </w:pPr>
      <w:r w:rsidRPr="004759DE">
        <w:rPr>
          <w:rFonts w:ascii="Verdana" w:hAnsi="Verdana" w:cs="Arial"/>
        </w:rPr>
        <w:t>Oficina Asesora de Planeación</w:t>
      </w:r>
    </w:p>
    <w:p w14:paraId="735AEDDE" w14:textId="77777777" w:rsidR="009B1755" w:rsidRPr="004759DE" w:rsidRDefault="009B1755" w:rsidP="00855E6F">
      <w:pPr>
        <w:spacing w:after="0" w:line="240" w:lineRule="auto"/>
        <w:rPr>
          <w:rFonts w:ascii="Verdana" w:hAnsi="Verdana"/>
          <w:lang w:val="es-ES_tradnl"/>
        </w:rPr>
      </w:pPr>
    </w:p>
    <w:p w14:paraId="58F3546C" w14:textId="77777777" w:rsidR="00855E6F" w:rsidRPr="004759DE" w:rsidRDefault="00855E6F" w:rsidP="00855E6F">
      <w:pPr>
        <w:spacing w:after="0" w:line="240" w:lineRule="auto"/>
        <w:rPr>
          <w:rFonts w:ascii="Verdana" w:hAnsi="Verdana"/>
          <w:lang w:val="es-ES_tradnl"/>
        </w:rPr>
      </w:pPr>
    </w:p>
    <w:p w14:paraId="147276A7" w14:textId="0C5EC98B" w:rsidR="000F24E1" w:rsidRPr="004759DE" w:rsidRDefault="000F24E1" w:rsidP="00293214">
      <w:pPr>
        <w:pStyle w:val="Ttulo1"/>
        <w:rPr>
          <w:szCs w:val="22"/>
        </w:rPr>
      </w:pPr>
      <w:bookmarkStart w:id="3" w:name="_Toc212879398"/>
      <w:r w:rsidRPr="004759DE">
        <w:rPr>
          <w:szCs w:val="22"/>
        </w:rPr>
        <w:t>DEFINICIONES</w:t>
      </w:r>
      <w:bookmarkEnd w:id="3"/>
    </w:p>
    <w:p w14:paraId="063EA45C" w14:textId="77777777" w:rsidR="000F24E1" w:rsidRPr="004759DE" w:rsidRDefault="000F24E1" w:rsidP="004512A1">
      <w:pPr>
        <w:spacing w:after="0" w:line="240" w:lineRule="auto"/>
        <w:rPr>
          <w:rFonts w:ascii="Verdana" w:hAnsi="Verdana"/>
        </w:rPr>
      </w:pPr>
    </w:p>
    <w:p w14:paraId="56DA4421" w14:textId="0DEA777B" w:rsidR="001A7CD3" w:rsidRPr="004759DE" w:rsidRDefault="001A7CD3" w:rsidP="009D4994">
      <w:pPr>
        <w:pStyle w:val="Prrafodelista"/>
        <w:numPr>
          <w:ilvl w:val="0"/>
          <w:numId w:val="5"/>
        </w:numPr>
        <w:rPr>
          <w:rFonts w:ascii="Verdana" w:hAnsi="Verdana" w:cs="Arial"/>
          <w:b/>
          <w:bCs/>
          <w:szCs w:val="22"/>
        </w:rPr>
      </w:pPr>
      <w:r w:rsidRPr="004759DE">
        <w:rPr>
          <w:rFonts w:ascii="Verdana" w:hAnsi="Verdana" w:cs="Arial"/>
          <w:b/>
          <w:bCs/>
          <w:szCs w:val="22"/>
        </w:rPr>
        <w:t xml:space="preserve">Buenas Prácticas: </w:t>
      </w:r>
      <w:r w:rsidRPr="004759DE">
        <w:rPr>
          <w:rFonts w:ascii="Verdana" w:hAnsi="Verdana"/>
          <w:szCs w:val="22"/>
        </w:rPr>
        <w:t xml:space="preserve">Son aquellas acciones, mecanismos, metodologías o procedimientos implementados por la Superintendencia de Sociedades que, en el marco del Modelo Integrado de Planeación y Gestión (MIPG), </w:t>
      </w:r>
      <w:r w:rsidRPr="004759DE">
        <w:rPr>
          <w:rStyle w:val="Textoennegrita"/>
          <w:rFonts w:ascii="Verdana" w:hAnsi="Verdana"/>
          <w:b w:val="0"/>
          <w:bCs w:val="0"/>
          <w:szCs w:val="22"/>
        </w:rPr>
        <w:t>fortalecen la participación incidente, oportuna, inclusiva y transparente de la ciudadanía y los grupos de interés</w:t>
      </w:r>
      <w:r w:rsidRPr="004759DE">
        <w:rPr>
          <w:rFonts w:ascii="Verdana" w:hAnsi="Verdana"/>
          <w:szCs w:val="22"/>
        </w:rPr>
        <w:t xml:space="preserve"> en los procesos institucionales, generando valor público, legitimidad, confianza y mejora continua en la gestión.</w:t>
      </w:r>
    </w:p>
    <w:p w14:paraId="6A747F01" w14:textId="6CB070A0"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 xml:space="preserve">Canal </w:t>
      </w:r>
      <w:r w:rsidR="00F35874" w:rsidRPr="004759DE">
        <w:rPr>
          <w:rFonts w:ascii="Verdana" w:hAnsi="Verdana" w:cs="Arial"/>
          <w:b/>
          <w:bCs/>
          <w:szCs w:val="22"/>
        </w:rPr>
        <w:t>de C</w:t>
      </w:r>
      <w:r w:rsidRPr="004759DE">
        <w:rPr>
          <w:rFonts w:ascii="Verdana" w:hAnsi="Verdana" w:cs="Arial"/>
          <w:b/>
          <w:bCs/>
          <w:szCs w:val="22"/>
        </w:rPr>
        <w:t>orrespondencia</w:t>
      </w:r>
      <w:r w:rsidRPr="004759DE">
        <w:rPr>
          <w:rFonts w:ascii="Verdana" w:hAnsi="Verdana" w:cs="Arial"/>
          <w:szCs w:val="22"/>
        </w:rPr>
        <w:t xml:space="preserve">:  es el conducto a través del cual la ciudadanía puede realizar envíos a través de comunicaciones escritas a las ventanillas de recepción de correspondencia física para la radicación de documentos de sus trámites, consultas y solicitudes, las cuales serán posteriormente remitidas a la dependencia competente para que allí sean resueltas.  </w:t>
      </w:r>
    </w:p>
    <w:p w14:paraId="12394500"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Canal presencial:</w:t>
      </w:r>
      <w:r w:rsidRPr="004759DE">
        <w:rPr>
          <w:rFonts w:ascii="Verdana" w:hAnsi="Verdana" w:cs="Arial"/>
          <w:szCs w:val="22"/>
        </w:rPr>
        <w:t xml:space="preserve"> Son espacios destinados por las entidades para la atención de los ciudadanos, como las oficinas de atención o las ventanillas únicas.</w:t>
      </w:r>
    </w:p>
    <w:p w14:paraId="61872164"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Canal telefónico:</w:t>
      </w:r>
      <w:r w:rsidRPr="004759DE">
        <w:rPr>
          <w:rFonts w:ascii="Verdana" w:hAnsi="Verdana" w:cs="Arial"/>
          <w:szCs w:val="22"/>
        </w:rPr>
        <w:t xml:space="preserve"> Este canal permite la comunicación en tiempo real entre la Entidad y el ciudadano a través de medios de telefonía fija, o móvil, facilitando los procedimientos de trámites, servicios, información, orientación y asistencia al ciudadano. </w:t>
      </w:r>
    </w:p>
    <w:p w14:paraId="0BFF6392"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Canal virtual</w:t>
      </w:r>
      <w:r w:rsidRPr="004759DE">
        <w:rPr>
          <w:rFonts w:ascii="Verdana" w:hAnsi="Verdana" w:cs="Arial"/>
          <w:szCs w:val="22"/>
        </w:rPr>
        <w:t xml:space="preserve">: Medio a través del cual la ciudadanía pueden realizar trámites, solicitar servicios, información, orientación, o asistencia relacionada con el </w:t>
      </w:r>
      <w:r w:rsidRPr="004759DE">
        <w:rPr>
          <w:rFonts w:ascii="Verdana" w:hAnsi="Verdana" w:cs="Arial"/>
          <w:szCs w:val="22"/>
        </w:rPr>
        <w:lastRenderedPageBreak/>
        <w:t xml:space="preserve">quehacer de la entidad, a través de la de página web, redes sociales, chats etc. </w:t>
      </w:r>
    </w:p>
    <w:p w14:paraId="6F943DFB"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Consulta:</w:t>
      </w:r>
      <w:r w:rsidRPr="004759DE">
        <w:rPr>
          <w:rFonts w:ascii="Verdana" w:hAnsi="Verdana" w:cs="Arial"/>
          <w:szCs w:val="22"/>
        </w:rPr>
        <w:t xml:space="preserve"> Toda persona podrá presentar peticiones mediante las cuales se eleve una consulta a las autoridades en relación con las materias a su cargo. Salvo disposición legal, en contrario, los conceptos emitidos por las autoridades como respuesta a peticiones realizadas en ejercicio del derecho a formular consultas no serán de obligatorio cumplimiento o ejecución.</w:t>
      </w:r>
    </w:p>
    <w:p w14:paraId="0E6A9F07"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Control social:</w:t>
      </w:r>
      <w:r w:rsidRPr="004759DE">
        <w:rPr>
          <w:rFonts w:ascii="Verdana" w:hAnsi="Verdana" w:cs="Arial"/>
          <w:szCs w:val="22"/>
        </w:rPr>
        <w:t xml:space="preserve"> se constituye en un derecho y en un deber de los ciudadanos para participar, de manera individual o colectiva, en la vigilancia de la gestión pública y sus resultados para la correcta utilización de los recursos y bienes públicos, esta acción debe ser garantizada al realizar los procesos de rendición de cuentas. </w:t>
      </w:r>
    </w:p>
    <w:p w14:paraId="23194ED4"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Denuncias por Corrupción</w:t>
      </w:r>
      <w:r w:rsidRPr="004759DE">
        <w:rPr>
          <w:rFonts w:ascii="Verdana" w:hAnsi="Verdana" w:cs="Arial"/>
          <w:szCs w:val="22"/>
        </w:rPr>
        <w:t>: Denuncias por abuso de posiciones de poder o de confianza, para el beneficio particular en detrimento del interés colectivo, realizado a través de ofrecer o solicitar, entregar o recibir bienes o dinero en especie, en servicios o beneficios, a cambio de acciones, decisiones u omisiones.</w:t>
      </w:r>
    </w:p>
    <w:p w14:paraId="04FE58C4" w14:textId="77777777" w:rsidR="00102631" w:rsidRDefault="00102631" w:rsidP="009D4994">
      <w:pPr>
        <w:pStyle w:val="Prrafodelista"/>
        <w:numPr>
          <w:ilvl w:val="0"/>
          <w:numId w:val="5"/>
        </w:numPr>
        <w:rPr>
          <w:rFonts w:ascii="Verdana" w:hAnsi="Verdana" w:cs="Arial"/>
          <w:szCs w:val="22"/>
        </w:rPr>
      </w:pPr>
      <w:r w:rsidRPr="004759DE">
        <w:rPr>
          <w:rFonts w:ascii="Verdana" w:hAnsi="Verdana" w:cs="Arial"/>
          <w:b/>
          <w:bCs/>
          <w:szCs w:val="22"/>
        </w:rPr>
        <w:t>Diálogo</w:t>
      </w:r>
      <w:r w:rsidRPr="004759DE">
        <w:rPr>
          <w:rFonts w:ascii="Verdana" w:hAnsi="Verdana" w:cs="Arial"/>
          <w:szCs w:val="22"/>
        </w:rPr>
        <w:t xml:space="preserve">: Debate destinado a producir un resultado. </w:t>
      </w:r>
    </w:p>
    <w:p w14:paraId="4EA47386" w14:textId="77777777" w:rsidR="00446AE4" w:rsidRPr="00C2707D" w:rsidRDefault="00446AE4" w:rsidP="00446AE4">
      <w:pPr>
        <w:pStyle w:val="Prrafodelista"/>
        <w:numPr>
          <w:ilvl w:val="0"/>
          <w:numId w:val="5"/>
        </w:numPr>
        <w:rPr>
          <w:rFonts w:ascii="Verdana" w:hAnsi="Verdana" w:cs="Arial"/>
        </w:rPr>
      </w:pPr>
      <w:r w:rsidRPr="00B31070">
        <w:rPr>
          <w:rFonts w:ascii="Verdana" w:hAnsi="Verdana" w:cs="Arial"/>
          <w:b/>
          <w:bCs/>
        </w:rPr>
        <w:t>Diversidad Sexual y de Género</w:t>
      </w:r>
      <w:r w:rsidRPr="00C2707D">
        <w:rPr>
          <w:rFonts w:ascii="Verdana" w:hAnsi="Verdana" w:cs="Arial"/>
        </w:rPr>
        <w:t>: Son dos conceptos que se utilizan para identificar todas las manifestaciones de la sexualidad humana y su identidad de género, incluyendo las no heterosexuales, que comúnmente se denominan LGBTI.</w:t>
      </w:r>
    </w:p>
    <w:p w14:paraId="10085E96"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Enfoque diferencial</w:t>
      </w:r>
      <w:r w:rsidRPr="004759DE">
        <w:rPr>
          <w:rFonts w:ascii="Verdana" w:hAnsi="Verdana" w:cs="Arial"/>
          <w:szCs w:val="22"/>
        </w:rPr>
        <w:t xml:space="preserve">: Es una perspectiva de análisis que permite obtener y difundir información sobre grupos poblacionales con características particulares debido a su edad o etapa del ciclo vital, género, orientación sexual, identidad de género, pertenencia étnica, y discapacidad, entre otras características; con el fin de potenciar las acciones diferenciales, que materialicen el goce efectivo de sus derechos. </w:t>
      </w:r>
    </w:p>
    <w:p w14:paraId="186522D3"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Felicitaciones</w:t>
      </w:r>
      <w:r w:rsidRPr="004759DE">
        <w:rPr>
          <w:rFonts w:ascii="Verdana" w:hAnsi="Verdana" w:cs="Arial"/>
          <w:szCs w:val="22"/>
        </w:rPr>
        <w:t xml:space="preserve">: Manifestaciones de agradecimiento o satisfacción por los productos y/o servicios recibidos de la Entidad. </w:t>
      </w:r>
    </w:p>
    <w:p w14:paraId="7AF5BD95"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Grupos de interés</w:t>
      </w:r>
      <w:r w:rsidRPr="004759DE">
        <w:rPr>
          <w:rFonts w:ascii="Verdana" w:hAnsi="Verdana" w:cs="Arial"/>
          <w:szCs w:val="22"/>
        </w:rPr>
        <w:t>: Corresponde a los ciudadanos, usuarios o interesados (personas naturales o jurídicas) con los que interactúa una entidad, los cuales pueden ser agrupados según sus atributos o variables similares.</w:t>
      </w:r>
    </w:p>
    <w:p w14:paraId="30827062"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Grupos de valor</w:t>
      </w:r>
      <w:r w:rsidRPr="004759DE">
        <w:rPr>
          <w:rFonts w:ascii="Verdana" w:hAnsi="Verdana" w:cs="Arial"/>
          <w:szCs w:val="22"/>
        </w:rPr>
        <w:t xml:space="preserve">: Pertenecen al subconjunto de grupo de interés, correspondiente a aquellos actores que son clientes, usuarios o destinatarios de los productos, trámites o servicios que genera la Entidad. </w:t>
      </w:r>
    </w:p>
    <w:p w14:paraId="505E0331" w14:textId="77777777" w:rsidR="008F6A0B" w:rsidRDefault="00102631" w:rsidP="009D4994">
      <w:pPr>
        <w:pStyle w:val="Prrafodelista"/>
        <w:numPr>
          <w:ilvl w:val="0"/>
          <w:numId w:val="5"/>
        </w:numPr>
        <w:rPr>
          <w:rFonts w:ascii="Verdana" w:hAnsi="Verdana" w:cs="Arial"/>
          <w:szCs w:val="22"/>
        </w:rPr>
      </w:pPr>
      <w:r w:rsidRPr="004759DE">
        <w:rPr>
          <w:rFonts w:ascii="Verdana" w:hAnsi="Verdana" w:cs="Arial"/>
          <w:b/>
          <w:bCs/>
          <w:szCs w:val="22"/>
        </w:rPr>
        <w:t>Grupo étnico</w:t>
      </w:r>
      <w:r w:rsidRPr="004759DE">
        <w:rPr>
          <w:rFonts w:ascii="Verdana" w:hAnsi="Verdana" w:cs="Arial"/>
          <w:szCs w:val="22"/>
        </w:rPr>
        <w:t>: Grupo de personas que comparten una cultura similar (creencias, valores y comportamientos), idioma, religión, antepasados y otras características que a menudo pasan de una generación a la siguiente. Los grupos étnicos en Colombia están conformados por los pueblos indígenas, los afrocolombianos o afrodescendientes, los raizales, los palenqueros y los rom.</w:t>
      </w:r>
    </w:p>
    <w:p w14:paraId="658ED697" w14:textId="77777777" w:rsidR="007726BF" w:rsidRPr="00C2707D" w:rsidRDefault="007726BF" w:rsidP="007726BF">
      <w:pPr>
        <w:pStyle w:val="Prrafodelista"/>
        <w:numPr>
          <w:ilvl w:val="0"/>
          <w:numId w:val="5"/>
        </w:numPr>
        <w:rPr>
          <w:rFonts w:ascii="Verdana" w:hAnsi="Verdana" w:cs="Arial"/>
        </w:rPr>
      </w:pPr>
      <w:r w:rsidRPr="00102631">
        <w:rPr>
          <w:rFonts w:ascii="Verdana" w:hAnsi="Verdana" w:cs="Arial"/>
          <w:b/>
          <w:bCs/>
        </w:rPr>
        <w:t>Identidad de género</w:t>
      </w:r>
      <w:r w:rsidRPr="00C2707D">
        <w:rPr>
          <w:rFonts w:ascii="Verdana" w:hAnsi="Verdana" w:cs="Arial"/>
        </w:rPr>
        <w:t xml:space="preserve">: Corresponde al reconocimiento de la dignidad humana a la autonomía personal y al libre desarrollo de la personalidad en cuanto a la vivencia individual y personal del género, independientemente del sexo </w:t>
      </w:r>
      <w:r w:rsidRPr="00C2707D">
        <w:rPr>
          <w:rFonts w:ascii="Verdana" w:hAnsi="Verdana" w:cs="Arial"/>
        </w:rPr>
        <w:lastRenderedPageBreak/>
        <w:t>asignado al momento de nacer, teniendo en cuenta la vivencia personal frente a lo corporal que puede o no involucrar transformaciones escogidas libremente.</w:t>
      </w:r>
    </w:p>
    <w:p w14:paraId="33CB3CBE" w14:textId="47F9D767" w:rsidR="007726BF" w:rsidRPr="00EE0283" w:rsidRDefault="007726BF" w:rsidP="007726BF">
      <w:pPr>
        <w:pStyle w:val="Prrafodelista"/>
        <w:numPr>
          <w:ilvl w:val="0"/>
          <w:numId w:val="5"/>
        </w:numPr>
        <w:rPr>
          <w:rFonts w:ascii="Verdana" w:hAnsi="Verdana" w:cs="Arial"/>
        </w:rPr>
      </w:pPr>
      <w:r w:rsidRPr="00102631">
        <w:rPr>
          <w:rFonts w:ascii="Verdana" w:hAnsi="Verdana" w:cs="Arial"/>
          <w:b/>
          <w:bCs/>
        </w:rPr>
        <w:t>LGTBI:</w:t>
      </w:r>
      <w:r w:rsidRPr="00C2707D">
        <w:rPr>
          <w:rFonts w:ascii="Verdana" w:hAnsi="Verdana" w:cs="Arial"/>
        </w:rPr>
        <w:t xml:space="preserve"> Siglas que </w:t>
      </w:r>
      <w:r w:rsidRPr="00EE0283">
        <w:rPr>
          <w:rFonts w:ascii="Verdana" w:hAnsi="Verdana" w:cs="Arial"/>
        </w:rPr>
        <w:t xml:space="preserve">identifican a los colectivos de personas lesbianas, </w:t>
      </w:r>
      <w:proofErr w:type="spellStart"/>
      <w:r w:rsidRPr="00EE0283">
        <w:rPr>
          <w:rFonts w:ascii="Verdana" w:hAnsi="Verdana" w:cs="Arial"/>
        </w:rPr>
        <w:t>gays</w:t>
      </w:r>
      <w:proofErr w:type="spellEnd"/>
      <w:r w:rsidRPr="00EE0283">
        <w:rPr>
          <w:rFonts w:ascii="Verdana" w:hAnsi="Verdana" w:cs="Arial"/>
        </w:rPr>
        <w:t>, bisexuales y transgénero.</w:t>
      </w:r>
    </w:p>
    <w:p w14:paraId="56C95785" w14:textId="12328B84" w:rsidR="001D29D0" w:rsidRPr="00EE0283" w:rsidRDefault="001D29D0" w:rsidP="007726BF">
      <w:pPr>
        <w:pStyle w:val="Prrafodelista"/>
        <w:numPr>
          <w:ilvl w:val="0"/>
          <w:numId w:val="5"/>
        </w:numPr>
        <w:rPr>
          <w:rFonts w:ascii="Verdana" w:hAnsi="Verdana" w:cs="Arial"/>
        </w:rPr>
      </w:pPr>
      <w:r w:rsidRPr="00EE0283">
        <w:rPr>
          <w:rFonts w:ascii="Verdana" w:hAnsi="Verdana" w:cs="Arial"/>
          <w:b/>
          <w:bCs/>
        </w:rPr>
        <w:t>OSIG:</w:t>
      </w:r>
      <w:r w:rsidRPr="00EE0283">
        <w:rPr>
          <w:rFonts w:ascii="Verdana" w:hAnsi="Verdana" w:cs="Arial"/>
        </w:rPr>
        <w:t xml:space="preserve"> </w:t>
      </w:r>
      <w:r w:rsidRPr="00EE0283">
        <w:rPr>
          <w:rStyle w:val="Textoennegrita"/>
          <w:rFonts w:ascii="Verdana" w:hAnsi="Verdana"/>
          <w:b w:val="0"/>
          <w:bCs w:val="0"/>
          <w:color w:val="000000" w:themeColor="text1"/>
          <w:shd w:val="clear" w:color="auto" w:fill="FFFFFF"/>
        </w:rPr>
        <w:t>orientaciones sexuales e identidades de género diversas</w:t>
      </w:r>
    </w:p>
    <w:p w14:paraId="0E7B1F9B" w14:textId="4555CE13" w:rsidR="00102631" w:rsidRPr="00F938B1" w:rsidRDefault="00102631" w:rsidP="00E57FDD">
      <w:pPr>
        <w:pStyle w:val="Prrafodelista"/>
        <w:numPr>
          <w:ilvl w:val="0"/>
          <w:numId w:val="5"/>
        </w:numPr>
        <w:rPr>
          <w:rFonts w:ascii="Verdana" w:hAnsi="Verdana" w:cs="Arial"/>
          <w:szCs w:val="22"/>
        </w:rPr>
      </w:pPr>
      <w:r w:rsidRPr="00EE0283">
        <w:rPr>
          <w:rFonts w:ascii="Verdana" w:hAnsi="Verdana" w:cs="Arial"/>
          <w:b/>
          <w:bCs/>
          <w:szCs w:val="22"/>
        </w:rPr>
        <w:t>PQRSD</w:t>
      </w:r>
      <w:r w:rsidRPr="00EE0283">
        <w:rPr>
          <w:rFonts w:ascii="Verdana" w:hAnsi="Verdana" w:cs="Arial"/>
          <w:szCs w:val="22"/>
        </w:rPr>
        <w:t>: Corresponde al Sistema de Peticiones, Quejas, Reclamos, Sugerencias y Denuncias, es una herramienta que permite a la Entidad conocer las inquietudes y manifestaciones que tienen los grupos de interés con el fin de mejorar y fortalecer</w:t>
      </w:r>
      <w:r w:rsidRPr="00F938B1">
        <w:rPr>
          <w:rFonts w:ascii="Verdana" w:hAnsi="Verdana" w:cs="Arial"/>
          <w:szCs w:val="22"/>
        </w:rPr>
        <w:t xml:space="preserve"> su servicio.</w:t>
      </w:r>
    </w:p>
    <w:p w14:paraId="24782685"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Peticiones</w:t>
      </w:r>
      <w:r w:rsidRPr="004759DE">
        <w:rPr>
          <w:rFonts w:ascii="Verdana" w:hAnsi="Verdana" w:cs="Arial"/>
          <w:szCs w:val="22"/>
        </w:rPr>
        <w:t>: Toda persona tiene derecho a presentar peticiones respetuosas a las autoridades, por motivos de interés general o particular, y a obtener pronta resolución completa y de fondo sobre la misma.</w:t>
      </w:r>
    </w:p>
    <w:p w14:paraId="037F94AC"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Queja</w:t>
      </w:r>
      <w:r w:rsidRPr="004759DE">
        <w:rPr>
          <w:rFonts w:ascii="Verdana" w:hAnsi="Verdana" w:cs="Arial"/>
          <w:szCs w:val="22"/>
        </w:rPr>
        <w:t>: Manifestación verbal o escrita de insatisfacción hecha por una persona natural o jurídica, o su representante, acerca de la conducta o actuación de un funcionario o agente de servicio.</w:t>
      </w:r>
    </w:p>
    <w:p w14:paraId="0BA1C03F"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Reclamo</w:t>
      </w:r>
      <w:r w:rsidRPr="004759DE">
        <w:rPr>
          <w:rFonts w:ascii="Verdana" w:hAnsi="Verdana" w:cs="Arial"/>
          <w:szCs w:val="22"/>
        </w:rPr>
        <w:t>: Manifestación verbal o escrita de insatisfacción hecha por una persona natural o jurídica sobre el incumplimiento o irregularidad de alguna de las características de los servicios ofrecidos por la Entidad.</w:t>
      </w:r>
    </w:p>
    <w:p w14:paraId="098546B8"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Rendición de cuentas</w:t>
      </w:r>
      <w:r w:rsidRPr="004759DE">
        <w:rPr>
          <w:rFonts w:ascii="Verdana" w:hAnsi="Verdana" w:cs="Arial"/>
          <w:szCs w:val="22"/>
        </w:rPr>
        <w:t>: Es la obligación que tienen las entidades de la Rama Ejecutiva y los servidores públicos del orden nacional y territorial, de informar, dialogar y dar respuesta clara, concreta y eficaz a las peticiones y necesidades de los actores interesados (ciudadanía, organizaciones y grupos de interés) sobre la gestión realizada, los resultados de sus planes de acción, en cumplimiento del respeto, garantía y protección de los derechos de los ciudadanos.</w:t>
      </w:r>
    </w:p>
    <w:p w14:paraId="09F51089"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Satisfacción</w:t>
      </w:r>
      <w:r w:rsidRPr="004759DE">
        <w:rPr>
          <w:rFonts w:ascii="Verdana" w:hAnsi="Verdana" w:cs="Arial"/>
          <w:szCs w:val="22"/>
        </w:rPr>
        <w:t xml:space="preserve">: Es una respuesta positiva que resulta de la interacción entre el ciudadano y la prestación de un servicio determinado por parte de una entidad pública, donde quedan cubiertas sus expectativas, y se genera una manifestación de haber encontrado lo que se buscaba. </w:t>
      </w:r>
    </w:p>
    <w:p w14:paraId="141B7671"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Solicitud de Información</w:t>
      </w:r>
      <w:r w:rsidRPr="004759DE">
        <w:rPr>
          <w:rFonts w:ascii="Verdana" w:hAnsi="Verdana" w:cs="Arial"/>
          <w:szCs w:val="22"/>
        </w:rPr>
        <w:t>: Toda persona tiene derecho a solicitar y recibir información pública de la Entidad, en forma oral o escrita, incluida la vía electrónica. En ningún caso podrá ser rechazada la petición por motivos de fundamentación inadecuada o incompleta</w:t>
      </w:r>
    </w:p>
    <w:p w14:paraId="7C9B76EF" w14:textId="77777777" w:rsidR="00102631" w:rsidRPr="004759DE" w:rsidRDefault="00102631" w:rsidP="009D4994">
      <w:pPr>
        <w:pStyle w:val="Prrafodelista"/>
        <w:numPr>
          <w:ilvl w:val="0"/>
          <w:numId w:val="5"/>
        </w:numPr>
        <w:rPr>
          <w:rFonts w:ascii="Verdana" w:hAnsi="Verdana" w:cs="Arial"/>
          <w:szCs w:val="22"/>
        </w:rPr>
      </w:pPr>
      <w:r w:rsidRPr="004759DE">
        <w:rPr>
          <w:rFonts w:ascii="Verdana" w:hAnsi="Verdana" w:cs="Arial"/>
          <w:b/>
          <w:bCs/>
          <w:szCs w:val="22"/>
        </w:rPr>
        <w:t>Sugerencia</w:t>
      </w:r>
      <w:r w:rsidRPr="004759DE">
        <w:rPr>
          <w:rFonts w:ascii="Verdana" w:hAnsi="Verdana" w:cs="Arial"/>
          <w:szCs w:val="22"/>
        </w:rPr>
        <w:t>: Es un consejo o propuesta que formula un usuario o institución para el mejoramiento de los servicios de la Entidad.</w:t>
      </w:r>
    </w:p>
    <w:p w14:paraId="542D1027" w14:textId="113F46F6" w:rsidR="004759DE" w:rsidRPr="00791D10" w:rsidRDefault="00102631" w:rsidP="00771C8F">
      <w:pPr>
        <w:pStyle w:val="Prrafodelista"/>
        <w:numPr>
          <w:ilvl w:val="0"/>
          <w:numId w:val="5"/>
        </w:numPr>
        <w:rPr>
          <w:rFonts w:ascii="Verdana" w:hAnsi="Verdana"/>
          <w:color w:val="000000"/>
          <w:szCs w:val="22"/>
        </w:rPr>
      </w:pPr>
      <w:r w:rsidRPr="00791D10">
        <w:rPr>
          <w:rFonts w:ascii="Verdana" w:hAnsi="Verdana" w:cs="Arial"/>
          <w:b/>
          <w:bCs/>
          <w:szCs w:val="22"/>
        </w:rPr>
        <w:t>Trámite</w:t>
      </w:r>
      <w:r w:rsidRPr="00791D10">
        <w:rPr>
          <w:rFonts w:ascii="Verdana" w:hAnsi="Verdana" w:cs="Arial"/>
          <w:szCs w:val="22"/>
        </w:rPr>
        <w:t xml:space="preserve">: </w:t>
      </w:r>
      <w:r w:rsidR="004759DE" w:rsidRPr="00791D10">
        <w:rPr>
          <w:rFonts w:ascii="Verdana" w:hAnsi="Verdana"/>
          <w:color w:val="000000"/>
          <w:szCs w:val="22"/>
        </w:rPr>
        <w:t>Conjunto de requisitos, pasos, o acciones reguladas por el Estado, dentro de un proceso misional, que deben efectuar los ciudadanos, usuarios o grupos de interés ante una entidad u organismo de la administración pública o particular que ejerce funciones administrativas, para acceder a un derecho, ejercer una actividad o cumplir con una obligación, prevista o autorizada por la ley.</w:t>
      </w:r>
    </w:p>
    <w:p w14:paraId="0DB4D22E" w14:textId="77777777" w:rsidR="004759DE" w:rsidRPr="004759DE" w:rsidRDefault="004759DE" w:rsidP="004759DE">
      <w:pPr>
        <w:rPr>
          <w:rFonts w:ascii="Verdana" w:hAnsi="Verdana" w:cs="Arial"/>
          <w:lang w:val="es-ES"/>
        </w:rPr>
      </w:pPr>
    </w:p>
    <w:p w14:paraId="218ACC20" w14:textId="77777777" w:rsidR="00102631" w:rsidRPr="004759DE" w:rsidRDefault="00102631" w:rsidP="00102631">
      <w:pPr>
        <w:spacing w:after="0" w:line="240" w:lineRule="auto"/>
        <w:rPr>
          <w:rFonts w:ascii="Verdana" w:hAnsi="Verdana"/>
        </w:rPr>
      </w:pPr>
    </w:p>
    <w:p w14:paraId="0171E169" w14:textId="45B2A2C1" w:rsidR="00157381" w:rsidRPr="004759DE" w:rsidRDefault="00974ADB" w:rsidP="00293214">
      <w:pPr>
        <w:pStyle w:val="Ttulo1"/>
        <w:rPr>
          <w:szCs w:val="22"/>
        </w:rPr>
      </w:pPr>
      <w:bookmarkStart w:id="4" w:name="_Toc212879399"/>
      <w:r w:rsidRPr="004759DE">
        <w:rPr>
          <w:szCs w:val="22"/>
        </w:rPr>
        <w:t>CONTENIDO</w:t>
      </w:r>
      <w:bookmarkEnd w:id="4"/>
    </w:p>
    <w:p w14:paraId="5F52282C" w14:textId="77777777" w:rsidR="00C96A65" w:rsidRPr="004759DE" w:rsidRDefault="00C96A65" w:rsidP="004512A1">
      <w:pPr>
        <w:spacing w:after="0" w:line="240" w:lineRule="auto"/>
        <w:rPr>
          <w:rFonts w:ascii="Verdana" w:hAnsi="Verdana"/>
          <w:lang w:val="es-ES" w:eastAsia="es-ES"/>
        </w:rPr>
      </w:pPr>
    </w:p>
    <w:p w14:paraId="39CF15AC" w14:textId="453375EC" w:rsidR="00B16105" w:rsidRPr="004759DE" w:rsidRDefault="00F36263" w:rsidP="007F0F2B">
      <w:pPr>
        <w:pStyle w:val="Ttulo1"/>
        <w:numPr>
          <w:ilvl w:val="1"/>
          <w:numId w:val="1"/>
        </w:numPr>
        <w:rPr>
          <w:szCs w:val="22"/>
        </w:rPr>
      </w:pPr>
      <w:bookmarkStart w:id="5" w:name="_Toc212879400"/>
      <w:r w:rsidRPr="004759DE">
        <w:rPr>
          <w:szCs w:val="22"/>
        </w:rPr>
        <w:t>PARTICIPACIÓN CIUDADANA</w:t>
      </w:r>
      <w:bookmarkEnd w:id="5"/>
    </w:p>
    <w:p w14:paraId="7D307D75" w14:textId="77777777" w:rsidR="00CE37BE" w:rsidRPr="004759DE" w:rsidRDefault="00CE37BE" w:rsidP="003E0168">
      <w:pPr>
        <w:spacing w:after="0"/>
        <w:jc w:val="both"/>
        <w:rPr>
          <w:rFonts w:ascii="Verdana" w:hAnsi="Verdana" w:cs="Arial"/>
        </w:rPr>
      </w:pPr>
    </w:p>
    <w:p w14:paraId="1DA23A8C" w14:textId="4A1C4BA6" w:rsidR="004759DE" w:rsidRPr="004759DE" w:rsidRDefault="004759DE" w:rsidP="004759DE">
      <w:pPr>
        <w:spacing w:after="0"/>
        <w:jc w:val="both"/>
        <w:rPr>
          <w:rFonts w:ascii="Verdana" w:hAnsi="Verdana" w:cs="Arial"/>
        </w:rPr>
      </w:pPr>
      <w:r w:rsidRPr="004759DE">
        <w:rPr>
          <w:rFonts w:ascii="Verdana" w:hAnsi="Verdana" w:cs="Arial"/>
        </w:rPr>
        <w:t>La participación ciudadana es el derecho que tienen las personas y organizaciones sociales a intervenir activamente en las decisiones públicas que afectan su bienestar individual o colectivo. El Estado colombiano, es un Estado social de derecho, democrático y participativo, y conforme a lo establecido en la Ley 489 de 1998, todas las entidades y organismos de la Administración Pública tienen la obligación de desarrollar su gestión acorde con los principios de democracia participativa y democratización de la gestión pública, que permita a los ciudadanos conocer toda la información de su interés de manera clara y a tiempo.</w:t>
      </w:r>
    </w:p>
    <w:p w14:paraId="197730AB" w14:textId="77777777" w:rsidR="003E0168" w:rsidRPr="004759DE" w:rsidRDefault="003E0168" w:rsidP="003E0168">
      <w:pPr>
        <w:spacing w:after="0"/>
        <w:jc w:val="both"/>
        <w:rPr>
          <w:rFonts w:ascii="Verdana" w:hAnsi="Verdana" w:cs="Arial"/>
        </w:rPr>
      </w:pPr>
    </w:p>
    <w:p w14:paraId="296A2527" w14:textId="62232F13" w:rsidR="00107107" w:rsidRPr="004759DE" w:rsidRDefault="00107107" w:rsidP="00107107">
      <w:pPr>
        <w:spacing w:after="0"/>
        <w:jc w:val="both"/>
        <w:rPr>
          <w:rFonts w:ascii="Verdana" w:hAnsi="Verdana" w:cs="Arial"/>
        </w:rPr>
      </w:pPr>
      <w:r w:rsidRPr="004759DE">
        <w:rPr>
          <w:rFonts w:ascii="Verdana" w:hAnsi="Verdana" w:cs="Arial"/>
        </w:rPr>
        <w:t xml:space="preserve">La Superintendencia de Sociedades es una entidad descentralizada del orden nacional y adscrita al Ministerio de Comercio, Industria y Turismo, </w:t>
      </w:r>
      <w:r w:rsidR="00C61240" w:rsidRPr="004759DE">
        <w:rPr>
          <w:rFonts w:ascii="Verdana" w:hAnsi="Verdana" w:cs="Arial"/>
        </w:rPr>
        <w:t>que articula la participación ciudadana mediante estrategias que fortalecen la transparencia, el control social y el diálogo con la ciudadanía</w:t>
      </w:r>
      <w:r w:rsidR="004F2CA0">
        <w:rPr>
          <w:rFonts w:ascii="Verdana" w:hAnsi="Verdana" w:cs="Arial"/>
        </w:rPr>
        <w:t>.</w:t>
      </w:r>
    </w:p>
    <w:p w14:paraId="0EC27D29" w14:textId="77777777" w:rsidR="00B01B9F" w:rsidRPr="004759DE" w:rsidRDefault="00B01B9F" w:rsidP="003E0168">
      <w:pPr>
        <w:spacing w:after="0"/>
        <w:jc w:val="both"/>
        <w:rPr>
          <w:rFonts w:ascii="Verdana" w:hAnsi="Verdana" w:cs="Arial"/>
        </w:rPr>
      </w:pPr>
    </w:p>
    <w:p w14:paraId="70EC8AAA" w14:textId="77777777" w:rsidR="003E0168" w:rsidRPr="004759DE" w:rsidRDefault="003E0168" w:rsidP="003E0168">
      <w:pPr>
        <w:spacing w:after="0"/>
        <w:jc w:val="both"/>
        <w:rPr>
          <w:rFonts w:ascii="Verdana" w:hAnsi="Verdana" w:cs="Arial"/>
        </w:rPr>
      </w:pPr>
    </w:p>
    <w:p w14:paraId="3D9087BB" w14:textId="5BDDC063" w:rsidR="003E0168" w:rsidRPr="004759DE" w:rsidRDefault="0010197E" w:rsidP="007F0F2B">
      <w:pPr>
        <w:pStyle w:val="Ttulo1"/>
        <w:numPr>
          <w:ilvl w:val="1"/>
          <w:numId w:val="1"/>
        </w:numPr>
        <w:rPr>
          <w:szCs w:val="22"/>
        </w:rPr>
      </w:pPr>
      <w:bookmarkStart w:id="6" w:name="_Toc184989053"/>
      <w:bookmarkStart w:id="7" w:name="_Toc212879401"/>
      <w:r w:rsidRPr="004759DE">
        <w:rPr>
          <w:szCs w:val="22"/>
        </w:rPr>
        <w:t>POLÍTICA DE PARTICIPACIÓN CIUDADANA EN LA GESTIÓN PÚBLICA</w:t>
      </w:r>
      <w:bookmarkEnd w:id="6"/>
      <w:bookmarkEnd w:id="7"/>
      <w:r w:rsidRPr="004759DE">
        <w:rPr>
          <w:szCs w:val="22"/>
        </w:rPr>
        <w:t xml:space="preserve"> </w:t>
      </w:r>
    </w:p>
    <w:p w14:paraId="34FAA1C3" w14:textId="77777777" w:rsidR="0092668A" w:rsidRPr="004F2CA0" w:rsidRDefault="0092668A" w:rsidP="004759DE">
      <w:pPr>
        <w:spacing w:before="100" w:beforeAutospacing="1" w:after="100" w:afterAutospacing="1" w:line="240" w:lineRule="auto"/>
        <w:jc w:val="both"/>
        <w:rPr>
          <w:rFonts w:ascii="Verdana" w:eastAsia="Times New Roman" w:hAnsi="Verdana" w:cs="Times New Roman"/>
          <w:lang w:eastAsia="es-CO"/>
        </w:rPr>
      </w:pPr>
      <w:bookmarkStart w:id="8" w:name="_Toc184989054"/>
      <w:r w:rsidRPr="004F2CA0">
        <w:rPr>
          <w:rFonts w:ascii="Verdana" w:eastAsia="Times New Roman" w:hAnsi="Verdana" w:cs="Times New Roman"/>
          <w:lang w:eastAsia="es-CO"/>
        </w:rPr>
        <w:t xml:space="preserve">La </w:t>
      </w:r>
      <w:r w:rsidRPr="004F2CA0">
        <w:rPr>
          <w:rFonts w:ascii="Verdana" w:eastAsia="Times New Roman" w:hAnsi="Verdana" w:cs="Times New Roman"/>
          <w:b/>
          <w:bCs/>
          <w:lang w:eastAsia="es-CO"/>
        </w:rPr>
        <w:t>Política de Participación Ciudadana en la Gestión Pública</w:t>
      </w:r>
      <w:r w:rsidRPr="004F2CA0">
        <w:rPr>
          <w:rFonts w:ascii="Verdana" w:eastAsia="Times New Roman" w:hAnsi="Verdana" w:cs="Times New Roman"/>
          <w:lang w:eastAsia="es-CO"/>
        </w:rPr>
        <w:t>, enmarcada en el Modelo Integrado de Planeación y Gestión (MIPG), orienta a las entidades estatales a garantizar la incidencia real y efectiva de la ciudadanía y sus organizaciones en las etapas de diagnóstico, planeación, ejecución, seguimiento, evaluación y rendición de cuentas. Esta participación se realiza mediante la implementación de espacios, mecanismos, canales y prácticas que promuevan el diálogo social, la transparencia y la corresponsabilidad, con el fin de contribuir al cumplimiento de los resultados institucionales y la satisfacción de las necesidades y derechos de los ciudadanos y grupos de interés.</w:t>
      </w:r>
    </w:p>
    <w:p w14:paraId="58346EDC" w14:textId="6DC98EA8" w:rsidR="008226D0" w:rsidRPr="004F2CA0" w:rsidRDefault="008226D0" w:rsidP="0092668A">
      <w:p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 xml:space="preserve">Para la </w:t>
      </w:r>
      <w:r w:rsidR="0092668A" w:rsidRPr="004F2CA0">
        <w:rPr>
          <w:rFonts w:ascii="Verdana" w:eastAsia="Times New Roman" w:hAnsi="Verdana" w:cs="Times New Roman"/>
          <w:b/>
          <w:bCs/>
          <w:lang w:eastAsia="es-CO"/>
        </w:rPr>
        <w:t>Superintendencia de Sociedades</w:t>
      </w:r>
      <w:r w:rsidR="0092668A" w:rsidRPr="004F2CA0">
        <w:rPr>
          <w:rFonts w:ascii="Verdana" w:eastAsia="Times New Roman" w:hAnsi="Verdana" w:cs="Times New Roman"/>
          <w:lang w:eastAsia="es-CO"/>
        </w:rPr>
        <w:t>, la articulación de esta política</w:t>
      </w:r>
      <w:r w:rsidRPr="004F2CA0">
        <w:rPr>
          <w:rFonts w:ascii="Verdana" w:eastAsia="Times New Roman" w:hAnsi="Verdana" w:cs="Times New Roman"/>
          <w:lang w:eastAsia="es-CO"/>
        </w:rPr>
        <w:t xml:space="preserve"> ha implicado</w:t>
      </w:r>
      <w:r w:rsidR="0092668A" w:rsidRPr="004F2CA0">
        <w:rPr>
          <w:rFonts w:ascii="Verdana" w:eastAsia="Times New Roman" w:hAnsi="Verdana" w:cs="Times New Roman"/>
          <w:lang w:eastAsia="es-CO"/>
        </w:rPr>
        <w:t xml:space="preserve"> fortalecer los escenarios de relacionamiento con los ciudadanos, empresarios, gremios y otros actores del sector económico. Esto se </w:t>
      </w:r>
      <w:r w:rsidRPr="004F2CA0">
        <w:rPr>
          <w:rFonts w:ascii="Verdana" w:eastAsia="Times New Roman" w:hAnsi="Verdana" w:cs="Times New Roman"/>
          <w:lang w:eastAsia="es-CO"/>
        </w:rPr>
        <w:t xml:space="preserve">viene </w:t>
      </w:r>
      <w:r w:rsidR="0092668A" w:rsidRPr="004F2CA0">
        <w:rPr>
          <w:rFonts w:ascii="Verdana" w:eastAsia="Times New Roman" w:hAnsi="Verdana" w:cs="Times New Roman"/>
          <w:lang w:eastAsia="es-CO"/>
        </w:rPr>
        <w:t>materializa</w:t>
      </w:r>
      <w:r w:rsidRPr="004F2CA0">
        <w:rPr>
          <w:rFonts w:ascii="Verdana" w:eastAsia="Times New Roman" w:hAnsi="Verdana" w:cs="Times New Roman"/>
          <w:lang w:eastAsia="es-CO"/>
        </w:rPr>
        <w:t>ndo</w:t>
      </w:r>
      <w:r w:rsidR="0092668A" w:rsidRPr="004F2CA0">
        <w:rPr>
          <w:rFonts w:ascii="Verdana" w:eastAsia="Times New Roman" w:hAnsi="Verdana" w:cs="Times New Roman"/>
          <w:lang w:eastAsia="es-CO"/>
        </w:rPr>
        <w:t xml:space="preserve"> en la mejora continua de los canales y herramientas que facilitan el acceso a la información, la participación en procesos estratégicos, y el ejercicio del control social. </w:t>
      </w:r>
    </w:p>
    <w:p w14:paraId="0E1C9261" w14:textId="7953219D" w:rsidR="0092668A" w:rsidRPr="00791D10" w:rsidRDefault="0092668A" w:rsidP="004759DE">
      <w:p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lastRenderedPageBreak/>
        <w:t xml:space="preserve">La entidad </w:t>
      </w:r>
      <w:r w:rsidR="008226D0" w:rsidRPr="004F2CA0">
        <w:rPr>
          <w:rFonts w:ascii="Verdana" w:eastAsia="Times New Roman" w:hAnsi="Verdana" w:cs="Times New Roman"/>
          <w:lang w:eastAsia="es-CO"/>
        </w:rPr>
        <w:t>promueve</w:t>
      </w:r>
      <w:r w:rsidRPr="004F2CA0">
        <w:rPr>
          <w:rFonts w:ascii="Verdana" w:eastAsia="Times New Roman" w:hAnsi="Verdana" w:cs="Times New Roman"/>
          <w:lang w:eastAsia="es-CO"/>
        </w:rPr>
        <w:t xml:space="preserve"> un enfoque de participación diferencial e incluyente, con atención a las características poblacionales y territoriales, apoyado en estrategias de </w:t>
      </w:r>
      <w:r w:rsidRPr="00791D10">
        <w:rPr>
          <w:rFonts w:ascii="Verdana" w:eastAsia="Times New Roman" w:hAnsi="Verdana" w:cs="Times New Roman"/>
          <w:lang w:eastAsia="es-CO"/>
        </w:rPr>
        <w:t>comunicación clara y efectiva.</w:t>
      </w:r>
    </w:p>
    <w:p w14:paraId="053D807F" w14:textId="404591DE" w:rsidR="00240673" w:rsidRPr="001D29D0" w:rsidRDefault="00240673" w:rsidP="004759DE">
      <w:pPr>
        <w:spacing w:before="100" w:beforeAutospacing="1" w:after="100" w:afterAutospacing="1" w:line="240" w:lineRule="auto"/>
        <w:jc w:val="both"/>
        <w:rPr>
          <w:rFonts w:ascii="Verdana" w:eastAsia="Times New Roman" w:hAnsi="Verdana" w:cs="Times New Roman"/>
          <w:lang w:eastAsia="es-CO"/>
        </w:rPr>
      </w:pPr>
      <w:r w:rsidRPr="00791D10">
        <w:rPr>
          <w:rFonts w:ascii="Verdana" w:hAnsi="Verdana"/>
        </w:rPr>
        <w:t>La Entidad promueve un enfoque de participación diferencial e incluyente, reconociendo y respetando la diversidad cultural, étnica, etaria, de identidad de género y de orientación sexual (LGTBIQ+</w:t>
      </w:r>
      <w:r w:rsidR="001D29D0" w:rsidRPr="00791D10">
        <w:rPr>
          <w:rFonts w:ascii="Verdana" w:hAnsi="Verdana"/>
        </w:rPr>
        <w:t>OSIG</w:t>
      </w:r>
      <w:r w:rsidRPr="00791D10">
        <w:rPr>
          <w:rFonts w:ascii="Verdana" w:hAnsi="Verdana"/>
        </w:rPr>
        <w:t>), mediante estrategias de comunicación claras, accesibles y efectivas que fortalecen la participación de todos los grupos poblacionales y territoriales.</w:t>
      </w:r>
    </w:p>
    <w:p w14:paraId="79285339" w14:textId="77777777" w:rsidR="0092668A" w:rsidRPr="004F2CA0" w:rsidRDefault="0092668A" w:rsidP="004759DE">
      <w:p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La participación ciudadana en este contexto se traduce en una interacción activa con la institucionalidad pública, a través de las siguientes dimensiones:</w:t>
      </w:r>
    </w:p>
    <w:p w14:paraId="1B0DB68F" w14:textId="77777777" w:rsidR="0092668A" w:rsidRPr="004F2CA0" w:rsidRDefault="0092668A" w:rsidP="004759DE">
      <w:pPr>
        <w:numPr>
          <w:ilvl w:val="0"/>
          <w:numId w:val="30"/>
        </w:num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Acceso a información pública y datos abiertos relacionados con su gestión.</w:t>
      </w:r>
    </w:p>
    <w:p w14:paraId="7821415F" w14:textId="77777777" w:rsidR="0092668A" w:rsidRPr="004F2CA0" w:rsidRDefault="0092668A" w:rsidP="004759DE">
      <w:pPr>
        <w:numPr>
          <w:ilvl w:val="0"/>
          <w:numId w:val="30"/>
        </w:num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Interacción con la oferta institucional (trámites, servicios, procesos de inspección y regulación).</w:t>
      </w:r>
    </w:p>
    <w:p w14:paraId="2ED5C6E9" w14:textId="77777777" w:rsidR="0092668A" w:rsidRPr="004F2CA0" w:rsidRDefault="0092668A" w:rsidP="004759DE">
      <w:pPr>
        <w:numPr>
          <w:ilvl w:val="0"/>
          <w:numId w:val="30"/>
        </w:num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Ejercicio del control social mediante la rendición de cuentas y la veeduría ciudadana.</w:t>
      </w:r>
    </w:p>
    <w:p w14:paraId="5A3C939D" w14:textId="77777777" w:rsidR="0092668A" w:rsidRPr="004F2CA0" w:rsidRDefault="0092668A" w:rsidP="004759DE">
      <w:pPr>
        <w:numPr>
          <w:ilvl w:val="0"/>
          <w:numId w:val="30"/>
        </w:num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Colaboración en la identificación y solución de problemáticas que afectan el entorno empresarial y económico del país.</w:t>
      </w:r>
    </w:p>
    <w:p w14:paraId="60F7C600" w14:textId="3CFC74ED" w:rsidR="0092668A" w:rsidRPr="004759DE" w:rsidRDefault="008226D0" w:rsidP="004759DE">
      <w:pPr>
        <w:spacing w:before="100" w:beforeAutospacing="1" w:after="100" w:afterAutospacing="1" w:line="240" w:lineRule="auto"/>
        <w:jc w:val="both"/>
        <w:rPr>
          <w:rFonts w:ascii="Verdana" w:eastAsia="Times New Roman" w:hAnsi="Verdana" w:cs="Times New Roman"/>
          <w:lang w:eastAsia="es-CO"/>
        </w:rPr>
      </w:pPr>
      <w:r w:rsidRPr="004F2CA0">
        <w:rPr>
          <w:rFonts w:ascii="Verdana" w:eastAsia="Times New Roman" w:hAnsi="Verdana" w:cs="Times New Roman"/>
          <w:lang w:eastAsia="es-CO"/>
        </w:rPr>
        <w:t>Teniendo en cuenta lo anterior, l</w:t>
      </w:r>
      <w:r w:rsidR="0092668A" w:rsidRPr="004F2CA0">
        <w:rPr>
          <w:rFonts w:ascii="Verdana" w:eastAsia="Times New Roman" w:hAnsi="Verdana" w:cs="Times New Roman"/>
          <w:lang w:eastAsia="es-CO"/>
        </w:rPr>
        <w:t>os niveles más avanzados de madurez institucional en participación se alcanzan cuando la ciudadanía, más allá de recibir servicios, se involucra activamente en los procesos misionales de la entidad, aportando al mejoramiento continuo y al fortalecimiento de la confianza pública en la gestión estatal.</w:t>
      </w:r>
    </w:p>
    <w:p w14:paraId="692F0BB2" w14:textId="77777777" w:rsidR="00CD13D1" w:rsidRPr="004759DE" w:rsidRDefault="00CD13D1" w:rsidP="003E0168">
      <w:pPr>
        <w:spacing w:after="0"/>
        <w:jc w:val="both"/>
        <w:rPr>
          <w:rFonts w:ascii="Verdana" w:hAnsi="Verdana" w:cs="Arial"/>
        </w:rPr>
      </w:pPr>
    </w:p>
    <w:p w14:paraId="0446BE32" w14:textId="1AF96156" w:rsidR="003E0168" w:rsidRPr="004759DE" w:rsidRDefault="0010197E" w:rsidP="007F0F2B">
      <w:pPr>
        <w:pStyle w:val="Ttulo1"/>
        <w:numPr>
          <w:ilvl w:val="1"/>
          <w:numId w:val="1"/>
        </w:numPr>
        <w:rPr>
          <w:szCs w:val="22"/>
        </w:rPr>
      </w:pPr>
      <w:bookmarkStart w:id="9" w:name="_Toc212879402"/>
      <w:r w:rsidRPr="004759DE">
        <w:rPr>
          <w:szCs w:val="22"/>
        </w:rPr>
        <w:t>LINEAMIENTOS GENERALES PARA LA IMPLEMENTACIÓN</w:t>
      </w:r>
      <w:bookmarkEnd w:id="8"/>
      <w:bookmarkEnd w:id="9"/>
      <w:r w:rsidRPr="004759DE">
        <w:rPr>
          <w:szCs w:val="22"/>
        </w:rPr>
        <w:t xml:space="preserve"> </w:t>
      </w:r>
    </w:p>
    <w:p w14:paraId="3DC3F7B4" w14:textId="10711049" w:rsidR="001279C0" w:rsidRPr="004F2CA0" w:rsidRDefault="001279C0" w:rsidP="001279C0">
      <w:pPr>
        <w:spacing w:before="100" w:beforeAutospacing="1" w:after="100" w:afterAutospacing="1" w:line="240" w:lineRule="auto"/>
        <w:jc w:val="both"/>
        <w:rPr>
          <w:rFonts w:ascii="Verdana" w:eastAsia="Times New Roman" w:hAnsi="Verdana" w:cs="Arial"/>
          <w:lang w:eastAsia="es-CO"/>
        </w:rPr>
      </w:pPr>
      <w:r w:rsidRPr="004F2CA0">
        <w:rPr>
          <w:rFonts w:ascii="Verdana" w:eastAsia="Times New Roman" w:hAnsi="Verdana" w:cs="Arial"/>
          <w:lang w:eastAsia="es-CO"/>
        </w:rPr>
        <w:t xml:space="preserve">La Superintendencia de Sociedades diseña, implementa, evalúa y mejora de manera continua su Estrategia de Participación Ciudadana anual, integrándola al ciclo de la gestión pública conforme a los principios del Modelo Integrado de Planeación y Gestión (MIPG) y en atención al artículo 2º de la Ley 1757 de 2015. Dicho artículo establece </w:t>
      </w:r>
      <w:r w:rsidR="0092091B" w:rsidRPr="004F2CA0">
        <w:rPr>
          <w:rFonts w:ascii="Verdana" w:eastAsia="Times New Roman" w:hAnsi="Verdana" w:cs="Arial"/>
          <w:lang w:eastAsia="es-CO"/>
        </w:rPr>
        <w:t>que,</w:t>
      </w:r>
      <w:r w:rsidRPr="004F2CA0">
        <w:rPr>
          <w:rFonts w:ascii="Verdana" w:eastAsia="Times New Roman" w:hAnsi="Verdana" w:cs="Arial"/>
          <w:lang w:eastAsia="es-CO"/>
        </w:rPr>
        <w:t xml:space="preserve"> desde el ejercicio de diagnóstico y planeación, derivados de la dimensión de Direccionamiento Estratégico y Planeación, debe incluirse de manera explícita la forma en que se facilita y promueve la participación ciudadana.</w:t>
      </w:r>
    </w:p>
    <w:p w14:paraId="22028EFB" w14:textId="4826EA6D" w:rsidR="001279C0" w:rsidRDefault="001279C0" w:rsidP="001279C0">
      <w:pPr>
        <w:spacing w:before="100" w:beforeAutospacing="1" w:after="100" w:afterAutospacing="1" w:line="240" w:lineRule="auto"/>
        <w:jc w:val="both"/>
        <w:rPr>
          <w:rFonts w:ascii="Verdana" w:eastAsia="Times New Roman" w:hAnsi="Verdana" w:cs="Arial"/>
          <w:lang w:eastAsia="es-CO"/>
        </w:rPr>
      </w:pPr>
      <w:r w:rsidRPr="004F2CA0">
        <w:rPr>
          <w:rFonts w:ascii="Verdana" w:eastAsia="Times New Roman" w:hAnsi="Verdana" w:cs="Arial"/>
          <w:lang w:eastAsia="es-CO"/>
        </w:rPr>
        <w:t>Los siguientes lineamientos orientan la definición de acciones de participación en cada fase del ciclo de gestión institucional:</w:t>
      </w:r>
    </w:p>
    <w:p w14:paraId="17FC2201" w14:textId="3EB14200" w:rsidR="00B0327F" w:rsidRDefault="00B0327F" w:rsidP="001279C0">
      <w:pPr>
        <w:spacing w:before="100" w:beforeAutospacing="1" w:after="100" w:afterAutospacing="1" w:line="240" w:lineRule="auto"/>
        <w:jc w:val="both"/>
        <w:rPr>
          <w:rFonts w:ascii="Verdana" w:eastAsia="Times New Roman" w:hAnsi="Verdana" w:cs="Arial"/>
          <w:lang w:eastAsia="es-CO"/>
        </w:rPr>
      </w:pPr>
    </w:p>
    <w:p w14:paraId="313DD856" w14:textId="77777777" w:rsidR="00B0327F" w:rsidRPr="004F2CA0" w:rsidRDefault="00B0327F" w:rsidP="001279C0">
      <w:pPr>
        <w:spacing w:before="100" w:beforeAutospacing="1" w:after="100" w:afterAutospacing="1" w:line="240" w:lineRule="auto"/>
        <w:jc w:val="both"/>
        <w:rPr>
          <w:rFonts w:ascii="Verdana" w:eastAsia="Times New Roman" w:hAnsi="Verdana" w:cs="Arial"/>
          <w:lang w:eastAsia="es-CO"/>
        </w:rPr>
      </w:pPr>
    </w:p>
    <w:p w14:paraId="009CEB1C" w14:textId="32C51B16" w:rsidR="001279C0" w:rsidRPr="004F2CA0" w:rsidRDefault="001279C0" w:rsidP="004F2CA0">
      <w:pPr>
        <w:pStyle w:val="Prrafodelista"/>
        <w:numPr>
          <w:ilvl w:val="0"/>
          <w:numId w:val="32"/>
        </w:numPr>
        <w:spacing w:before="100" w:beforeAutospacing="1" w:after="100" w:afterAutospacing="1"/>
        <w:outlineLvl w:val="3"/>
        <w:rPr>
          <w:rFonts w:ascii="Verdana" w:hAnsi="Verdana" w:cs="Arial"/>
          <w:b/>
          <w:bCs/>
          <w:lang w:eastAsia="es-CO"/>
        </w:rPr>
      </w:pPr>
      <w:r w:rsidRPr="004F2CA0">
        <w:rPr>
          <w:rFonts w:ascii="Verdana" w:hAnsi="Verdana" w:cs="Arial"/>
          <w:b/>
          <w:bCs/>
          <w:lang w:eastAsia="es-CO"/>
        </w:rPr>
        <w:t>Acciones de Diagnóstico Participativo</w:t>
      </w:r>
    </w:p>
    <w:p w14:paraId="1EF43CC8" w14:textId="1801EA78" w:rsidR="001279C0" w:rsidRPr="004F2CA0" w:rsidRDefault="001279C0" w:rsidP="001279C0">
      <w:pPr>
        <w:spacing w:before="100" w:beforeAutospacing="1" w:after="100" w:afterAutospacing="1" w:line="240" w:lineRule="auto"/>
        <w:jc w:val="both"/>
        <w:rPr>
          <w:rFonts w:ascii="Verdana" w:eastAsia="Times New Roman" w:hAnsi="Verdana" w:cs="Arial"/>
          <w:lang w:eastAsia="es-CO"/>
        </w:rPr>
      </w:pPr>
      <w:r w:rsidRPr="004F2CA0">
        <w:rPr>
          <w:rFonts w:ascii="Verdana" w:eastAsia="Times New Roman" w:hAnsi="Verdana" w:cs="Arial"/>
          <w:lang w:eastAsia="es-CO"/>
        </w:rPr>
        <w:t>La Entidad fomenta la vinculación activa de la ciudadanía y los grupos de valor en la identificación de problemáticas a través de la recolección y análisis de información relevante. Este proceso permite recopilar datos, experiencias, hechos y propuestas que facilitan la caracterización de situaciones que afectan directa o indirectamente a la ciudadanía</w:t>
      </w:r>
      <w:r w:rsidR="00DB45B9">
        <w:rPr>
          <w:rFonts w:ascii="Verdana" w:eastAsia="Times New Roman" w:hAnsi="Verdana" w:cs="Arial"/>
          <w:lang w:eastAsia="es-CO"/>
        </w:rPr>
        <w:t xml:space="preserve"> y proponer posibles soluciones.</w:t>
      </w:r>
    </w:p>
    <w:p w14:paraId="3BFE2BCB" w14:textId="496B073B" w:rsidR="001279C0" w:rsidRPr="004F2CA0" w:rsidRDefault="001279C0" w:rsidP="004F2CA0">
      <w:pPr>
        <w:pStyle w:val="Prrafodelista"/>
        <w:numPr>
          <w:ilvl w:val="0"/>
          <w:numId w:val="32"/>
        </w:numPr>
        <w:spacing w:before="100" w:beforeAutospacing="1" w:after="100" w:afterAutospacing="1"/>
        <w:outlineLvl w:val="3"/>
        <w:rPr>
          <w:rFonts w:ascii="Verdana" w:hAnsi="Verdana" w:cs="Arial"/>
          <w:b/>
          <w:bCs/>
          <w:lang w:eastAsia="es-CO"/>
        </w:rPr>
      </w:pPr>
      <w:r w:rsidRPr="004F2CA0">
        <w:rPr>
          <w:rFonts w:ascii="Verdana" w:hAnsi="Verdana" w:cs="Arial"/>
          <w:b/>
          <w:bCs/>
          <w:lang w:eastAsia="es-CO"/>
        </w:rPr>
        <w:t>Acciones de Evaluación Participativa (Rendición de Cuentas y Control Social)</w:t>
      </w:r>
    </w:p>
    <w:p w14:paraId="20E2D1EE" w14:textId="66EFC914" w:rsidR="001279C0" w:rsidRPr="004F2CA0" w:rsidRDefault="001279C0" w:rsidP="001279C0">
      <w:pPr>
        <w:spacing w:before="100" w:beforeAutospacing="1" w:after="100" w:afterAutospacing="1" w:line="240" w:lineRule="auto"/>
        <w:jc w:val="both"/>
        <w:rPr>
          <w:rFonts w:ascii="Verdana" w:eastAsia="Times New Roman" w:hAnsi="Verdana" w:cs="Arial"/>
          <w:lang w:eastAsia="es-CO"/>
        </w:rPr>
      </w:pPr>
      <w:r w:rsidRPr="00791D10">
        <w:rPr>
          <w:rFonts w:ascii="Verdana" w:eastAsia="Times New Roman" w:hAnsi="Verdana" w:cs="Arial"/>
          <w:lang w:eastAsia="es-CO"/>
        </w:rPr>
        <w:t>La Superintendencia</w:t>
      </w:r>
      <w:r w:rsidR="0092091B" w:rsidRPr="00791D10">
        <w:rPr>
          <w:rFonts w:ascii="Verdana" w:eastAsia="Times New Roman" w:hAnsi="Verdana" w:cs="Arial"/>
          <w:lang w:eastAsia="es-CO"/>
        </w:rPr>
        <w:t xml:space="preserve"> de Sociedades</w:t>
      </w:r>
      <w:r w:rsidRPr="00791D10">
        <w:rPr>
          <w:rFonts w:ascii="Verdana" w:eastAsia="Times New Roman" w:hAnsi="Verdana" w:cs="Arial"/>
          <w:lang w:eastAsia="es-CO"/>
        </w:rPr>
        <w:t xml:space="preserve"> </w:t>
      </w:r>
      <w:r w:rsidR="00DB45B9" w:rsidRPr="00791D10">
        <w:rPr>
          <w:rFonts w:ascii="Verdana" w:eastAsia="Times New Roman" w:hAnsi="Verdana" w:cs="Arial"/>
          <w:lang w:eastAsia="es-CO"/>
        </w:rPr>
        <w:t xml:space="preserve">propicia </w:t>
      </w:r>
      <w:r w:rsidRPr="00791D10">
        <w:rPr>
          <w:rFonts w:ascii="Verdana" w:eastAsia="Times New Roman" w:hAnsi="Verdana" w:cs="Arial"/>
          <w:lang w:eastAsia="es-CO"/>
        </w:rPr>
        <w:t>mecanismos</w:t>
      </w:r>
      <w:r w:rsidRPr="004F2CA0">
        <w:rPr>
          <w:rFonts w:ascii="Verdana" w:eastAsia="Times New Roman" w:hAnsi="Verdana" w:cs="Arial"/>
          <w:lang w:eastAsia="es-CO"/>
        </w:rPr>
        <w:t xml:space="preserve"> permanentes y accesibles para que los ciudadanos puedan hacer seguimiento, evaluación y control a la gestión institucional. Se desarrollarán espacios presenciales y virtuales de rendición de cuentas que permitan a los grupos de interés expresar sus opiniones, formular recomendaciones y ejercer control social de forma efectiva.</w:t>
      </w:r>
    </w:p>
    <w:p w14:paraId="389C605E" w14:textId="11581FAF" w:rsidR="001279C0" w:rsidRPr="004759DE" w:rsidRDefault="0092091B" w:rsidP="001279C0">
      <w:pPr>
        <w:spacing w:before="100" w:beforeAutospacing="1" w:after="100" w:afterAutospacing="1" w:line="240" w:lineRule="auto"/>
        <w:jc w:val="both"/>
        <w:rPr>
          <w:rFonts w:ascii="Verdana" w:eastAsia="Times New Roman" w:hAnsi="Verdana" w:cs="Arial"/>
          <w:lang w:eastAsia="es-CO"/>
        </w:rPr>
      </w:pPr>
      <w:r w:rsidRPr="004F2CA0">
        <w:rPr>
          <w:rFonts w:ascii="Verdana" w:eastAsia="Times New Roman" w:hAnsi="Verdana" w:cs="Arial"/>
          <w:lang w:eastAsia="es-CO"/>
        </w:rPr>
        <w:t>En e</w:t>
      </w:r>
      <w:r w:rsidR="001279C0" w:rsidRPr="004F2CA0">
        <w:rPr>
          <w:rFonts w:ascii="Verdana" w:eastAsia="Times New Roman" w:hAnsi="Verdana" w:cs="Arial"/>
          <w:lang w:eastAsia="es-CO"/>
        </w:rPr>
        <w:t xml:space="preserve">stos espacios </w:t>
      </w:r>
      <w:r w:rsidRPr="004F2CA0">
        <w:rPr>
          <w:rFonts w:ascii="Verdana" w:eastAsia="Times New Roman" w:hAnsi="Verdana" w:cs="Arial"/>
          <w:lang w:eastAsia="es-CO"/>
        </w:rPr>
        <w:t xml:space="preserve">se </w:t>
      </w:r>
      <w:r w:rsidR="001279C0" w:rsidRPr="004F2CA0">
        <w:rPr>
          <w:rFonts w:ascii="Verdana" w:eastAsia="Times New Roman" w:hAnsi="Verdana" w:cs="Arial"/>
          <w:lang w:eastAsia="es-CO"/>
        </w:rPr>
        <w:t>garantiza el uso de lenguaje claro, la inclusión de enfoques diferenciales y la apertura de canales que permitan el acceso equitativo a la información y la participación de poblaciones diversas.</w:t>
      </w:r>
    </w:p>
    <w:p w14:paraId="3F79C3AB" w14:textId="77777777" w:rsidR="0079643B" w:rsidRPr="004759DE" w:rsidRDefault="0079643B" w:rsidP="003E0168">
      <w:pPr>
        <w:spacing w:after="0"/>
        <w:jc w:val="both"/>
        <w:rPr>
          <w:rFonts w:ascii="Verdana" w:hAnsi="Verdana" w:cs="Arial"/>
        </w:rPr>
      </w:pPr>
    </w:p>
    <w:p w14:paraId="218B1174" w14:textId="3E019FD4" w:rsidR="003E0168" w:rsidRPr="004759DE" w:rsidRDefault="009D4994" w:rsidP="007F0F2B">
      <w:pPr>
        <w:pStyle w:val="Ttulo1"/>
        <w:numPr>
          <w:ilvl w:val="1"/>
          <w:numId w:val="1"/>
        </w:numPr>
        <w:rPr>
          <w:szCs w:val="22"/>
        </w:rPr>
      </w:pPr>
      <w:bookmarkStart w:id="10" w:name="_Toc184989056"/>
      <w:bookmarkStart w:id="11" w:name="_Toc212879403"/>
      <w:r w:rsidRPr="004759DE">
        <w:rPr>
          <w:szCs w:val="22"/>
        </w:rPr>
        <w:t>COMPONENTES DE LA POLÍTICA DE PARTICIPACIÓN CIUDADANA</w:t>
      </w:r>
      <w:bookmarkEnd w:id="10"/>
      <w:bookmarkEnd w:id="11"/>
      <w:r w:rsidRPr="004759DE">
        <w:rPr>
          <w:szCs w:val="22"/>
        </w:rPr>
        <w:t xml:space="preserve"> </w:t>
      </w:r>
    </w:p>
    <w:p w14:paraId="6F2947A2" w14:textId="77777777" w:rsidR="003E0168" w:rsidRPr="004759DE" w:rsidRDefault="003E0168" w:rsidP="003E0168">
      <w:pPr>
        <w:spacing w:after="0"/>
        <w:jc w:val="both"/>
        <w:rPr>
          <w:rFonts w:ascii="Verdana" w:hAnsi="Verdana" w:cs="Arial"/>
        </w:rPr>
      </w:pPr>
    </w:p>
    <w:p w14:paraId="1DAE1068" w14:textId="77777777" w:rsidR="003E0168" w:rsidRPr="004759DE" w:rsidRDefault="003E0168" w:rsidP="003E0168">
      <w:pPr>
        <w:spacing w:after="0"/>
        <w:jc w:val="both"/>
        <w:rPr>
          <w:rFonts w:ascii="Verdana" w:hAnsi="Verdana" w:cs="Arial"/>
        </w:rPr>
      </w:pPr>
      <w:r w:rsidRPr="004759DE">
        <w:rPr>
          <w:rFonts w:ascii="Verdana" w:hAnsi="Verdana" w:cs="Arial"/>
        </w:rPr>
        <w:t>De acuerdo con las funciones de la Superintendencia, la participación ciudadana se circunscribe –dejando de lado, por razones de pertinencia funcional, la participación en el poder político– a algunos instrumentos de control social a la gestión pública y a las actividades estructuradas por la Entidad para que los ciudadanos interesados participen en diversos escenarios en los que se promueve una relación ciudadano-Superintendencia, como se detalla a continuación.</w:t>
      </w:r>
    </w:p>
    <w:p w14:paraId="39B837AE" w14:textId="77777777" w:rsidR="003E0168" w:rsidRPr="004759DE" w:rsidRDefault="003E0168" w:rsidP="003E0168">
      <w:pPr>
        <w:spacing w:after="0"/>
        <w:jc w:val="both"/>
        <w:rPr>
          <w:rFonts w:ascii="Verdana" w:hAnsi="Verdana" w:cs="Arial"/>
        </w:rPr>
      </w:pPr>
    </w:p>
    <w:p w14:paraId="6B3CD624" w14:textId="6B20E427" w:rsidR="003E0168" w:rsidRPr="004759DE" w:rsidRDefault="003E0168" w:rsidP="00006704">
      <w:pPr>
        <w:pStyle w:val="Prrafodelista"/>
        <w:numPr>
          <w:ilvl w:val="2"/>
          <w:numId w:val="1"/>
        </w:numPr>
        <w:rPr>
          <w:rFonts w:ascii="Verdana" w:hAnsi="Verdana" w:cs="Arial"/>
          <w:b/>
          <w:bCs/>
          <w:szCs w:val="22"/>
        </w:rPr>
      </w:pPr>
      <w:bookmarkStart w:id="12" w:name="_Toc184989057"/>
      <w:r w:rsidRPr="004759DE">
        <w:rPr>
          <w:rFonts w:ascii="Verdana" w:hAnsi="Verdana" w:cs="Arial"/>
          <w:b/>
          <w:bCs/>
          <w:szCs w:val="22"/>
        </w:rPr>
        <w:t>Herramientas de Control Social a la Gestión Pública</w:t>
      </w:r>
      <w:bookmarkEnd w:id="12"/>
      <w:r w:rsidRPr="004759DE">
        <w:rPr>
          <w:rFonts w:ascii="Verdana" w:hAnsi="Verdana" w:cs="Arial"/>
          <w:b/>
          <w:bCs/>
          <w:szCs w:val="22"/>
        </w:rPr>
        <w:t xml:space="preserve"> </w:t>
      </w:r>
    </w:p>
    <w:p w14:paraId="3A656F25" w14:textId="77777777" w:rsidR="00B735E9" w:rsidRPr="004759DE" w:rsidRDefault="00B735E9" w:rsidP="00B735E9">
      <w:pPr>
        <w:pStyle w:val="Prrafodelista"/>
        <w:ind w:left="720"/>
        <w:rPr>
          <w:rFonts w:ascii="Verdana" w:hAnsi="Verdana" w:cs="Arial"/>
          <w:b/>
          <w:bCs/>
          <w:szCs w:val="22"/>
        </w:rPr>
      </w:pPr>
    </w:p>
    <w:p w14:paraId="6EEE7C49" w14:textId="536FC540" w:rsidR="003E0168" w:rsidRPr="004759DE" w:rsidRDefault="003E0168" w:rsidP="001E4C78">
      <w:pPr>
        <w:spacing w:after="0"/>
        <w:jc w:val="both"/>
        <w:rPr>
          <w:rFonts w:ascii="Verdana" w:hAnsi="Verdana" w:cs="Arial"/>
        </w:rPr>
      </w:pPr>
      <w:r w:rsidRPr="004759DE">
        <w:rPr>
          <w:rFonts w:ascii="Verdana" w:hAnsi="Verdana" w:cs="Arial"/>
        </w:rPr>
        <w:t xml:space="preserve">Teniendo en cuenta que las herramientas de control social a la Gestión Pública, se consideran mecanismos a través de los cuales el ciudadano puede acceder a la Entidad: </w:t>
      </w:r>
    </w:p>
    <w:p w14:paraId="01EF1187" w14:textId="77777777" w:rsidR="006D50B0" w:rsidRPr="004759DE" w:rsidRDefault="006D50B0" w:rsidP="001E4C78">
      <w:pPr>
        <w:spacing w:after="0"/>
        <w:jc w:val="both"/>
        <w:rPr>
          <w:rFonts w:ascii="Verdana" w:hAnsi="Verdana" w:cs="Arial"/>
        </w:rPr>
      </w:pPr>
    </w:p>
    <w:p w14:paraId="50D7EE58" w14:textId="4BF80BA8" w:rsidR="003E0168" w:rsidRPr="004759DE" w:rsidRDefault="003E0168">
      <w:pPr>
        <w:pStyle w:val="Prrafodelista"/>
        <w:numPr>
          <w:ilvl w:val="0"/>
          <w:numId w:val="7"/>
        </w:numPr>
        <w:rPr>
          <w:rFonts w:ascii="Verdana" w:hAnsi="Verdana" w:cs="Arial"/>
          <w:szCs w:val="22"/>
        </w:rPr>
      </w:pPr>
      <w:r w:rsidRPr="004759DE">
        <w:rPr>
          <w:rFonts w:ascii="Verdana" w:hAnsi="Verdana" w:cs="Arial"/>
          <w:szCs w:val="22"/>
        </w:rPr>
        <w:t xml:space="preserve">Solicitudes de información.  </w:t>
      </w:r>
    </w:p>
    <w:p w14:paraId="06DF87C1" w14:textId="5E7F4A37" w:rsidR="003E0168" w:rsidRPr="004759DE" w:rsidRDefault="003E0168" w:rsidP="009D4994">
      <w:pPr>
        <w:pStyle w:val="Prrafodelista"/>
        <w:numPr>
          <w:ilvl w:val="0"/>
          <w:numId w:val="7"/>
        </w:numPr>
        <w:rPr>
          <w:rFonts w:ascii="Verdana" w:hAnsi="Verdana" w:cs="Arial"/>
          <w:szCs w:val="22"/>
        </w:rPr>
      </w:pPr>
      <w:r w:rsidRPr="004759DE">
        <w:rPr>
          <w:rFonts w:ascii="Verdana" w:hAnsi="Verdana" w:cs="Arial"/>
          <w:szCs w:val="22"/>
        </w:rPr>
        <w:t xml:space="preserve">Espacios de Rendición de Cuentas. </w:t>
      </w:r>
    </w:p>
    <w:p w14:paraId="4C4491D0" w14:textId="77777777" w:rsidR="003E0168" w:rsidRPr="004759DE" w:rsidRDefault="003E0168" w:rsidP="003E0168">
      <w:pPr>
        <w:spacing w:after="0"/>
        <w:jc w:val="both"/>
        <w:rPr>
          <w:rFonts w:ascii="Verdana" w:hAnsi="Verdana" w:cs="Arial"/>
        </w:rPr>
      </w:pPr>
    </w:p>
    <w:p w14:paraId="7D9AA822" w14:textId="0E7C0419" w:rsidR="003E0168" w:rsidRPr="004759DE" w:rsidRDefault="003E0168" w:rsidP="00946B38">
      <w:pPr>
        <w:pStyle w:val="Prrafodelista"/>
        <w:numPr>
          <w:ilvl w:val="0"/>
          <w:numId w:val="11"/>
        </w:numPr>
        <w:rPr>
          <w:rFonts w:ascii="Verdana" w:hAnsi="Verdana" w:cs="Arial"/>
          <w:b/>
          <w:bCs/>
          <w:szCs w:val="22"/>
        </w:rPr>
      </w:pPr>
      <w:r w:rsidRPr="004759DE">
        <w:rPr>
          <w:rFonts w:ascii="Verdana" w:hAnsi="Verdana" w:cs="Arial"/>
          <w:b/>
          <w:bCs/>
          <w:szCs w:val="22"/>
        </w:rPr>
        <w:lastRenderedPageBreak/>
        <w:t xml:space="preserve">Solicitudes de información – Derecho de petición </w:t>
      </w:r>
    </w:p>
    <w:p w14:paraId="35FD1AA0" w14:textId="77777777" w:rsidR="00B735E9" w:rsidRPr="004759DE" w:rsidRDefault="00B735E9" w:rsidP="00B735E9">
      <w:pPr>
        <w:pStyle w:val="Prrafodelista"/>
        <w:ind w:left="720"/>
        <w:rPr>
          <w:rFonts w:ascii="Verdana" w:hAnsi="Verdana" w:cs="Arial"/>
          <w:b/>
          <w:bCs/>
          <w:szCs w:val="22"/>
        </w:rPr>
      </w:pPr>
    </w:p>
    <w:p w14:paraId="442AFFCD" w14:textId="187D22AB" w:rsidR="003E0168" w:rsidRPr="004759DE" w:rsidRDefault="003E0168" w:rsidP="001E4C78">
      <w:pPr>
        <w:spacing w:after="0"/>
        <w:jc w:val="both"/>
        <w:rPr>
          <w:rFonts w:ascii="Verdana" w:hAnsi="Verdana" w:cs="Arial"/>
        </w:rPr>
      </w:pPr>
      <w:r w:rsidRPr="004759DE">
        <w:rPr>
          <w:rFonts w:ascii="Verdana" w:hAnsi="Verdana" w:cs="Arial"/>
        </w:rPr>
        <w:t xml:space="preserve">Derecho que tiene toda persona a presentar peticiones respetuosas a las autoridades, en los términos señalados por la ley, por motivos de interés general o particular, y a obtener pronta resolución completa y de fondo sobre la misma. Toda petición deberá resolverse dentro de los quince días siguientes a su recepción. Las peticiones de documentos y de información deberán resolverse dentro de los diez días siguientes a su recepción. Las peticiones mediante las cuales, se eleva una consulta a las autoridades en relación con las materias a su cargo, deberán resolverse dentro de los treinta (30) días siguientes a su recepción. </w:t>
      </w:r>
    </w:p>
    <w:p w14:paraId="13A7BA90" w14:textId="24ACE1E2" w:rsidR="00D521F9" w:rsidRPr="004759DE" w:rsidRDefault="00D521F9" w:rsidP="001E4C78">
      <w:pPr>
        <w:spacing w:after="0"/>
        <w:jc w:val="both"/>
        <w:rPr>
          <w:rFonts w:ascii="Verdana" w:hAnsi="Verdana" w:cs="Arial"/>
        </w:rPr>
      </w:pPr>
    </w:p>
    <w:p w14:paraId="14B79F44" w14:textId="6121AF73" w:rsidR="008E11E8" w:rsidRPr="00791D10" w:rsidRDefault="00D521F9" w:rsidP="00791D10">
      <w:pPr>
        <w:autoSpaceDE w:val="0"/>
        <w:autoSpaceDN w:val="0"/>
        <w:adjustRightInd w:val="0"/>
        <w:spacing w:line="288" w:lineRule="auto"/>
        <w:jc w:val="both"/>
        <w:rPr>
          <w:rFonts w:ascii="Verdana" w:hAnsi="Verdana" w:cs="Arial"/>
          <w:b/>
          <w:bCs/>
          <w:color w:val="000000"/>
          <w:sz w:val="36"/>
          <w:szCs w:val="28"/>
          <w:lang w:val="es-MX"/>
        </w:rPr>
      </w:pPr>
      <w:r w:rsidRPr="004759DE">
        <w:rPr>
          <w:rFonts w:ascii="Verdana" w:hAnsi="Verdana" w:cs="Arial"/>
        </w:rPr>
        <w:t xml:space="preserve">La Superintendencia de Sociedades cuenta con el </w:t>
      </w:r>
      <w:r w:rsidR="0095177B">
        <w:rPr>
          <w:rFonts w:ascii="Verdana" w:hAnsi="Verdana" w:cs="Arial"/>
        </w:rPr>
        <w:t xml:space="preserve">procedimiento </w:t>
      </w:r>
      <w:r w:rsidR="0095177B" w:rsidRPr="00791D10">
        <w:rPr>
          <w:rFonts w:ascii="Verdana" w:hAnsi="Verdana" w:cs="Arial"/>
        </w:rPr>
        <w:t>de</w:t>
      </w:r>
      <w:r w:rsidR="00791D10" w:rsidRPr="00791D10">
        <w:rPr>
          <w:rFonts w:ascii="Verdana" w:hAnsi="Verdana" w:cs="Arial"/>
          <w:color w:val="000000" w:themeColor="text1"/>
          <w:lang w:val="es-MX"/>
        </w:rPr>
        <w:t xml:space="preserve"> </w:t>
      </w:r>
      <w:r w:rsidR="0095177B" w:rsidRPr="00791D10">
        <w:rPr>
          <w:rFonts w:ascii="Verdana" w:hAnsi="Verdana" w:cs="Arial"/>
          <w:color w:val="000000" w:themeColor="text1"/>
          <w:lang w:val="es-MX"/>
        </w:rPr>
        <w:t xml:space="preserve">quejas, reclamos, sugerencias, denuncias por corrupción y </w:t>
      </w:r>
      <w:r w:rsidR="001B5335" w:rsidRPr="00791D10">
        <w:rPr>
          <w:rFonts w:ascii="Verdana" w:hAnsi="Verdana" w:cs="Arial"/>
          <w:color w:val="000000" w:themeColor="text1"/>
          <w:lang w:val="es-MX"/>
        </w:rPr>
        <w:t>PQRS</w:t>
      </w:r>
      <w:r w:rsidR="0095177B" w:rsidRPr="00791D10">
        <w:rPr>
          <w:rFonts w:ascii="Verdana" w:hAnsi="Verdana" w:cs="Arial"/>
          <w:color w:val="000000" w:themeColor="text1"/>
          <w:lang w:val="es-MX"/>
        </w:rPr>
        <w:t xml:space="preserve"> contratación</w:t>
      </w:r>
      <w:r w:rsidR="001B5335" w:rsidRPr="00791D10">
        <w:rPr>
          <w:rFonts w:ascii="Verdana" w:hAnsi="Verdana" w:cs="Arial"/>
          <w:color w:val="000000" w:themeColor="text1"/>
          <w:lang w:val="es-MX"/>
        </w:rPr>
        <w:t xml:space="preserve"> (</w:t>
      </w:r>
      <w:r w:rsidR="001B5335" w:rsidRPr="00791D10">
        <w:rPr>
          <w:rFonts w:ascii="Verdana" w:hAnsi="Verdana" w:cs="Arial"/>
        </w:rPr>
        <w:t>ATC-PR-003)</w:t>
      </w:r>
      <w:r w:rsidR="00791D10">
        <w:rPr>
          <w:rFonts w:ascii="Verdana" w:hAnsi="Verdana" w:cs="Arial"/>
        </w:rPr>
        <w:t xml:space="preserve"> </w:t>
      </w:r>
      <w:r w:rsidR="00526F06" w:rsidRPr="00791D10">
        <w:rPr>
          <w:rFonts w:ascii="Verdana" w:hAnsi="Verdana" w:cs="Arial"/>
        </w:rPr>
        <w:t xml:space="preserve">que establece el </w:t>
      </w:r>
      <w:r w:rsidR="00791D10">
        <w:rPr>
          <w:rFonts w:ascii="Verdana" w:hAnsi="Verdana" w:cs="Arial"/>
        </w:rPr>
        <w:t xml:space="preserve">método </w:t>
      </w:r>
      <w:r w:rsidR="00791D10" w:rsidRPr="00791D10">
        <w:rPr>
          <w:rFonts w:ascii="Verdana" w:hAnsi="Verdana" w:cs="Arial"/>
        </w:rPr>
        <w:t>para</w:t>
      </w:r>
      <w:r w:rsidR="00526F06" w:rsidRPr="00791D10">
        <w:rPr>
          <w:rFonts w:ascii="Verdana" w:hAnsi="Verdana" w:cs="Arial"/>
        </w:rPr>
        <w:t xml:space="preserve"> </w:t>
      </w:r>
      <w:r w:rsidR="008E11E8" w:rsidRPr="00791D10">
        <w:rPr>
          <w:rFonts w:ascii="Verdana" w:hAnsi="Verdana" w:cs="Arial"/>
        </w:rPr>
        <w:t xml:space="preserve">la identificación de las quejas, reclamos, sugerencias, denuncias por corrupción y PQRS contratación, realizados por los grupos de interés y las acciones a seguir para el tratamiento de </w:t>
      </w:r>
      <w:proofErr w:type="gramStart"/>
      <w:r w:rsidR="008E11E8" w:rsidRPr="00791D10">
        <w:rPr>
          <w:rFonts w:ascii="Verdana" w:hAnsi="Verdana" w:cs="Arial"/>
        </w:rPr>
        <w:t>los mismos</w:t>
      </w:r>
      <w:proofErr w:type="gramEnd"/>
      <w:r w:rsidR="008E11E8" w:rsidRPr="00791D10">
        <w:rPr>
          <w:rFonts w:ascii="Verdana" w:hAnsi="Verdana" w:cs="Arial"/>
        </w:rPr>
        <w:t>, buscando la mejora permanente y la satisfacción del usuario.</w:t>
      </w:r>
    </w:p>
    <w:p w14:paraId="06421326" w14:textId="77777777" w:rsidR="003E0168" w:rsidRPr="004759DE" w:rsidRDefault="003E0168" w:rsidP="003E0168">
      <w:pPr>
        <w:spacing w:after="0"/>
        <w:jc w:val="both"/>
        <w:rPr>
          <w:rFonts w:ascii="Verdana" w:hAnsi="Verdana" w:cs="Arial"/>
        </w:rPr>
      </w:pPr>
    </w:p>
    <w:p w14:paraId="0C66E3EA" w14:textId="77777777" w:rsidR="003E0168" w:rsidRPr="004759DE" w:rsidRDefault="003E0168" w:rsidP="004C0F3A">
      <w:pPr>
        <w:pStyle w:val="Prrafodelista"/>
        <w:numPr>
          <w:ilvl w:val="0"/>
          <w:numId w:val="11"/>
        </w:numPr>
        <w:rPr>
          <w:rFonts w:ascii="Verdana" w:hAnsi="Verdana" w:cs="Arial"/>
          <w:b/>
          <w:bCs/>
          <w:szCs w:val="22"/>
        </w:rPr>
      </w:pPr>
      <w:r w:rsidRPr="004759DE">
        <w:rPr>
          <w:rFonts w:ascii="Verdana" w:hAnsi="Verdana" w:cs="Arial"/>
          <w:b/>
          <w:bCs/>
          <w:szCs w:val="22"/>
        </w:rPr>
        <w:t>Peticiones, Quejas, Reclamos, Sugerencias, Denuncias y Felicitaciones</w:t>
      </w:r>
    </w:p>
    <w:p w14:paraId="62424C91" w14:textId="77777777" w:rsidR="003E0168" w:rsidRPr="004759DE" w:rsidRDefault="003E0168" w:rsidP="003E0168">
      <w:pPr>
        <w:spacing w:after="0"/>
        <w:jc w:val="both"/>
        <w:rPr>
          <w:rFonts w:ascii="Verdana" w:hAnsi="Verdana" w:cs="Arial"/>
        </w:rPr>
      </w:pPr>
    </w:p>
    <w:p w14:paraId="2480383C" w14:textId="77777777" w:rsidR="003E0168" w:rsidRPr="004759DE" w:rsidRDefault="003E0168" w:rsidP="003E0168">
      <w:pPr>
        <w:spacing w:after="0"/>
        <w:jc w:val="both"/>
        <w:rPr>
          <w:rFonts w:ascii="Verdana" w:hAnsi="Verdana" w:cs="Arial"/>
        </w:rPr>
      </w:pPr>
      <w:r w:rsidRPr="004759DE">
        <w:rPr>
          <w:rFonts w:ascii="Verdana" w:hAnsi="Verdana" w:cs="Arial"/>
        </w:rPr>
        <w:t xml:space="preserve">El Sistema de PQRSDF es una herramienta que permite conocer las inquietudes y manifestaciones que tienen los grupos de interés para que tengan la oportunidad de fortalecer el servicio y avanzar en la mejora continua institucional, lo anterior en cumplimiento a lo señalado en la Ley 1755 de 2015. </w:t>
      </w:r>
    </w:p>
    <w:p w14:paraId="65FA1C4D" w14:textId="77777777" w:rsidR="003E0168" w:rsidRPr="004759DE" w:rsidRDefault="003E0168" w:rsidP="003E0168">
      <w:pPr>
        <w:spacing w:after="0"/>
        <w:jc w:val="both"/>
        <w:rPr>
          <w:rFonts w:ascii="Verdana" w:hAnsi="Verdana" w:cs="Arial"/>
        </w:rPr>
      </w:pPr>
    </w:p>
    <w:p w14:paraId="471CB341" w14:textId="59AA360E" w:rsidR="003E0168" w:rsidRPr="004759DE" w:rsidRDefault="003E0168" w:rsidP="003E0168">
      <w:pPr>
        <w:spacing w:after="0"/>
        <w:jc w:val="both"/>
        <w:rPr>
          <w:rFonts w:ascii="Verdana" w:hAnsi="Verdana" w:cs="Arial"/>
        </w:rPr>
      </w:pPr>
      <w:r w:rsidRPr="004759DE">
        <w:rPr>
          <w:rFonts w:ascii="Verdana" w:hAnsi="Verdana" w:cs="Arial"/>
        </w:rPr>
        <w:t xml:space="preserve">La Superintendencia de Sociedades, tanto en ejercicio de sus funciones administrativas como jurisdiccionales, en virtud de las cuales tiene a su cargo trámites </w:t>
      </w:r>
      <w:r w:rsidR="00EC7090">
        <w:rPr>
          <w:rFonts w:ascii="Verdana" w:hAnsi="Verdana" w:cs="Arial"/>
        </w:rPr>
        <w:t xml:space="preserve">y procedimientos </w:t>
      </w:r>
      <w:r w:rsidRPr="004759DE">
        <w:rPr>
          <w:rFonts w:ascii="Verdana" w:hAnsi="Verdana" w:cs="Arial"/>
        </w:rPr>
        <w:t xml:space="preserve">administrativos </w:t>
      </w:r>
      <w:r w:rsidR="00EC7090">
        <w:rPr>
          <w:rFonts w:ascii="Verdana" w:hAnsi="Verdana" w:cs="Arial"/>
        </w:rPr>
        <w:t xml:space="preserve">– OAP, </w:t>
      </w:r>
      <w:r w:rsidR="00183081">
        <w:rPr>
          <w:rFonts w:ascii="Verdana" w:hAnsi="Verdana" w:cs="Arial"/>
        </w:rPr>
        <w:t>y</w:t>
      </w:r>
      <w:r w:rsidRPr="004759DE">
        <w:rPr>
          <w:rFonts w:ascii="Verdana" w:hAnsi="Verdana" w:cs="Arial"/>
        </w:rPr>
        <w:t xml:space="preserve"> actúa como juez de la República en procesos mercantiles, de insolvencia, de intervención y especiales, está en contacto constante con sus grupos de interés.</w:t>
      </w:r>
    </w:p>
    <w:p w14:paraId="33159310" w14:textId="77777777" w:rsidR="003E0168" w:rsidRPr="004759DE" w:rsidRDefault="003E0168" w:rsidP="003E0168">
      <w:pPr>
        <w:spacing w:after="0"/>
        <w:jc w:val="both"/>
        <w:rPr>
          <w:rFonts w:ascii="Verdana" w:hAnsi="Verdana" w:cs="Arial"/>
        </w:rPr>
      </w:pPr>
    </w:p>
    <w:p w14:paraId="5DB7AD78" w14:textId="77777777" w:rsidR="003E0168" w:rsidRPr="004759DE" w:rsidRDefault="003E0168" w:rsidP="003E0168">
      <w:pPr>
        <w:spacing w:after="0"/>
        <w:jc w:val="both"/>
        <w:rPr>
          <w:rFonts w:ascii="Verdana" w:hAnsi="Verdana" w:cs="Arial"/>
        </w:rPr>
      </w:pPr>
      <w:r w:rsidRPr="004759DE">
        <w:rPr>
          <w:rFonts w:ascii="Verdana" w:hAnsi="Verdana" w:cs="Arial"/>
        </w:rPr>
        <w:t xml:space="preserve">Para facilitar la prestación del servicio público y satisfacer de la mejor manera posible las necesidades de los usuarios, la Entidad ha definido un Modelo Multicanal de Atención al Ciudadano (MMAC) que, además de ser una solución integral que organiza a la Superintendencia para atender los requerimientos de los ciudadanos de manera mucho más eficaz y eficiente, propicia la comunicación, en una dinámica de doble vía, entre las personas que conforman los grupos de interés y la Entidad, de una forma que abarca sistémicamente por lo menos cuatro canales de atención: virtual, telefónico, presencial y correspondencia. </w:t>
      </w:r>
    </w:p>
    <w:p w14:paraId="6A86BA92" w14:textId="77777777" w:rsidR="003E0168" w:rsidRPr="004759DE" w:rsidRDefault="003E0168" w:rsidP="003E0168">
      <w:pPr>
        <w:spacing w:after="0"/>
        <w:jc w:val="both"/>
        <w:rPr>
          <w:rFonts w:ascii="Verdana" w:hAnsi="Verdana" w:cs="Arial"/>
        </w:rPr>
      </w:pPr>
    </w:p>
    <w:p w14:paraId="4DB0550B" w14:textId="77777777" w:rsidR="003E0168" w:rsidRPr="004759DE" w:rsidRDefault="003E0168" w:rsidP="003E0168">
      <w:pPr>
        <w:spacing w:after="0"/>
        <w:jc w:val="both"/>
        <w:rPr>
          <w:rFonts w:ascii="Verdana" w:hAnsi="Verdana" w:cs="Arial"/>
        </w:rPr>
      </w:pPr>
      <w:r w:rsidRPr="004759DE">
        <w:rPr>
          <w:rFonts w:ascii="Verdana" w:hAnsi="Verdana" w:cs="Arial"/>
        </w:rPr>
        <w:lastRenderedPageBreak/>
        <w:t xml:space="preserve">En el marco del MMAC se ha </w:t>
      </w:r>
      <w:r w:rsidRPr="000052E2">
        <w:rPr>
          <w:rFonts w:ascii="Verdana" w:hAnsi="Verdana" w:cs="Arial"/>
        </w:rPr>
        <w:t>desarrollado un procedimiento denominado ATC-PR-003 “Atención quejas, reclamos, sugerencias, denuncias por corrupción y PQRS contratación” que incluye un sistema robusto y amigable para recibir y resolver las peticiones, quejas, reclamos, sugerencias</w:t>
      </w:r>
      <w:r w:rsidRPr="004759DE">
        <w:rPr>
          <w:rFonts w:ascii="Verdana" w:hAnsi="Verdana" w:cs="Arial"/>
        </w:rPr>
        <w:t xml:space="preserve"> y denuncias (PQRSD) que los ciudadanos presentan a través de los diferentes canales. Este conjunto de manifestaciones que tiene a su disposición la ciudadanía, para solicitar información o expresar cualquier inconformidad o satisfacción con el servicio, ha sido una herramienta útil para que los grupos de interés ejerzan control sobre la gestión de la Superintendencia de Sociedades, institución que ha aprovechado la solución integral para mejorar la prestación del servicio.</w:t>
      </w:r>
    </w:p>
    <w:p w14:paraId="32DD1C9E" w14:textId="77777777" w:rsidR="003E0168" w:rsidRPr="004759DE" w:rsidRDefault="003E0168" w:rsidP="003E0168">
      <w:pPr>
        <w:spacing w:after="0"/>
        <w:jc w:val="both"/>
        <w:rPr>
          <w:rFonts w:ascii="Verdana" w:hAnsi="Verdana" w:cs="Arial"/>
        </w:rPr>
      </w:pPr>
    </w:p>
    <w:p w14:paraId="679FAA18" w14:textId="77777777" w:rsidR="003E0168" w:rsidRPr="004759DE" w:rsidRDefault="003E0168" w:rsidP="004C0F3A">
      <w:pPr>
        <w:pStyle w:val="Prrafodelista"/>
        <w:numPr>
          <w:ilvl w:val="0"/>
          <w:numId w:val="11"/>
        </w:numPr>
        <w:rPr>
          <w:rFonts w:ascii="Verdana" w:hAnsi="Verdana"/>
          <w:szCs w:val="22"/>
        </w:rPr>
      </w:pPr>
      <w:r w:rsidRPr="004759DE">
        <w:rPr>
          <w:rFonts w:ascii="Verdana" w:hAnsi="Verdana" w:cs="Arial"/>
          <w:b/>
          <w:bCs/>
          <w:szCs w:val="22"/>
        </w:rPr>
        <w:t xml:space="preserve">Espacios de Rendición de Cuentas </w:t>
      </w:r>
    </w:p>
    <w:p w14:paraId="734D581C" w14:textId="77777777" w:rsidR="003E0168" w:rsidRPr="004759DE" w:rsidRDefault="003E0168" w:rsidP="003E0168">
      <w:pPr>
        <w:spacing w:after="0"/>
        <w:jc w:val="both"/>
        <w:rPr>
          <w:rFonts w:ascii="Verdana" w:hAnsi="Verdana" w:cs="Arial"/>
        </w:rPr>
      </w:pPr>
    </w:p>
    <w:p w14:paraId="793A1637" w14:textId="1CC07477" w:rsidR="003E0168" w:rsidRPr="004759DE" w:rsidRDefault="003E0168" w:rsidP="003E0168">
      <w:pPr>
        <w:spacing w:after="0"/>
        <w:jc w:val="both"/>
        <w:rPr>
          <w:rFonts w:ascii="Verdana" w:hAnsi="Verdana" w:cs="Arial"/>
        </w:rPr>
      </w:pPr>
      <w:r w:rsidRPr="004759DE">
        <w:rPr>
          <w:rFonts w:ascii="Verdana" w:hAnsi="Verdana" w:cs="Arial"/>
        </w:rPr>
        <w:t xml:space="preserve">La Rendición de Cuentas facilita la transparencia, fortalece la gestión y disponibilidad de información, mejora los controles sobre el desempeño, promueve la responsabilidad, facilita la petición de cuentas y mejora la gestión de la administración pública. En la Superintendencia de Sociedades se desarrolla anualmente de acuerdo con los lineamientos y componentes establecidos en el </w:t>
      </w:r>
      <w:r w:rsidRPr="00240673">
        <w:rPr>
          <w:rFonts w:ascii="Verdana" w:hAnsi="Verdana" w:cs="Arial"/>
        </w:rPr>
        <w:t>documento</w:t>
      </w:r>
      <w:r w:rsidR="00240673">
        <w:rPr>
          <w:rFonts w:ascii="Verdana" w:hAnsi="Verdana" w:cs="Arial"/>
        </w:rPr>
        <w:t xml:space="preserve"> Estrategia de Participación Ciudadana anual</w:t>
      </w:r>
      <w:r w:rsidRPr="004759DE">
        <w:rPr>
          <w:rFonts w:ascii="Verdana" w:hAnsi="Verdana" w:cs="Arial"/>
        </w:rPr>
        <w:t xml:space="preserve">. Esto con fin de que la ciudadanía participe y a la vez ejerza control, dicho procedimiento fue estructurado y dinamizado de acuerdo con lo señalado en la Ley 489 de 1998, la Ley 1474 de 2011 y el documento CONPES 3654 de 2010. </w:t>
      </w:r>
    </w:p>
    <w:p w14:paraId="4473397C" w14:textId="77777777" w:rsidR="003E0168" w:rsidRPr="004759DE" w:rsidRDefault="003E0168" w:rsidP="003E0168">
      <w:pPr>
        <w:spacing w:after="0"/>
        <w:jc w:val="both"/>
        <w:rPr>
          <w:rFonts w:ascii="Verdana" w:hAnsi="Verdana" w:cs="Arial"/>
        </w:rPr>
      </w:pPr>
    </w:p>
    <w:p w14:paraId="13712D7B" w14:textId="77777777" w:rsidR="003E0168" w:rsidRPr="004759DE" w:rsidRDefault="003E0168" w:rsidP="003E0168">
      <w:pPr>
        <w:spacing w:after="0"/>
        <w:jc w:val="both"/>
        <w:rPr>
          <w:rFonts w:ascii="Verdana" w:hAnsi="Verdana" w:cs="Arial"/>
        </w:rPr>
      </w:pPr>
      <w:r w:rsidRPr="004759DE">
        <w:rPr>
          <w:rFonts w:ascii="Verdana" w:hAnsi="Verdana" w:cs="Arial"/>
        </w:rPr>
        <w:t xml:space="preserve"> </w:t>
      </w:r>
    </w:p>
    <w:p w14:paraId="77EA7C94" w14:textId="5D74BAC1" w:rsidR="003E0168" w:rsidRPr="004759DE" w:rsidRDefault="003E0168" w:rsidP="002F4BC5">
      <w:pPr>
        <w:pStyle w:val="Prrafodelista"/>
        <w:numPr>
          <w:ilvl w:val="2"/>
          <w:numId w:val="1"/>
        </w:numPr>
        <w:rPr>
          <w:rFonts w:ascii="Verdana" w:hAnsi="Verdana" w:cs="Arial"/>
          <w:b/>
          <w:bCs/>
          <w:szCs w:val="22"/>
        </w:rPr>
      </w:pPr>
      <w:bookmarkStart w:id="13" w:name="_Toc184989058"/>
      <w:r w:rsidRPr="004759DE">
        <w:rPr>
          <w:rFonts w:ascii="Verdana" w:hAnsi="Verdana" w:cs="Arial"/>
          <w:b/>
          <w:bCs/>
          <w:szCs w:val="22"/>
        </w:rPr>
        <w:t>Espacios de interacción directa con la ciudadanía</w:t>
      </w:r>
      <w:bookmarkEnd w:id="13"/>
      <w:r w:rsidRPr="004759DE">
        <w:rPr>
          <w:rFonts w:ascii="Verdana" w:hAnsi="Verdana" w:cs="Arial"/>
          <w:b/>
          <w:bCs/>
          <w:szCs w:val="22"/>
        </w:rPr>
        <w:t xml:space="preserve"> </w:t>
      </w:r>
    </w:p>
    <w:p w14:paraId="79BA431B" w14:textId="77777777" w:rsidR="003E0168" w:rsidRPr="004759DE" w:rsidRDefault="003E0168" w:rsidP="003E0168">
      <w:pPr>
        <w:spacing w:after="0"/>
        <w:jc w:val="both"/>
        <w:rPr>
          <w:rFonts w:ascii="Verdana" w:hAnsi="Verdana" w:cs="Arial"/>
        </w:rPr>
      </w:pPr>
    </w:p>
    <w:p w14:paraId="79AD610F" w14:textId="77777777" w:rsidR="003E0168" w:rsidRPr="004759DE" w:rsidRDefault="003E0168" w:rsidP="003E0168">
      <w:pPr>
        <w:spacing w:after="0"/>
        <w:jc w:val="both"/>
        <w:rPr>
          <w:rFonts w:ascii="Verdana" w:hAnsi="Verdana" w:cs="Arial"/>
        </w:rPr>
      </w:pPr>
      <w:r w:rsidRPr="004759DE">
        <w:rPr>
          <w:rFonts w:ascii="Verdana" w:hAnsi="Verdana" w:cs="Arial"/>
        </w:rPr>
        <w:t xml:space="preserve">Dentro de estos espacios encontramos los siguientes: </w:t>
      </w:r>
    </w:p>
    <w:p w14:paraId="0B717F34" w14:textId="77777777" w:rsidR="003E0168" w:rsidRPr="004759DE" w:rsidRDefault="003E0168" w:rsidP="003E0168">
      <w:pPr>
        <w:spacing w:after="0"/>
        <w:jc w:val="both"/>
        <w:rPr>
          <w:rFonts w:ascii="Verdana" w:hAnsi="Verdana" w:cs="Arial"/>
        </w:rPr>
      </w:pPr>
    </w:p>
    <w:p w14:paraId="1C29A005" w14:textId="1C1E4B8D" w:rsidR="003E0168" w:rsidRPr="004759DE" w:rsidRDefault="003E0168" w:rsidP="009D4994">
      <w:pPr>
        <w:pStyle w:val="Prrafodelista"/>
        <w:numPr>
          <w:ilvl w:val="0"/>
          <w:numId w:val="7"/>
        </w:numPr>
        <w:rPr>
          <w:rFonts w:ascii="Verdana" w:hAnsi="Verdana" w:cs="Arial"/>
          <w:b/>
          <w:bCs/>
          <w:szCs w:val="22"/>
        </w:rPr>
      </w:pPr>
      <w:r w:rsidRPr="004759DE">
        <w:rPr>
          <w:rFonts w:ascii="Verdana" w:hAnsi="Verdana" w:cs="Arial"/>
          <w:b/>
          <w:bCs/>
          <w:szCs w:val="22"/>
        </w:rPr>
        <w:t xml:space="preserve">Foros Interactivos y salas de chat temáticos </w:t>
      </w:r>
    </w:p>
    <w:p w14:paraId="03ECA727" w14:textId="77777777" w:rsidR="003E0168" w:rsidRPr="004759DE" w:rsidRDefault="003E0168" w:rsidP="003E0168">
      <w:pPr>
        <w:spacing w:after="0"/>
        <w:jc w:val="both"/>
        <w:rPr>
          <w:rFonts w:ascii="Verdana" w:hAnsi="Verdana" w:cs="Arial"/>
        </w:rPr>
      </w:pPr>
    </w:p>
    <w:p w14:paraId="28D533A6" w14:textId="0D0E40FD" w:rsidR="003E0168" w:rsidRPr="004759DE" w:rsidRDefault="003E0168" w:rsidP="003E0168">
      <w:pPr>
        <w:spacing w:after="0"/>
        <w:jc w:val="both"/>
        <w:rPr>
          <w:rFonts w:ascii="Verdana" w:hAnsi="Verdana" w:cs="Arial"/>
        </w:rPr>
      </w:pPr>
      <w:r w:rsidRPr="004759DE">
        <w:rPr>
          <w:rFonts w:ascii="Verdana" w:hAnsi="Verdana" w:cs="Arial"/>
        </w:rPr>
        <w:t xml:space="preserve">Apoyada en las tecnologías de la información y las comunicaciones, la Superintendencia de Sociedades </w:t>
      </w:r>
      <w:r w:rsidR="00C05C30">
        <w:rPr>
          <w:rFonts w:ascii="Verdana" w:hAnsi="Verdana" w:cs="Arial"/>
        </w:rPr>
        <w:t>Estrategia</w:t>
      </w:r>
      <w:r w:rsidRPr="004759DE">
        <w:rPr>
          <w:rFonts w:ascii="Verdana" w:hAnsi="Verdana" w:cs="Arial"/>
        </w:rPr>
        <w:t xml:space="preserve"> una serie de sesiones virtuales para establecer comunicación con los grupos de interés sobre temas de competencia de la Entidad, a través del chat institucional. </w:t>
      </w:r>
    </w:p>
    <w:p w14:paraId="162B2ECA" w14:textId="77777777" w:rsidR="003E0168" w:rsidRPr="004759DE" w:rsidRDefault="003E0168" w:rsidP="003E0168">
      <w:pPr>
        <w:spacing w:after="0"/>
        <w:jc w:val="both"/>
        <w:rPr>
          <w:rFonts w:ascii="Verdana" w:hAnsi="Verdana" w:cs="Arial"/>
        </w:rPr>
      </w:pPr>
    </w:p>
    <w:p w14:paraId="11AEB9CD" w14:textId="77777777" w:rsidR="003E0168" w:rsidRPr="004759DE" w:rsidRDefault="003E0168" w:rsidP="003E0168">
      <w:pPr>
        <w:spacing w:after="0"/>
        <w:jc w:val="both"/>
        <w:rPr>
          <w:rFonts w:ascii="Verdana" w:hAnsi="Verdana" w:cs="Arial"/>
        </w:rPr>
      </w:pPr>
      <w:r w:rsidRPr="004759DE">
        <w:rPr>
          <w:rFonts w:ascii="Verdana" w:hAnsi="Verdana" w:cs="Arial"/>
        </w:rPr>
        <w:t xml:space="preserve">Así, se aprovecha el conocimiento de los funcionarios y agentes de servicio, que todos los días están trabajando temas especializados sobre sociedades como: normas internacionales de información financiera, insolvencia, régimen cambiario, captación ilegal, garantías mobiliarias, entre otros, para ofrecerlo a los ciudadanos interesados, construyendo así un escenario en el que se pueden intercambiar puntos de vista y </w:t>
      </w:r>
      <w:r w:rsidRPr="004759DE">
        <w:rPr>
          <w:rFonts w:ascii="Verdana" w:hAnsi="Verdana" w:cs="Arial"/>
        </w:rPr>
        <w:lastRenderedPageBreak/>
        <w:t xml:space="preserve">discursos, que contribuya a entender mejor, desde una perspectiva teórico-práctica, los diferentes aspectos relacionados con la gestión de la Entidad. </w:t>
      </w:r>
    </w:p>
    <w:p w14:paraId="729DF90E" w14:textId="77777777" w:rsidR="003E0168" w:rsidRPr="004759DE" w:rsidRDefault="003E0168" w:rsidP="003E0168">
      <w:pPr>
        <w:spacing w:after="0"/>
        <w:jc w:val="both"/>
        <w:rPr>
          <w:rFonts w:ascii="Verdana" w:hAnsi="Verdana" w:cs="Arial"/>
        </w:rPr>
      </w:pPr>
    </w:p>
    <w:p w14:paraId="3168823A" w14:textId="5E62406C" w:rsidR="003E0168" w:rsidRPr="004759DE" w:rsidRDefault="003E0168" w:rsidP="009D4994">
      <w:pPr>
        <w:pStyle w:val="Prrafodelista"/>
        <w:numPr>
          <w:ilvl w:val="0"/>
          <w:numId w:val="7"/>
        </w:numPr>
        <w:rPr>
          <w:rFonts w:ascii="Verdana" w:hAnsi="Verdana" w:cs="Arial"/>
          <w:b/>
          <w:bCs/>
          <w:szCs w:val="22"/>
        </w:rPr>
      </w:pPr>
      <w:r w:rsidRPr="004759DE">
        <w:rPr>
          <w:rFonts w:ascii="Verdana" w:hAnsi="Verdana" w:cs="Arial"/>
          <w:b/>
          <w:bCs/>
          <w:szCs w:val="22"/>
        </w:rPr>
        <w:t xml:space="preserve">Eventos de Promoción Institucional </w:t>
      </w:r>
    </w:p>
    <w:p w14:paraId="1158B387" w14:textId="77777777" w:rsidR="003E0168" w:rsidRPr="004759DE" w:rsidRDefault="003E0168" w:rsidP="003E0168">
      <w:pPr>
        <w:spacing w:after="0"/>
        <w:jc w:val="both"/>
        <w:rPr>
          <w:rFonts w:ascii="Verdana" w:hAnsi="Verdana" w:cs="Arial"/>
        </w:rPr>
      </w:pPr>
    </w:p>
    <w:p w14:paraId="12EC0E53" w14:textId="77777777" w:rsidR="003E0168" w:rsidRPr="004759DE" w:rsidRDefault="003E0168" w:rsidP="003E0168">
      <w:pPr>
        <w:spacing w:after="0"/>
        <w:jc w:val="both"/>
        <w:rPr>
          <w:rFonts w:ascii="Verdana" w:hAnsi="Verdana" w:cs="Arial"/>
        </w:rPr>
      </w:pPr>
      <w:r w:rsidRPr="004759DE">
        <w:rPr>
          <w:rFonts w:ascii="Verdana" w:hAnsi="Verdana" w:cs="Arial"/>
        </w:rPr>
        <w:t>La Superintendencia de Sociedades participa en eventos de servicio al ciudadano para interactuar e incentivar la participación de los Grupos de interés, así mismo dar a conocer su oferta institucional y promocionar sus servicios a lo largo del territorio nacional</w:t>
      </w:r>
    </w:p>
    <w:p w14:paraId="04EE362F" w14:textId="77777777" w:rsidR="003E0168" w:rsidRPr="004759DE" w:rsidRDefault="003E0168" w:rsidP="003E0168">
      <w:pPr>
        <w:spacing w:after="0"/>
        <w:jc w:val="both"/>
        <w:rPr>
          <w:rFonts w:ascii="Verdana" w:hAnsi="Verdana" w:cs="Arial"/>
        </w:rPr>
      </w:pPr>
    </w:p>
    <w:p w14:paraId="41A16D1C" w14:textId="10472DD3" w:rsidR="003E0168" w:rsidRDefault="003E0168" w:rsidP="003E0168">
      <w:pPr>
        <w:spacing w:after="0"/>
        <w:jc w:val="both"/>
        <w:rPr>
          <w:rFonts w:ascii="Verdana" w:hAnsi="Verdana" w:cs="Arial"/>
        </w:rPr>
      </w:pPr>
      <w:r w:rsidRPr="004759DE">
        <w:rPr>
          <w:rFonts w:ascii="Verdana" w:hAnsi="Verdana" w:cs="Arial"/>
        </w:rPr>
        <w:t>Adicionalmente la entidad lidera eventos de promoción de empresas que estén en procesos de reactivación económica, particularmente en proceso de insolvencia, que permita conectarlas con representantes de empresas e inversionistas y otras organizaciones para impulsar las estrategias de Gobierno Nacional y apoyar las empresas de la región, de acuerdo con lo dispuesto en el numeral 48 del artículo 7° del Decreto 1736 de 2020.</w:t>
      </w:r>
    </w:p>
    <w:p w14:paraId="15B5AEE1" w14:textId="77777777" w:rsidR="008948CD" w:rsidRPr="004759DE" w:rsidRDefault="008948CD" w:rsidP="003E0168">
      <w:pPr>
        <w:spacing w:after="0"/>
        <w:jc w:val="both"/>
        <w:rPr>
          <w:rFonts w:ascii="Verdana" w:hAnsi="Verdana" w:cs="Arial"/>
        </w:rPr>
      </w:pPr>
    </w:p>
    <w:p w14:paraId="68E3A250" w14:textId="77777777" w:rsidR="003E0168" w:rsidRPr="004759DE" w:rsidRDefault="003E0168" w:rsidP="003E0168">
      <w:pPr>
        <w:spacing w:after="0"/>
        <w:jc w:val="both"/>
        <w:rPr>
          <w:rFonts w:ascii="Verdana" w:hAnsi="Verdana" w:cs="Arial"/>
        </w:rPr>
      </w:pPr>
    </w:p>
    <w:p w14:paraId="7FD6BA6A" w14:textId="6EAE6125" w:rsidR="003E0168" w:rsidRPr="004759DE" w:rsidRDefault="003E0168" w:rsidP="009D4994">
      <w:pPr>
        <w:pStyle w:val="Prrafodelista"/>
        <w:numPr>
          <w:ilvl w:val="0"/>
          <w:numId w:val="7"/>
        </w:numPr>
        <w:rPr>
          <w:rFonts w:ascii="Verdana" w:hAnsi="Verdana" w:cs="Arial"/>
          <w:b/>
          <w:bCs/>
          <w:szCs w:val="22"/>
        </w:rPr>
      </w:pPr>
      <w:r w:rsidRPr="004759DE">
        <w:rPr>
          <w:rFonts w:ascii="Verdana" w:hAnsi="Verdana" w:cs="Arial"/>
          <w:b/>
          <w:bCs/>
          <w:szCs w:val="22"/>
        </w:rPr>
        <w:t xml:space="preserve">Ciclos de conferencias con expertos y jornadas de capacitación a sociedades </w:t>
      </w:r>
    </w:p>
    <w:p w14:paraId="6BBA6F2A" w14:textId="77777777" w:rsidR="003E0168" w:rsidRPr="004759DE" w:rsidRDefault="003E0168" w:rsidP="003E0168">
      <w:pPr>
        <w:spacing w:after="0"/>
        <w:jc w:val="both"/>
        <w:rPr>
          <w:rFonts w:ascii="Verdana" w:hAnsi="Verdana" w:cs="Arial"/>
        </w:rPr>
      </w:pPr>
    </w:p>
    <w:p w14:paraId="6A47856F" w14:textId="77777777" w:rsidR="003E0168" w:rsidRPr="004759DE" w:rsidRDefault="003E0168" w:rsidP="003E0168">
      <w:pPr>
        <w:spacing w:after="0"/>
        <w:jc w:val="both"/>
        <w:rPr>
          <w:rFonts w:ascii="Verdana" w:hAnsi="Verdana" w:cs="Arial"/>
        </w:rPr>
      </w:pPr>
      <w:r w:rsidRPr="004759DE">
        <w:rPr>
          <w:rFonts w:ascii="Verdana" w:hAnsi="Verdana" w:cs="Arial"/>
        </w:rPr>
        <w:t xml:space="preserve">La visión académica y especializada ha permitido que cada año se programen ciclos de conferencias y conversatorios con expertos nacionales y extranjeros que tienen un conocimiento especializado en los diferentes temas que maneja la Superintendencia. En estos encuentros, la participación ciudadana se destaca, pues las actividades les permiten a los asistentes aprender y además exponer sus preguntas y opiniones para tener una respuesta inmediata de los expositores invitados, no solamente de manera presencial sino a través de los canales virtuales (video </w:t>
      </w:r>
      <w:proofErr w:type="spellStart"/>
      <w:r w:rsidRPr="004759DE">
        <w:rPr>
          <w:rFonts w:ascii="Verdana" w:hAnsi="Verdana" w:cs="Arial"/>
        </w:rPr>
        <w:t>streaming</w:t>
      </w:r>
      <w:proofErr w:type="spellEnd"/>
      <w:r w:rsidRPr="004759DE">
        <w:rPr>
          <w:rFonts w:ascii="Verdana" w:hAnsi="Verdana" w:cs="Arial"/>
        </w:rPr>
        <w:t>, redes sociales, chat).</w:t>
      </w:r>
    </w:p>
    <w:p w14:paraId="21574A13" w14:textId="77777777" w:rsidR="003E0168" w:rsidRPr="004759DE" w:rsidRDefault="003E0168" w:rsidP="003E0168">
      <w:pPr>
        <w:spacing w:after="0"/>
        <w:jc w:val="both"/>
        <w:rPr>
          <w:rFonts w:ascii="Verdana" w:hAnsi="Verdana" w:cs="Arial"/>
        </w:rPr>
      </w:pPr>
    </w:p>
    <w:p w14:paraId="2CC179FE" w14:textId="68F98E9D" w:rsidR="003E0168" w:rsidRPr="004759DE" w:rsidRDefault="003E0168" w:rsidP="002F4BC5">
      <w:pPr>
        <w:pStyle w:val="Prrafodelista"/>
        <w:numPr>
          <w:ilvl w:val="2"/>
          <w:numId w:val="1"/>
        </w:numPr>
        <w:rPr>
          <w:rFonts w:ascii="Verdana" w:hAnsi="Verdana" w:cs="Arial"/>
          <w:b/>
          <w:bCs/>
          <w:szCs w:val="22"/>
        </w:rPr>
      </w:pPr>
      <w:bookmarkStart w:id="14" w:name="_Toc184989059"/>
      <w:r w:rsidRPr="004759DE">
        <w:rPr>
          <w:rFonts w:ascii="Verdana" w:hAnsi="Verdana" w:cs="Arial"/>
          <w:b/>
          <w:bCs/>
          <w:szCs w:val="22"/>
        </w:rPr>
        <w:t>Espacios de participación e intervención directa de la ciudadanía en el ciclo de la gestión pública</w:t>
      </w:r>
      <w:bookmarkEnd w:id="14"/>
      <w:r w:rsidRPr="004759DE">
        <w:rPr>
          <w:rFonts w:ascii="Verdana" w:hAnsi="Verdana" w:cs="Arial"/>
          <w:b/>
          <w:bCs/>
          <w:szCs w:val="22"/>
        </w:rPr>
        <w:t xml:space="preserve"> </w:t>
      </w:r>
    </w:p>
    <w:p w14:paraId="1571DCDE" w14:textId="77777777" w:rsidR="003E0168" w:rsidRPr="004759DE" w:rsidRDefault="003E0168" w:rsidP="003E0168">
      <w:pPr>
        <w:spacing w:after="0"/>
        <w:jc w:val="both"/>
        <w:rPr>
          <w:rFonts w:ascii="Verdana" w:hAnsi="Verdana" w:cs="Arial"/>
        </w:rPr>
      </w:pPr>
    </w:p>
    <w:p w14:paraId="4C32F116" w14:textId="02E3CF30" w:rsidR="003E0168" w:rsidRPr="004759DE" w:rsidRDefault="003E0168" w:rsidP="003E0168">
      <w:pPr>
        <w:spacing w:after="0"/>
        <w:jc w:val="both"/>
        <w:rPr>
          <w:rFonts w:ascii="Verdana" w:hAnsi="Verdana" w:cs="Arial"/>
        </w:rPr>
      </w:pPr>
      <w:r w:rsidRPr="004759DE">
        <w:rPr>
          <w:rFonts w:ascii="Verdana" w:hAnsi="Verdana" w:cs="Arial"/>
        </w:rPr>
        <w:t>Corresponden a los eventos e instancias de diálogo y deliberación dispuestos para facilitar la participación de los grupos de interés. Estos pueden generarse a lo largo de las fases del ciclo de la gestión pública, en las etapas de: (i) Identificación de necesidades: Diagnóstico; (</w:t>
      </w:r>
      <w:proofErr w:type="spellStart"/>
      <w:r w:rsidRPr="004759DE">
        <w:rPr>
          <w:rFonts w:ascii="Verdana" w:hAnsi="Verdana" w:cs="Arial"/>
        </w:rPr>
        <w:t>ii</w:t>
      </w:r>
      <w:proofErr w:type="spellEnd"/>
      <w:r w:rsidRPr="004759DE">
        <w:rPr>
          <w:rFonts w:ascii="Verdana" w:hAnsi="Verdana" w:cs="Arial"/>
        </w:rPr>
        <w:t xml:space="preserve">) Formulación de Planes y </w:t>
      </w:r>
      <w:r w:rsidR="00C05C30">
        <w:rPr>
          <w:rFonts w:ascii="Verdana" w:hAnsi="Verdana" w:cs="Arial"/>
        </w:rPr>
        <w:t>Estrategia</w:t>
      </w:r>
      <w:r w:rsidRPr="004759DE">
        <w:rPr>
          <w:rFonts w:ascii="Verdana" w:hAnsi="Verdana" w:cs="Arial"/>
        </w:rPr>
        <w:t>s; (</w:t>
      </w:r>
      <w:proofErr w:type="spellStart"/>
      <w:r w:rsidRPr="004759DE">
        <w:rPr>
          <w:rFonts w:ascii="Verdana" w:hAnsi="Verdana" w:cs="Arial"/>
        </w:rPr>
        <w:t>iii</w:t>
      </w:r>
      <w:proofErr w:type="spellEnd"/>
      <w:r w:rsidRPr="004759DE">
        <w:rPr>
          <w:rFonts w:ascii="Verdana" w:hAnsi="Verdana" w:cs="Arial"/>
        </w:rPr>
        <w:t>) Ejecución / Puesta en marcha; (</w:t>
      </w:r>
      <w:proofErr w:type="spellStart"/>
      <w:r w:rsidRPr="004759DE">
        <w:rPr>
          <w:rFonts w:ascii="Verdana" w:hAnsi="Verdana" w:cs="Arial"/>
        </w:rPr>
        <w:t>iv</w:t>
      </w:r>
      <w:proofErr w:type="spellEnd"/>
      <w:r w:rsidRPr="004759DE">
        <w:rPr>
          <w:rFonts w:ascii="Verdana" w:hAnsi="Verdana" w:cs="Arial"/>
        </w:rPr>
        <w:t xml:space="preserve">) Seguimiento, y (v) Evaluación y Control. </w:t>
      </w:r>
    </w:p>
    <w:p w14:paraId="2D70C272" w14:textId="59E05938" w:rsidR="008948CD" w:rsidRDefault="008948CD" w:rsidP="003E0168">
      <w:pPr>
        <w:spacing w:after="0"/>
        <w:jc w:val="both"/>
        <w:rPr>
          <w:rFonts w:ascii="Verdana" w:hAnsi="Verdana" w:cs="Arial"/>
        </w:rPr>
      </w:pPr>
    </w:p>
    <w:p w14:paraId="0ECB8FF7" w14:textId="77777777" w:rsidR="008948CD" w:rsidRPr="004759DE" w:rsidRDefault="008948CD" w:rsidP="003E0168">
      <w:pPr>
        <w:spacing w:after="0"/>
        <w:jc w:val="both"/>
        <w:rPr>
          <w:rFonts w:ascii="Verdana" w:hAnsi="Verdana" w:cs="Arial"/>
        </w:rPr>
      </w:pPr>
    </w:p>
    <w:p w14:paraId="381A9FBB" w14:textId="6E02FAD6" w:rsidR="003E0168" w:rsidRPr="004759DE" w:rsidRDefault="003E0168" w:rsidP="009D4994">
      <w:pPr>
        <w:pStyle w:val="Prrafodelista"/>
        <w:numPr>
          <w:ilvl w:val="0"/>
          <w:numId w:val="7"/>
        </w:numPr>
        <w:rPr>
          <w:rFonts w:ascii="Verdana" w:hAnsi="Verdana" w:cs="Arial"/>
          <w:b/>
          <w:bCs/>
          <w:szCs w:val="22"/>
        </w:rPr>
      </w:pPr>
      <w:bookmarkStart w:id="15" w:name="_Hlk178952193"/>
      <w:r w:rsidRPr="004759DE">
        <w:rPr>
          <w:rFonts w:ascii="Verdana" w:hAnsi="Verdana" w:cs="Arial"/>
          <w:b/>
          <w:bCs/>
          <w:szCs w:val="22"/>
        </w:rPr>
        <w:t xml:space="preserve">Construcción conjunta de proyectos regulatorios </w:t>
      </w:r>
    </w:p>
    <w:bookmarkEnd w:id="15"/>
    <w:p w14:paraId="706E8792" w14:textId="77777777" w:rsidR="003E0168" w:rsidRPr="004759DE" w:rsidRDefault="003E0168" w:rsidP="003E0168">
      <w:pPr>
        <w:spacing w:after="0"/>
        <w:jc w:val="both"/>
        <w:rPr>
          <w:rFonts w:ascii="Verdana" w:hAnsi="Verdana" w:cs="Arial"/>
        </w:rPr>
      </w:pPr>
    </w:p>
    <w:p w14:paraId="5B53E68C" w14:textId="77777777" w:rsidR="003E0168" w:rsidRPr="004759DE" w:rsidRDefault="003E0168" w:rsidP="003E0168">
      <w:pPr>
        <w:spacing w:after="0"/>
        <w:jc w:val="both"/>
        <w:rPr>
          <w:rFonts w:ascii="Verdana" w:hAnsi="Verdana" w:cs="Arial"/>
        </w:rPr>
      </w:pPr>
      <w:r w:rsidRPr="004759DE">
        <w:rPr>
          <w:rFonts w:ascii="Verdana" w:hAnsi="Verdana" w:cs="Arial"/>
        </w:rPr>
        <w:t xml:space="preserve">Teniendo en cuenta que la Superintendencia de Sociedades lidera la formulación e implementación de normatividad en temas societarios, permanentemente se abren espacios de participación a través de los cuales los interesados pueden presentar opiniones, sugerencias o propuestas para la construcción de dicha normatividad. </w:t>
      </w:r>
    </w:p>
    <w:p w14:paraId="3CC06219" w14:textId="77777777" w:rsidR="003E0168" w:rsidRPr="004759DE" w:rsidRDefault="003E0168" w:rsidP="003E0168">
      <w:pPr>
        <w:spacing w:after="0"/>
        <w:jc w:val="both"/>
        <w:rPr>
          <w:rFonts w:ascii="Verdana" w:hAnsi="Verdana" w:cs="Arial"/>
        </w:rPr>
      </w:pPr>
    </w:p>
    <w:p w14:paraId="3B803FBC" w14:textId="552EC473" w:rsidR="003E0168" w:rsidRPr="004759DE" w:rsidRDefault="003E0168" w:rsidP="003E0168">
      <w:pPr>
        <w:spacing w:after="0"/>
        <w:jc w:val="both"/>
        <w:rPr>
          <w:rFonts w:ascii="Verdana" w:hAnsi="Verdana" w:cs="Arial"/>
        </w:rPr>
      </w:pPr>
      <w:r w:rsidRPr="004759DE">
        <w:rPr>
          <w:rFonts w:ascii="Verdana" w:hAnsi="Verdana" w:cs="Arial"/>
        </w:rPr>
        <w:t xml:space="preserve">Estos espacios se habilitan mediante la publicación del proyecto de normatividad en la </w:t>
      </w:r>
      <w:r w:rsidR="00D560AA">
        <w:rPr>
          <w:rFonts w:ascii="Verdana" w:hAnsi="Verdana" w:cs="Arial"/>
        </w:rPr>
        <w:t>sede electrónica de la Entidad (página</w:t>
      </w:r>
      <w:r w:rsidRPr="004759DE">
        <w:rPr>
          <w:rFonts w:ascii="Verdana" w:hAnsi="Verdana" w:cs="Arial"/>
        </w:rPr>
        <w:t xml:space="preserve"> web</w:t>
      </w:r>
      <w:r w:rsidR="00D560AA">
        <w:rPr>
          <w:rFonts w:ascii="Verdana" w:hAnsi="Verdana" w:cs="Arial"/>
        </w:rPr>
        <w:t>)</w:t>
      </w:r>
      <w:r w:rsidRPr="004759DE">
        <w:rPr>
          <w:rFonts w:ascii="Verdana" w:hAnsi="Verdana" w:cs="Arial"/>
        </w:rPr>
        <w:t xml:space="preserve"> en el botón participa. </w:t>
      </w:r>
    </w:p>
    <w:p w14:paraId="11459C71" w14:textId="77777777" w:rsidR="008948CD" w:rsidRPr="004759DE" w:rsidRDefault="008948CD" w:rsidP="003E0168">
      <w:pPr>
        <w:spacing w:after="0"/>
        <w:jc w:val="both"/>
        <w:rPr>
          <w:rFonts w:ascii="Verdana" w:hAnsi="Verdana" w:cs="Arial"/>
        </w:rPr>
      </w:pPr>
    </w:p>
    <w:p w14:paraId="195F2184" w14:textId="77777777" w:rsidR="003E0168" w:rsidRPr="004759DE" w:rsidRDefault="003E0168" w:rsidP="009D4994">
      <w:pPr>
        <w:pStyle w:val="Prrafodelista"/>
        <w:numPr>
          <w:ilvl w:val="0"/>
          <w:numId w:val="7"/>
        </w:numPr>
        <w:rPr>
          <w:rFonts w:ascii="Verdana" w:hAnsi="Verdana" w:cs="Arial"/>
          <w:b/>
          <w:bCs/>
          <w:szCs w:val="22"/>
        </w:rPr>
      </w:pPr>
      <w:bookmarkStart w:id="16" w:name="_Hlk178952303"/>
      <w:r w:rsidRPr="004759DE">
        <w:rPr>
          <w:rFonts w:ascii="Verdana" w:hAnsi="Verdana" w:cs="Arial"/>
          <w:b/>
          <w:bCs/>
          <w:szCs w:val="22"/>
        </w:rPr>
        <w:t xml:space="preserve">Encuesta de satisfacción del ciudadano </w:t>
      </w:r>
      <w:bookmarkEnd w:id="16"/>
    </w:p>
    <w:p w14:paraId="71959400" w14:textId="77777777" w:rsidR="003E0168" w:rsidRPr="004759DE" w:rsidRDefault="003E0168" w:rsidP="003E0168">
      <w:pPr>
        <w:spacing w:after="0"/>
        <w:jc w:val="both"/>
        <w:rPr>
          <w:rFonts w:ascii="Verdana" w:hAnsi="Verdana" w:cs="Arial"/>
        </w:rPr>
      </w:pPr>
    </w:p>
    <w:p w14:paraId="7C91901B" w14:textId="5C5EC4A8" w:rsidR="003E0168" w:rsidRPr="004759DE" w:rsidRDefault="003E0168" w:rsidP="003E0168">
      <w:pPr>
        <w:spacing w:after="0"/>
        <w:jc w:val="both"/>
        <w:rPr>
          <w:rFonts w:ascii="Verdana" w:hAnsi="Verdana" w:cs="Arial"/>
        </w:rPr>
      </w:pPr>
      <w:r w:rsidRPr="004759DE">
        <w:rPr>
          <w:rFonts w:ascii="Verdana" w:hAnsi="Verdana" w:cs="Arial"/>
        </w:rPr>
        <w:t>La Superintendencia de Sociedades realiza la encuesta de satisfacción al ciudadano semestralmente, para lo cual sigue las etapas establecidas en el procedimiento, código: ATC-PR-004 Encuesta de satisfacción del ciudadano</w:t>
      </w:r>
      <w:r w:rsidR="00987C97">
        <w:rPr>
          <w:rFonts w:ascii="Verdana" w:hAnsi="Verdana" w:cs="Arial"/>
        </w:rPr>
        <w:t xml:space="preserve">. </w:t>
      </w:r>
      <w:r w:rsidRPr="004759DE">
        <w:rPr>
          <w:rFonts w:ascii="Verdana" w:hAnsi="Verdana" w:cs="Arial"/>
        </w:rPr>
        <w:t>Los informes con los resultados de la encuesta se publican en la página web de la entidad.</w:t>
      </w:r>
    </w:p>
    <w:p w14:paraId="77524E12" w14:textId="77777777" w:rsidR="003E0168" w:rsidRPr="004759DE" w:rsidRDefault="003E0168" w:rsidP="003E0168">
      <w:pPr>
        <w:spacing w:after="0"/>
        <w:jc w:val="both"/>
        <w:rPr>
          <w:rFonts w:ascii="Verdana" w:hAnsi="Verdana" w:cs="Arial"/>
        </w:rPr>
      </w:pPr>
    </w:p>
    <w:p w14:paraId="05FB63B6" w14:textId="77777777" w:rsidR="003E0168" w:rsidRPr="004759DE" w:rsidRDefault="003E0168" w:rsidP="009D4994">
      <w:pPr>
        <w:pStyle w:val="Prrafodelista"/>
        <w:numPr>
          <w:ilvl w:val="0"/>
          <w:numId w:val="7"/>
        </w:numPr>
        <w:rPr>
          <w:rFonts w:ascii="Verdana" w:hAnsi="Verdana" w:cs="Arial"/>
          <w:b/>
          <w:bCs/>
          <w:szCs w:val="22"/>
        </w:rPr>
      </w:pPr>
      <w:r w:rsidRPr="004759DE">
        <w:rPr>
          <w:rFonts w:ascii="Verdana" w:hAnsi="Verdana" w:cs="Arial"/>
          <w:b/>
          <w:bCs/>
          <w:szCs w:val="22"/>
        </w:rPr>
        <w:t>Encuesta Satisfacción Eventos</w:t>
      </w:r>
    </w:p>
    <w:p w14:paraId="182CE19C" w14:textId="77777777" w:rsidR="003E0168" w:rsidRPr="004759DE" w:rsidRDefault="003E0168" w:rsidP="003E0168">
      <w:pPr>
        <w:spacing w:after="0"/>
        <w:jc w:val="both"/>
        <w:rPr>
          <w:rFonts w:ascii="Verdana" w:hAnsi="Verdana" w:cs="Arial"/>
        </w:rPr>
      </w:pPr>
    </w:p>
    <w:p w14:paraId="0CD7E2C2" w14:textId="50650C3C" w:rsidR="003E0168" w:rsidRDefault="003E0168" w:rsidP="003E0168">
      <w:pPr>
        <w:spacing w:after="0"/>
        <w:jc w:val="both"/>
        <w:rPr>
          <w:rFonts w:ascii="Verdana" w:hAnsi="Verdana" w:cs="Arial"/>
        </w:rPr>
      </w:pPr>
      <w:r w:rsidRPr="004759DE">
        <w:rPr>
          <w:rFonts w:ascii="Verdana" w:hAnsi="Verdana" w:cs="Arial"/>
        </w:rPr>
        <w:t>Esta herramienta, diseñada bajo el liderazgo del Grupo de Relación Estado – Ciudadano, se elaboró con el fin de recibir retroalimentación por parte de los grupos</w:t>
      </w:r>
      <w:r w:rsidR="00641172">
        <w:rPr>
          <w:rFonts w:ascii="Verdana" w:hAnsi="Verdana" w:cs="Arial"/>
        </w:rPr>
        <w:t xml:space="preserve"> </w:t>
      </w:r>
      <w:r w:rsidRPr="004759DE">
        <w:rPr>
          <w:rFonts w:ascii="Verdana" w:hAnsi="Verdana" w:cs="Arial"/>
        </w:rPr>
        <w:t>de interés que participen en los eventos adelantados por las diferentes áreas de la entidad</w:t>
      </w:r>
    </w:p>
    <w:p w14:paraId="733E3007" w14:textId="77777777" w:rsidR="0004164D" w:rsidRPr="004759DE" w:rsidRDefault="0004164D" w:rsidP="003E0168">
      <w:pPr>
        <w:spacing w:after="0"/>
        <w:jc w:val="both"/>
        <w:rPr>
          <w:rFonts w:ascii="Verdana" w:hAnsi="Verdana" w:cs="Arial"/>
        </w:rPr>
      </w:pPr>
    </w:p>
    <w:p w14:paraId="5122F216" w14:textId="77777777" w:rsidR="003E0168" w:rsidRPr="004759DE" w:rsidRDefault="003E0168" w:rsidP="003E0168">
      <w:pPr>
        <w:spacing w:after="0"/>
        <w:jc w:val="both"/>
        <w:rPr>
          <w:rFonts w:ascii="Verdana" w:hAnsi="Verdana" w:cs="Arial"/>
        </w:rPr>
      </w:pPr>
    </w:p>
    <w:p w14:paraId="44AE0604" w14:textId="0291E4A4" w:rsidR="003E0168" w:rsidRPr="004759DE" w:rsidRDefault="002F4BC5" w:rsidP="007F0F2B">
      <w:pPr>
        <w:pStyle w:val="Ttulo1"/>
        <w:numPr>
          <w:ilvl w:val="1"/>
          <w:numId w:val="1"/>
        </w:numPr>
        <w:rPr>
          <w:szCs w:val="22"/>
        </w:rPr>
      </w:pPr>
      <w:bookmarkStart w:id="17" w:name="_Toc184989060"/>
      <w:bookmarkStart w:id="18" w:name="_Toc212879404"/>
      <w:r w:rsidRPr="004759DE">
        <w:rPr>
          <w:szCs w:val="22"/>
        </w:rPr>
        <w:t>MEDIOS Y CANALES A DISPOSICIÓN DE LA CIUDADANÍA PARA LA PARTICIPACIÓN</w:t>
      </w:r>
      <w:bookmarkEnd w:id="17"/>
      <w:bookmarkEnd w:id="18"/>
    </w:p>
    <w:p w14:paraId="56F6081C" w14:textId="77777777" w:rsidR="003578F8" w:rsidRPr="004759DE" w:rsidRDefault="003578F8" w:rsidP="003E0168">
      <w:pPr>
        <w:spacing w:after="0"/>
        <w:jc w:val="both"/>
        <w:rPr>
          <w:rFonts w:ascii="Verdana" w:hAnsi="Verdana" w:cs="Arial"/>
          <w:b/>
          <w:bCs/>
          <w:lang w:val="es-ES"/>
        </w:rPr>
      </w:pPr>
    </w:p>
    <w:p w14:paraId="4F120C6F" w14:textId="03866C51" w:rsidR="003E0168" w:rsidRPr="004759DE" w:rsidRDefault="003E0168" w:rsidP="003E0168">
      <w:pPr>
        <w:spacing w:after="0"/>
        <w:jc w:val="both"/>
        <w:rPr>
          <w:rFonts w:ascii="Verdana" w:hAnsi="Verdana" w:cs="Arial"/>
        </w:rPr>
      </w:pPr>
      <w:r w:rsidRPr="004759DE">
        <w:rPr>
          <w:rFonts w:ascii="Verdana" w:hAnsi="Verdana" w:cs="Arial"/>
        </w:rPr>
        <w:t>La Superintendencia de Sociedades cuenta con los siguientes medios y canales de comunicación, para la participación ciudadana:</w:t>
      </w:r>
    </w:p>
    <w:p w14:paraId="0273E834" w14:textId="77777777" w:rsidR="003E0168" w:rsidRPr="004759DE" w:rsidRDefault="003E0168" w:rsidP="003E0168">
      <w:pPr>
        <w:spacing w:after="0"/>
        <w:jc w:val="both"/>
        <w:rPr>
          <w:rFonts w:ascii="Verdana" w:hAnsi="Verdana" w:cs="Arial"/>
        </w:rPr>
      </w:pPr>
    </w:p>
    <w:p w14:paraId="47BA66D1" w14:textId="2210C0B9" w:rsidR="003E0168" w:rsidRPr="004759DE" w:rsidRDefault="003E0168" w:rsidP="00981856">
      <w:pPr>
        <w:pStyle w:val="Ttulo2"/>
        <w:numPr>
          <w:ilvl w:val="2"/>
          <w:numId w:val="1"/>
        </w:numPr>
        <w:rPr>
          <w:szCs w:val="22"/>
        </w:rPr>
      </w:pPr>
      <w:bookmarkStart w:id="19" w:name="_Toc184989061"/>
      <w:bookmarkStart w:id="20" w:name="_Toc212879405"/>
      <w:r w:rsidRPr="004759DE">
        <w:rPr>
          <w:szCs w:val="22"/>
        </w:rPr>
        <w:t>Canal Virtual</w:t>
      </w:r>
      <w:bookmarkEnd w:id="19"/>
      <w:bookmarkEnd w:id="20"/>
    </w:p>
    <w:p w14:paraId="18ED9BB1" w14:textId="77777777" w:rsidR="00F320F7" w:rsidRPr="004759DE" w:rsidRDefault="00F320F7" w:rsidP="00F320F7">
      <w:pPr>
        <w:rPr>
          <w:rFonts w:ascii="Verdana" w:hAnsi="Verdana"/>
        </w:rPr>
      </w:pPr>
    </w:p>
    <w:p w14:paraId="03722BBE" w14:textId="274D35B8" w:rsidR="00B67F0C" w:rsidRPr="004759DE" w:rsidRDefault="00B67F0C" w:rsidP="004759DE">
      <w:pPr>
        <w:spacing w:before="100" w:beforeAutospacing="1" w:after="100" w:afterAutospacing="1" w:line="240" w:lineRule="auto"/>
        <w:jc w:val="both"/>
        <w:rPr>
          <w:rFonts w:ascii="Verdana" w:eastAsia="Times New Roman" w:hAnsi="Verdana" w:cs="Times New Roman"/>
          <w:lang w:eastAsia="es-CO"/>
        </w:rPr>
      </w:pPr>
      <w:r w:rsidRPr="00BC6F59">
        <w:rPr>
          <w:rFonts w:ascii="Verdana" w:eastAsia="Times New Roman" w:hAnsi="Verdana" w:cs="Times New Roman"/>
          <w:lang w:eastAsia="es-CO"/>
        </w:rPr>
        <w:t>La Superintendencia de Sociedades dispone de un canal virtual institucional que permite a la ciudadanía ejercer su derecho a la participación de manera oportuna, segura y accesible. A través de su sitio web oficial</w:t>
      </w:r>
      <w:r w:rsidR="00565478" w:rsidRPr="00BC6F59">
        <w:rPr>
          <w:rFonts w:ascii="Verdana" w:eastAsia="Times New Roman" w:hAnsi="Verdana" w:cs="Times New Roman"/>
          <w:lang w:eastAsia="es-CO"/>
        </w:rPr>
        <w:t xml:space="preserve"> (Sede Electrónica)</w:t>
      </w:r>
      <w:r w:rsidRPr="00BC6F59">
        <w:rPr>
          <w:rFonts w:ascii="Verdana" w:eastAsia="Times New Roman" w:hAnsi="Verdana" w:cs="Times New Roman"/>
          <w:lang w:eastAsia="es-CO"/>
        </w:rPr>
        <w:t>, los ciudadanos pueden acceder a información pública, realizar peticiones, quejas, reclamos, sugerencias y denuncias (PQRSD), participar en encuestas, foros, audiencias virtuales y procesos de consulta ciudadana. Este canal digital se consolida como un medio fundamental para ampliar la cobertura, promover el diálogo con los grupos de interés y garantizar la trazabilidad de los aportes ciudadanos en la gestión pública.</w:t>
      </w:r>
    </w:p>
    <w:tbl>
      <w:tblPr>
        <w:tblStyle w:val="Tablaconcuadrculaclara"/>
        <w:tblW w:w="9493" w:type="dxa"/>
        <w:tblLook w:val="04A0" w:firstRow="1" w:lastRow="0" w:firstColumn="1" w:lastColumn="0" w:noHBand="0" w:noVBand="1"/>
      </w:tblPr>
      <w:tblGrid>
        <w:gridCol w:w="3115"/>
        <w:gridCol w:w="6378"/>
      </w:tblGrid>
      <w:tr w:rsidR="00356F3D" w:rsidRPr="00BC6F59" w14:paraId="415A466A" w14:textId="77777777" w:rsidTr="00356F3D">
        <w:trPr>
          <w:tblHeader/>
        </w:trPr>
        <w:tc>
          <w:tcPr>
            <w:tcW w:w="3115" w:type="dxa"/>
            <w:vAlign w:val="center"/>
          </w:tcPr>
          <w:p w14:paraId="75A1DFEC" w14:textId="76D83EF1" w:rsidR="00356F3D" w:rsidRPr="00BC6F59" w:rsidRDefault="00356F3D" w:rsidP="00356F3D">
            <w:pPr>
              <w:jc w:val="center"/>
              <w:rPr>
                <w:rFonts w:ascii="Verdana" w:hAnsi="Verdana" w:cs="Arial"/>
                <w:b/>
                <w:bCs/>
                <w:sz w:val="20"/>
                <w:szCs w:val="20"/>
              </w:rPr>
            </w:pPr>
            <w:r w:rsidRPr="00BC6F59">
              <w:rPr>
                <w:rFonts w:ascii="Verdana" w:hAnsi="Verdana" w:cs="Arial"/>
                <w:b/>
                <w:bCs/>
                <w:sz w:val="20"/>
                <w:szCs w:val="20"/>
              </w:rPr>
              <w:lastRenderedPageBreak/>
              <w:t>TIPO CANAL</w:t>
            </w:r>
          </w:p>
        </w:tc>
        <w:tc>
          <w:tcPr>
            <w:tcW w:w="6378" w:type="dxa"/>
            <w:vAlign w:val="center"/>
          </w:tcPr>
          <w:p w14:paraId="5E1866DB" w14:textId="08318687" w:rsidR="00356F3D" w:rsidRPr="00BC6F59" w:rsidRDefault="00356F3D" w:rsidP="00356F3D">
            <w:pPr>
              <w:jc w:val="center"/>
              <w:rPr>
                <w:rFonts w:ascii="Verdana" w:hAnsi="Verdana" w:cs="Arial"/>
                <w:b/>
                <w:bCs/>
                <w:sz w:val="20"/>
                <w:szCs w:val="20"/>
              </w:rPr>
            </w:pPr>
            <w:r w:rsidRPr="00BC6F59">
              <w:rPr>
                <w:rFonts w:ascii="Verdana" w:hAnsi="Verdana" w:cs="Arial"/>
                <w:b/>
                <w:bCs/>
                <w:sz w:val="20"/>
                <w:szCs w:val="20"/>
              </w:rPr>
              <w:t>DESCRIPCIÓN</w:t>
            </w:r>
          </w:p>
        </w:tc>
      </w:tr>
      <w:tr w:rsidR="00356F3D" w:rsidRPr="00BC6F59" w14:paraId="53DB51B2" w14:textId="77777777" w:rsidTr="00356F3D">
        <w:tc>
          <w:tcPr>
            <w:tcW w:w="3115" w:type="dxa"/>
            <w:vAlign w:val="center"/>
          </w:tcPr>
          <w:p w14:paraId="66BA579E" w14:textId="77777777" w:rsidR="00356F3D" w:rsidRPr="00BC6F59" w:rsidRDefault="00356F3D" w:rsidP="00356F3D">
            <w:pPr>
              <w:jc w:val="both"/>
              <w:rPr>
                <w:rFonts w:ascii="Verdana" w:hAnsi="Verdana" w:cs="Arial"/>
                <w:sz w:val="20"/>
                <w:szCs w:val="20"/>
              </w:rPr>
            </w:pPr>
            <w:r w:rsidRPr="00BC6F59">
              <w:rPr>
                <w:rFonts w:ascii="Verdana" w:hAnsi="Verdana" w:cs="Arial"/>
                <w:sz w:val="20"/>
                <w:szCs w:val="20"/>
              </w:rPr>
              <w:t>Módulo PQRSD</w:t>
            </w:r>
          </w:p>
          <w:p w14:paraId="3F4C3416" w14:textId="1D0A8DAF" w:rsidR="00356F3D" w:rsidRPr="00BC6F59" w:rsidRDefault="00356F3D" w:rsidP="003E0168">
            <w:pPr>
              <w:jc w:val="both"/>
              <w:rPr>
                <w:rFonts w:ascii="Verdana" w:hAnsi="Verdana" w:cs="Arial"/>
                <w:sz w:val="20"/>
                <w:szCs w:val="20"/>
              </w:rPr>
            </w:pPr>
            <w:r w:rsidRPr="00BC6F59">
              <w:rPr>
                <w:rFonts w:ascii="Verdana" w:hAnsi="Verdana" w:cs="Arial"/>
                <w:sz w:val="20"/>
                <w:szCs w:val="20"/>
              </w:rPr>
              <w:t>(Recepción de solicitudes)</w:t>
            </w:r>
          </w:p>
        </w:tc>
        <w:tc>
          <w:tcPr>
            <w:tcW w:w="6378" w:type="dxa"/>
            <w:vAlign w:val="center"/>
          </w:tcPr>
          <w:p w14:paraId="69771930" w14:textId="16F0E846" w:rsidR="00356F3D" w:rsidRPr="00BC6F59" w:rsidRDefault="00356F3D" w:rsidP="003E0168">
            <w:pPr>
              <w:jc w:val="both"/>
              <w:rPr>
                <w:rFonts w:ascii="Verdana" w:hAnsi="Verdana" w:cs="Arial"/>
                <w:sz w:val="20"/>
                <w:szCs w:val="20"/>
              </w:rPr>
            </w:pPr>
            <w:r w:rsidRPr="00BC6F59">
              <w:rPr>
                <w:rFonts w:ascii="Verdana" w:hAnsi="Verdana" w:cs="Arial"/>
                <w:sz w:val="20"/>
                <w:szCs w:val="20"/>
              </w:rPr>
              <w:t>A través de este módulo se invita a la ciudadanía a diligenciar la Encuesta PQRSD donde podrá evaluar su satisfacción frente a las respuestas a las peticiones, quejas, reclamos y sugerencias, que tramita la Superintendencia de Sociedades.</w:t>
            </w:r>
          </w:p>
        </w:tc>
      </w:tr>
      <w:tr w:rsidR="00356F3D" w:rsidRPr="00BC6F59" w14:paraId="17B6EDB6" w14:textId="77777777" w:rsidTr="00356F3D">
        <w:tc>
          <w:tcPr>
            <w:tcW w:w="3115" w:type="dxa"/>
            <w:vAlign w:val="center"/>
          </w:tcPr>
          <w:p w14:paraId="1FDA0E54" w14:textId="001DE914" w:rsidR="00356F3D" w:rsidRPr="00BC6F59" w:rsidRDefault="00356F3D" w:rsidP="003E0168">
            <w:pPr>
              <w:jc w:val="both"/>
              <w:rPr>
                <w:rFonts w:ascii="Verdana" w:hAnsi="Verdana" w:cs="Arial"/>
                <w:sz w:val="20"/>
                <w:szCs w:val="20"/>
              </w:rPr>
            </w:pPr>
            <w:r w:rsidRPr="00BC6F59">
              <w:rPr>
                <w:rFonts w:ascii="Verdana" w:hAnsi="Verdana" w:cs="Arial"/>
                <w:sz w:val="20"/>
                <w:szCs w:val="20"/>
              </w:rPr>
              <w:t>Módulo de trámites y servicios</w:t>
            </w:r>
          </w:p>
        </w:tc>
        <w:tc>
          <w:tcPr>
            <w:tcW w:w="6378" w:type="dxa"/>
            <w:vAlign w:val="center"/>
          </w:tcPr>
          <w:p w14:paraId="0B647F3D" w14:textId="5946B251" w:rsidR="00356F3D" w:rsidRPr="00BC6F59" w:rsidRDefault="00356F3D" w:rsidP="003E0168">
            <w:pPr>
              <w:jc w:val="both"/>
              <w:rPr>
                <w:rFonts w:ascii="Verdana" w:hAnsi="Verdana" w:cs="Arial"/>
                <w:sz w:val="20"/>
                <w:szCs w:val="20"/>
              </w:rPr>
            </w:pPr>
            <w:r w:rsidRPr="00BC6F59">
              <w:rPr>
                <w:rFonts w:ascii="Verdana" w:hAnsi="Verdana" w:cs="Arial"/>
                <w:sz w:val="20"/>
                <w:szCs w:val="20"/>
              </w:rPr>
              <w:t>En este módulo se pueden consultar Trámites, Otros Procedimientos Administrativos (OPA) y Consultas Digitales de Información.</w:t>
            </w:r>
          </w:p>
        </w:tc>
      </w:tr>
      <w:tr w:rsidR="00356F3D" w:rsidRPr="00BC6F59" w14:paraId="1A61C876" w14:textId="77777777" w:rsidTr="00356F3D">
        <w:tc>
          <w:tcPr>
            <w:tcW w:w="3115" w:type="dxa"/>
            <w:vAlign w:val="center"/>
          </w:tcPr>
          <w:p w14:paraId="5FCA301D" w14:textId="7C682CE4" w:rsidR="00356F3D" w:rsidRPr="00BC6F59" w:rsidRDefault="00356F3D" w:rsidP="003E0168">
            <w:pPr>
              <w:jc w:val="both"/>
              <w:rPr>
                <w:rFonts w:ascii="Verdana" w:hAnsi="Verdana" w:cs="Arial"/>
                <w:sz w:val="20"/>
                <w:szCs w:val="20"/>
              </w:rPr>
            </w:pPr>
            <w:r w:rsidRPr="00BC6F59">
              <w:rPr>
                <w:rFonts w:ascii="Verdana" w:hAnsi="Verdana" w:cs="Arial"/>
                <w:sz w:val="20"/>
                <w:szCs w:val="20"/>
              </w:rPr>
              <w:t>Chat general</w:t>
            </w:r>
          </w:p>
        </w:tc>
        <w:tc>
          <w:tcPr>
            <w:tcW w:w="6378" w:type="dxa"/>
            <w:vAlign w:val="center"/>
          </w:tcPr>
          <w:p w14:paraId="6AA4AFEF" w14:textId="64605BBE" w:rsidR="00356F3D" w:rsidRPr="00BC6F59" w:rsidRDefault="00356F3D" w:rsidP="003E0168">
            <w:pPr>
              <w:jc w:val="both"/>
              <w:rPr>
                <w:rFonts w:ascii="Verdana" w:hAnsi="Verdana" w:cs="Arial"/>
                <w:sz w:val="20"/>
                <w:szCs w:val="20"/>
              </w:rPr>
            </w:pPr>
            <w:r w:rsidRPr="00BC6F59">
              <w:rPr>
                <w:rFonts w:ascii="Verdana" w:hAnsi="Verdana" w:cs="Arial"/>
                <w:sz w:val="20"/>
                <w:szCs w:val="20"/>
              </w:rPr>
              <w:t>A través del chat general, la ciudadanía se puede contactar con los asesores y resuelven sus inquietudes sobre los diferentes procesos administrativos y jurisdiccionales que se adelantan en la Superintendencia de Sociedades. Además, puede recibir orientación sobre los trámites y servicios que ofrece la entidad a través de este canal</w:t>
            </w:r>
          </w:p>
        </w:tc>
      </w:tr>
      <w:tr w:rsidR="00356F3D" w:rsidRPr="00BC6F59" w14:paraId="6A382C17" w14:textId="77777777" w:rsidTr="00356F3D">
        <w:tc>
          <w:tcPr>
            <w:tcW w:w="3115" w:type="dxa"/>
            <w:vAlign w:val="center"/>
          </w:tcPr>
          <w:p w14:paraId="64389E62" w14:textId="6D13481F" w:rsidR="00356F3D" w:rsidRPr="00BC6F59" w:rsidRDefault="00356F3D" w:rsidP="003E0168">
            <w:pPr>
              <w:jc w:val="both"/>
              <w:rPr>
                <w:rFonts w:ascii="Verdana" w:hAnsi="Verdana" w:cs="Arial"/>
                <w:sz w:val="20"/>
                <w:szCs w:val="20"/>
              </w:rPr>
            </w:pPr>
            <w:r w:rsidRPr="00BC6F59">
              <w:rPr>
                <w:rFonts w:ascii="Verdana" w:hAnsi="Verdana" w:cs="Arial"/>
                <w:sz w:val="20"/>
                <w:szCs w:val="20"/>
              </w:rPr>
              <w:t>Chat de Apoyo Judicial</w:t>
            </w:r>
          </w:p>
        </w:tc>
        <w:tc>
          <w:tcPr>
            <w:tcW w:w="6378" w:type="dxa"/>
            <w:vAlign w:val="center"/>
          </w:tcPr>
          <w:p w14:paraId="6B20F3DC" w14:textId="44D09967" w:rsidR="00356F3D" w:rsidRPr="00BC6F59" w:rsidRDefault="00356F3D" w:rsidP="003E0168">
            <w:pPr>
              <w:jc w:val="both"/>
              <w:rPr>
                <w:rFonts w:ascii="Verdana" w:hAnsi="Verdana" w:cs="Arial"/>
                <w:sz w:val="20"/>
                <w:szCs w:val="20"/>
              </w:rPr>
            </w:pPr>
            <w:r w:rsidRPr="00BC6F59">
              <w:rPr>
                <w:rFonts w:ascii="Verdana" w:hAnsi="Verdana" w:cs="Arial"/>
                <w:sz w:val="20"/>
                <w:szCs w:val="20"/>
              </w:rPr>
              <w:t>Mediate este Chat la ciudadanía puede consultar el estado de los trámites de los procesos de Reorganización, Liquidaciones; Procesos de Intervención Judicial, Admisiones, Negociación de Emergencia (NEAR), Pago de títulos judiciales, Estados, Traslados, Avisos, entre otros.</w:t>
            </w:r>
          </w:p>
        </w:tc>
      </w:tr>
      <w:tr w:rsidR="00356F3D" w:rsidRPr="00BC6F59" w14:paraId="0A864D9E" w14:textId="77777777" w:rsidTr="00356F3D">
        <w:tc>
          <w:tcPr>
            <w:tcW w:w="3115" w:type="dxa"/>
            <w:vAlign w:val="center"/>
          </w:tcPr>
          <w:p w14:paraId="08006139" w14:textId="087BD3CC" w:rsidR="00356F3D" w:rsidRPr="00BC6F59" w:rsidRDefault="00356F3D" w:rsidP="003E0168">
            <w:pPr>
              <w:jc w:val="both"/>
              <w:rPr>
                <w:rFonts w:ascii="Verdana" w:hAnsi="Verdana" w:cs="Arial"/>
                <w:sz w:val="20"/>
                <w:szCs w:val="20"/>
              </w:rPr>
            </w:pPr>
            <w:r w:rsidRPr="00BC6F59">
              <w:rPr>
                <w:rFonts w:ascii="Verdana" w:hAnsi="Verdana" w:cs="Arial"/>
                <w:sz w:val="20"/>
                <w:szCs w:val="20"/>
              </w:rPr>
              <w:t>Chat Temático</w:t>
            </w:r>
          </w:p>
        </w:tc>
        <w:tc>
          <w:tcPr>
            <w:tcW w:w="6378" w:type="dxa"/>
            <w:vAlign w:val="center"/>
          </w:tcPr>
          <w:p w14:paraId="119E8CA5" w14:textId="3DB05F77" w:rsidR="00356F3D" w:rsidRPr="00BC6F59" w:rsidRDefault="00356F3D" w:rsidP="003E0168">
            <w:pPr>
              <w:jc w:val="both"/>
              <w:rPr>
                <w:rFonts w:ascii="Verdana" w:hAnsi="Verdana" w:cs="Arial"/>
                <w:sz w:val="20"/>
                <w:szCs w:val="20"/>
              </w:rPr>
            </w:pPr>
            <w:r w:rsidRPr="00BC6F59">
              <w:rPr>
                <w:rFonts w:ascii="Verdana" w:hAnsi="Verdana" w:cs="Arial"/>
                <w:sz w:val="20"/>
                <w:szCs w:val="20"/>
              </w:rPr>
              <w:t xml:space="preserve">En el Chat Temático se brindará orientación sobre diversos temas de interés como: Captación ilegal, </w:t>
            </w:r>
            <w:r w:rsidR="00C05C30">
              <w:rPr>
                <w:rFonts w:ascii="Verdana" w:hAnsi="Verdana" w:cs="Arial"/>
                <w:sz w:val="20"/>
                <w:szCs w:val="20"/>
              </w:rPr>
              <w:t>Estrategia</w:t>
            </w:r>
            <w:r w:rsidRPr="00BC6F59">
              <w:rPr>
                <w:rFonts w:ascii="Verdana" w:hAnsi="Verdana" w:cs="Arial"/>
                <w:sz w:val="20"/>
                <w:szCs w:val="20"/>
              </w:rPr>
              <w:t>s de Transparencia y Ética Empresarial, responsabilidad de los administradores, operadoras de libranzas y muchos más</w:t>
            </w:r>
          </w:p>
        </w:tc>
      </w:tr>
      <w:tr w:rsidR="00356F3D" w:rsidRPr="00BC6F59" w14:paraId="340ACE0C" w14:textId="77777777" w:rsidTr="00356F3D">
        <w:tc>
          <w:tcPr>
            <w:tcW w:w="3115" w:type="dxa"/>
            <w:vAlign w:val="center"/>
          </w:tcPr>
          <w:p w14:paraId="22EEB673" w14:textId="77777777" w:rsidR="00356F3D" w:rsidRPr="00BC6F59" w:rsidRDefault="00356F3D" w:rsidP="00356F3D">
            <w:pPr>
              <w:jc w:val="both"/>
              <w:rPr>
                <w:rFonts w:ascii="Verdana" w:hAnsi="Verdana" w:cs="Arial"/>
                <w:sz w:val="20"/>
                <w:szCs w:val="20"/>
              </w:rPr>
            </w:pPr>
            <w:r w:rsidRPr="00BC6F59">
              <w:rPr>
                <w:rFonts w:ascii="Verdana" w:hAnsi="Verdana" w:cs="Arial"/>
                <w:sz w:val="20"/>
                <w:szCs w:val="20"/>
              </w:rPr>
              <w:t>Foros Interactivos</w:t>
            </w:r>
          </w:p>
          <w:p w14:paraId="5D5C584D" w14:textId="77777777" w:rsidR="00356F3D" w:rsidRPr="00BC6F59" w:rsidRDefault="00356F3D" w:rsidP="003E0168">
            <w:pPr>
              <w:jc w:val="both"/>
              <w:rPr>
                <w:rFonts w:ascii="Verdana" w:hAnsi="Verdana" w:cs="Arial"/>
                <w:sz w:val="20"/>
                <w:szCs w:val="20"/>
              </w:rPr>
            </w:pPr>
          </w:p>
        </w:tc>
        <w:tc>
          <w:tcPr>
            <w:tcW w:w="6378" w:type="dxa"/>
            <w:vAlign w:val="center"/>
          </w:tcPr>
          <w:p w14:paraId="3AB45AC3" w14:textId="324B1F43" w:rsidR="00356F3D" w:rsidRPr="00BC6F59" w:rsidRDefault="00356F3D" w:rsidP="003E0168">
            <w:pPr>
              <w:jc w:val="both"/>
              <w:rPr>
                <w:rFonts w:ascii="Verdana" w:hAnsi="Verdana" w:cs="Arial"/>
                <w:sz w:val="20"/>
                <w:szCs w:val="20"/>
              </w:rPr>
            </w:pPr>
            <w:r w:rsidRPr="00BC6F59">
              <w:rPr>
                <w:rFonts w:ascii="Verdana" w:hAnsi="Verdana" w:cs="Arial"/>
                <w:sz w:val="20"/>
                <w:szCs w:val="20"/>
              </w:rPr>
              <w:t xml:space="preserve">La Superintendencia de Sociedades </w:t>
            </w:r>
            <w:r w:rsidR="00C05C30">
              <w:rPr>
                <w:rFonts w:ascii="Verdana" w:hAnsi="Verdana" w:cs="Arial"/>
                <w:sz w:val="20"/>
                <w:szCs w:val="20"/>
              </w:rPr>
              <w:t>Estrategia</w:t>
            </w:r>
            <w:r w:rsidRPr="00BC6F59">
              <w:rPr>
                <w:rFonts w:ascii="Verdana" w:hAnsi="Verdana" w:cs="Arial"/>
                <w:sz w:val="20"/>
                <w:szCs w:val="20"/>
              </w:rPr>
              <w:t xml:space="preserve"> una serie de sesiones virtuales para establecer comunicación con los grupos de interés sobre temas de competencia de la Entidad, a través del chat institucional. </w:t>
            </w:r>
          </w:p>
        </w:tc>
      </w:tr>
    </w:tbl>
    <w:p w14:paraId="67199B30" w14:textId="77777777" w:rsidR="003E0168" w:rsidRPr="004759DE" w:rsidRDefault="003E0168" w:rsidP="003E0168">
      <w:pPr>
        <w:spacing w:after="0"/>
        <w:jc w:val="both"/>
        <w:rPr>
          <w:rFonts w:ascii="Verdana" w:hAnsi="Verdana" w:cs="Arial"/>
        </w:rPr>
      </w:pPr>
    </w:p>
    <w:p w14:paraId="6FF0BD41" w14:textId="77777777" w:rsidR="003E0168" w:rsidRPr="004759DE" w:rsidRDefault="003E0168" w:rsidP="003E0168">
      <w:pPr>
        <w:spacing w:after="0"/>
        <w:jc w:val="both"/>
        <w:rPr>
          <w:rFonts w:ascii="Verdana" w:hAnsi="Verdana" w:cs="Arial"/>
        </w:rPr>
      </w:pPr>
    </w:p>
    <w:p w14:paraId="01996206" w14:textId="2E3358A4" w:rsidR="003E0168" w:rsidRPr="004759DE" w:rsidRDefault="003E0168" w:rsidP="0051377F">
      <w:pPr>
        <w:pStyle w:val="Ttulo2"/>
        <w:numPr>
          <w:ilvl w:val="2"/>
          <w:numId w:val="1"/>
        </w:numPr>
        <w:rPr>
          <w:rFonts w:cs="Arial"/>
          <w:szCs w:val="22"/>
        </w:rPr>
      </w:pPr>
      <w:bookmarkStart w:id="21" w:name="_Toc184989062"/>
      <w:bookmarkStart w:id="22" w:name="_Toc212879406"/>
      <w:r w:rsidRPr="004759DE">
        <w:rPr>
          <w:szCs w:val="22"/>
        </w:rPr>
        <w:t>Canales de Correspondencia</w:t>
      </w:r>
      <w:bookmarkEnd w:id="21"/>
      <w:bookmarkEnd w:id="22"/>
    </w:p>
    <w:p w14:paraId="745239F2" w14:textId="77777777" w:rsidR="003E0168" w:rsidRPr="004759DE" w:rsidRDefault="003E0168" w:rsidP="003E0168">
      <w:pPr>
        <w:spacing w:after="0"/>
        <w:jc w:val="both"/>
        <w:rPr>
          <w:rFonts w:ascii="Verdana" w:hAnsi="Verdana" w:cs="Arial"/>
        </w:rPr>
      </w:pPr>
    </w:p>
    <w:p w14:paraId="1185FAD8" w14:textId="77777777" w:rsidR="003E0168" w:rsidRPr="004759DE" w:rsidRDefault="003E0168" w:rsidP="003E0168">
      <w:pPr>
        <w:spacing w:after="0"/>
        <w:jc w:val="both"/>
        <w:rPr>
          <w:rFonts w:ascii="Verdana" w:hAnsi="Verdana" w:cs="Arial"/>
        </w:rPr>
      </w:pPr>
      <w:r w:rsidRPr="004759DE">
        <w:rPr>
          <w:rFonts w:ascii="Verdana" w:hAnsi="Verdana" w:cs="Arial"/>
        </w:rPr>
        <w:t>La ciudadanía puede realizar envíos a las ventanillas de recepción de correspondencia física para la radicación de documentos de sus trámites, consultas y solicitudes, los cuales serán posteriormente remitidos a la dependencia competente para que allí sean resueltas. El horario de radicación es de lunes a viernes de 8:00 a.m. a 5:00 p.m. en jornada continua. </w:t>
      </w:r>
    </w:p>
    <w:p w14:paraId="365B7103" w14:textId="77777777" w:rsidR="003E0168" w:rsidRPr="004759DE" w:rsidRDefault="003E0168" w:rsidP="003E0168">
      <w:pPr>
        <w:spacing w:after="0"/>
        <w:jc w:val="both"/>
        <w:rPr>
          <w:rFonts w:ascii="Verdana" w:hAnsi="Verdana" w:cs="Arial"/>
        </w:rPr>
      </w:pPr>
      <w:r w:rsidRPr="004759DE">
        <w:rPr>
          <w:rFonts w:ascii="Verdana" w:hAnsi="Verdana" w:cs="Arial"/>
        </w:rPr>
        <w:t xml:space="preserve"> </w:t>
      </w:r>
    </w:p>
    <w:p w14:paraId="6D0B5AE7" w14:textId="0EEE3D30" w:rsidR="003E0168" w:rsidRDefault="003E0168" w:rsidP="003E0168">
      <w:pPr>
        <w:spacing w:after="0"/>
        <w:jc w:val="both"/>
        <w:rPr>
          <w:rFonts w:ascii="Verdana" w:hAnsi="Verdana" w:cs="Arial"/>
        </w:rPr>
      </w:pPr>
      <w:r w:rsidRPr="004759DE">
        <w:rPr>
          <w:rFonts w:ascii="Verdana" w:hAnsi="Verdana" w:cs="Arial"/>
        </w:rPr>
        <w:t>Canales de Correspondencia</w:t>
      </w:r>
      <w:r w:rsidR="00323CBE">
        <w:rPr>
          <w:rFonts w:ascii="Verdana" w:hAnsi="Verdana" w:cs="Arial"/>
        </w:rPr>
        <w:t>:</w:t>
      </w:r>
    </w:p>
    <w:p w14:paraId="1EC46E44" w14:textId="77777777" w:rsidR="00181443" w:rsidRPr="004759DE" w:rsidRDefault="00181443" w:rsidP="003E0168">
      <w:pPr>
        <w:spacing w:after="0"/>
        <w:jc w:val="both"/>
        <w:rPr>
          <w:rFonts w:ascii="Verdana" w:hAnsi="Verdana" w:cs="Arial"/>
        </w:rPr>
      </w:pPr>
    </w:p>
    <w:tbl>
      <w:tblPr>
        <w:tblStyle w:val="Tablaconcuadrculaclara"/>
        <w:tblW w:w="9345" w:type="dxa"/>
        <w:jc w:val="center"/>
        <w:tblLook w:val="04A0" w:firstRow="1" w:lastRow="0" w:firstColumn="1" w:lastColumn="0" w:noHBand="0" w:noVBand="1"/>
      </w:tblPr>
      <w:tblGrid>
        <w:gridCol w:w="4415"/>
        <w:gridCol w:w="4930"/>
      </w:tblGrid>
      <w:tr w:rsidR="001E3EE9" w:rsidRPr="00323CBE" w14:paraId="022F5DEE" w14:textId="77777777" w:rsidTr="00A5226A">
        <w:trPr>
          <w:trHeight w:val="500"/>
          <w:tblHeader/>
          <w:jc w:val="center"/>
        </w:trPr>
        <w:tc>
          <w:tcPr>
            <w:tcW w:w="4415" w:type="dxa"/>
            <w:vAlign w:val="center"/>
          </w:tcPr>
          <w:p w14:paraId="7F3AC9E3" w14:textId="35D9D300" w:rsidR="001E3EE9" w:rsidRPr="00323CBE" w:rsidRDefault="006F4477" w:rsidP="006F4477">
            <w:pPr>
              <w:jc w:val="center"/>
              <w:rPr>
                <w:rFonts w:ascii="Verdana" w:hAnsi="Verdana" w:cs="Arial"/>
                <w:b/>
                <w:bCs/>
                <w:sz w:val="20"/>
                <w:szCs w:val="20"/>
              </w:rPr>
            </w:pPr>
            <w:r w:rsidRPr="00323CBE">
              <w:rPr>
                <w:rFonts w:ascii="Verdana" w:hAnsi="Verdana" w:cs="Arial"/>
                <w:b/>
                <w:bCs/>
                <w:sz w:val="20"/>
                <w:szCs w:val="20"/>
              </w:rPr>
              <w:t>ZONA</w:t>
            </w:r>
          </w:p>
        </w:tc>
        <w:tc>
          <w:tcPr>
            <w:tcW w:w="4930" w:type="dxa"/>
            <w:vAlign w:val="center"/>
          </w:tcPr>
          <w:p w14:paraId="2837DD3E" w14:textId="66F766D6" w:rsidR="001E3EE9" w:rsidRPr="00323CBE" w:rsidRDefault="001E3EE9" w:rsidP="001E3EE9">
            <w:pPr>
              <w:jc w:val="center"/>
              <w:rPr>
                <w:rFonts w:ascii="Verdana" w:hAnsi="Verdana" w:cs="Arial"/>
                <w:b/>
                <w:bCs/>
                <w:sz w:val="20"/>
                <w:szCs w:val="20"/>
              </w:rPr>
            </w:pPr>
            <w:r w:rsidRPr="00323CBE">
              <w:rPr>
                <w:rFonts w:ascii="Verdana" w:hAnsi="Verdana" w:cs="Arial"/>
                <w:b/>
                <w:bCs/>
                <w:sz w:val="20"/>
                <w:szCs w:val="20"/>
              </w:rPr>
              <w:t>DIRECCIÓN</w:t>
            </w:r>
          </w:p>
        </w:tc>
      </w:tr>
      <w:tr w:rsidR="001E3EE9" w:rsidRPr="00323CBE" w14:paraId="47B4DFC1" w14:textId="77777777" w:rsidTr="001817AF">
        <w:trPr>
          <w:trHeight w:val="500"/>
          <w:jc w:val="center"/>
        </w:trPr>
        <w:tc>
          <w:tcPr>
            <w:tcW w:w="4415" w:type="dxa"/>
            <w:vAlign w:val="center"/>
          </w:tcPr>
          <w:p w14:paraId="5A54CEBE" w14:textId="51AAA613" w:rsidR="001E3EE9" w:rsidRPr="00323CBE" w:rsidRDefault="006F4477" w:rsidP="00A5226A">
            <w:pPr>
              <w:jc w:val="center"/>
              <w:rPr>
                <w:rFonts w:ascii="Verdana" w:hAnsi="Verdana" w:cs="Arial"/>
                <w:sz w:val="20"/>
                <w:szCs w:val="20"/>
              </w:rPr>
            </w:pPr>
            <w:r w:rsidRPr="00323CBE">
              <w:rPr>
                <w:rFonts w:ascii="Verdana" w:hAnsi="Verdana" w:cs="Arial"/>
                <w:sz w:val="20"/>
                <w:szCs w:val="20"/>
              </w:rPr>
              <w:t>Sede principal Bogotá</w:t>
            </w:r>
          </w:p>
        </w:tc>
        <w:tc>
          <w:tcPr>
            <w:tcW w:w="4930" w:type="dxa"/>
            <w:vAlign w:val="center"/>
            <w:hideMark/>
          </w:tcPr>
          <w:p w14:paraId="048C69F8" w14:textId="77777777" w:rsidR="006F4477"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Av. El Dorado No. 51-80. </w:t>
            </w:r>
          </w:p>
          <w:p w14:paraId="2D483F65" w14:textId="3D33BAA7"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111321</w:t>
            </w:r>
          </w:p>
        </w:tc>
      </w:tr>
      <w:tr w:rsidR="001E3EE9" w:rsidRPr="00323CBE" w14:paraId="3254C9DE" w14:textId="77777777" w:rsidTr="001817AF">
        <w:trPr>
          <w:trHeight w:val="480"/>
          <w:jc w:val="center"/>
        </w:trPr>
        <w:tc>
          <w:tcPr>
            <w:tcW w:w="4415" w:type="dxa"/>
            <w:vAlign w:val="center"/>
          </w:tcPr>
          <w:p w14:paraId="6041855A" w14:textId="5784D526" w:rsidR="001E3EE9" w:rsidRPr="00323CBE" w:rsidRDefault="001E0A2D" w:rsidP="00A5226A">
            <w:pPr>
              <w:jc w:val="center"/>
              <w:rPr>
                <w:rFonts w:ascii="Verdana" w:hAnsi="Verdana" w:cs="Arial"/>
                <w:sz w:val="20"/>
                <w:szCs w:val="20"/>
              </w:rPr>
            </w:pPr>
            <w:r w:rsidRPr="00323CBE">
              <w:rPr>
                <w:rFonts w:ascii="Verdana" w:hAnsi="Verdana" w:cs="Arial"/>
                <w:sz w:val="20"/>
                <w:szCs w:val="20"/>
              </w:rPr>
              <w:t>Intendencia Regional de la Zona Occidental y Costa Pacífica</w:t>
            </w:r>
          </w:p>
        </w:tc>
        <w:tc>
          <w:tcPr>
            <w:tcW w:w="4930" w:type="dxa"/>
            <w:vAlign w:val="center"/>
            <w:hideMark/>
          </w:tcPr>
          <w:p w14:paraId="7201CF3A"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Carrera 49 No. 53-19, Piso 3. </w:t>
            </w:r>
          </w:p>
          <w:p w14:paraId="652AB453" w14:textId="7EC54C01"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050012</w:t>
            </w:r>
          </w:p>
        </w:tc>
      </w:tr>
      <w:tr w:rsidR="001E3EE9" w:rsidRPr="00323CBE" w14:paraId="7D16E668" w14:textId="77777777" w:rsidTr="001817AF">
        <w:trPr>
          <w:trHeight w:val="510"/>
          <w:jc w:val="center"/>
        </w:trPr>
        <w:tc>
          <w:tcPr>
            <w:tcW w:w="4415" w:type="dxa"/>
            <w:vAlign w:val="center"/>
          </w:tcPr>
          <w:p w14:paraId="3B73B035" w14:textId="23CC0DE9" w:rsidR="001E3EE9" w:rsidRPr="00323CBE" w:rsidRDefault="006B0FB9" w:rsidP="00A5226A">
            <w:pPr>
              <w:jc w:val="center"/>
              <w:rPr>
                <w:rFonts w:ascii="Verdana" w:hAnsi="Verdana" w:cs="Arial"/>
                <w:sz w:val="20"/>
                <w:szCs w:val="20"/>
              </w:rPr>
            </w:pPr>
            <w:r w:rsidRPr="00323CBE">
              <w:rPr>
                <w:rFonts w:ascii="Verdana" w:hAnsi="Verdana" w:cs="Arial"/>
                <w:sz w:val="20"/>
                <w:szCs w:val="20"/>
              </w:rPr>
              <w:lastRenderedPageBreak/>
              <w:t xml:space="preserve">Intendencia Regional Zona Sur </w:t>
            </w:r>
            <w:r w:rsidR="00B67F0C" w:rsidRPr="00323CBE">
              <w:rPr>
                <w:rFonts w:ascii="Verdana" w:hAnsi="Verdana" w:cs="Arial"/>
                <w:sz w:val="20"/>
                <w:szCs w:val="20"/>
              </w:rPr>
              <w:t>(Cali)</w:t>
            </w:r>
          </w:p>
        </w:tc>
        <w:tc>
          <w:tcPr>
            <w:tcW w:w="4930" w:type="dxa"/>
            <w:vAlign w:val="center"/>
            <w:hideMark/>
          </w:tcPr>
          <w:p w14:paraId="492FDC1E"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Calle 10 No. 4 – 40, Piso 2 Oficina 201. </w:t>
            </w:r>
          </w:p>
          <w:p w14:paraId="65515AD7" w14:textId="76DE4CA9"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760044</w:t>
            </w:r>
          </w:p>
        </w:tc>
      </w:tr>
      <w:tr w:rsidR="001E3EE9" w:rsidRPr="00323CBE" w14:paraId="564FFC6A" w14:textId="77777777" w:rsidTr="001817AF">
        <w:trPr>
          <w:trHeight w:val="480"/>
          <w:jc w:val="center"/>
        </w:trPr>
        <w:tc>
          <w:tcPr>
            <w:tcW w:w="4415" w:type="dxa"/>
            <w:vAlign w:val="center"/>
          </w:tcPr>
          <w:p w14:paraId="437BE3F4" w14:textId="44149E93" w:rsidR="001E3EE9" w:rsidRPr="00323CBE" w:rsidRDefault="00B67F0C" w:rsidP="00A5226A">
            <w:pPr>
              <w:jc w:val="center"/>
              <w:rPr>
                <w:rFonts w:ascii="Verdana" w:hAnsi="Verdana" w:cs="Arial"/>
                <w:sz w:val="20"/>
                <w:szCs w:val="20"/>
              </w:rPr>
            </w:pPr>
            <w:r w:rsidRPr="00323CBE">
              <w:rPr>
                <w:rFonts w:ascii="Verdana" w:hAnsi="Verdana" w:cs="Arial"/>
                <w:sz w:val="20"/>
                <w:szCs w:val="20"/>
              </w:rPr>
              <w:t>Intendencia Regional de la Zona Eje Cafetero</w:t>
            </w:r>
          </w:p>
        </w:tc>
        <w:tc>
          <w:tcPr>
            <w:tcW w:w="4930" w:type="dxa"/>
            <w:vAlign w:val="center"/>
            <w:hideMark/>
          </w:tcPr>
          <w:p w14:paraId="4DE96F0F"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Calle 21 No. 22 - 42, Piso 4. </w:t>
            </w:r>
          </w:p>
          <w:p w14:paraId="6D7255BC" w14:textId="1AC33588"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170001</w:t>
            </w:r>
          </w:p>
        </w:tc>
      </w:tr>
      <w:tr w:rsidR="001E3EE9" w:rsidRPr="00323CBE" w14:paraId="2F187AC3" w14:textId="77777777" w:rsidTr="001817AF">
        <w:trPr>
          <w:trHeight w:val="480"/>
          <w:jc w:val="center"/>
        </w:trPr>
        <w:tc>
          <w:tcPr>
            <w:tcW w:w="4415" w:type="dxa"/>
            <w:vAlign w:val="center"/>
          </w:tcPr>
          <w:p w14:paraId="44729070" w14:textId="66143D33" w:rsidR="001E3EE9" w:rsidRPr="00323CBE" w:rsidRDefault="001E0A2D" w:rsidP="00A5226A">
            <w:pPr>
              <w:jc w:val="center"/>
              <w:rPr>
                <w:rFonts w:ascii="Verdana" w:hAnsi="Verdana" w:cs="Arial"/>
                <w:sz w:val="20"/>
                <w:szCs w:val="20"/>
              </w:rPr>
            </w:pPr>
            <w:r w:rsidRPr="00323CBE">
              <w:rPr>
                <w:rFonts w:ascii="Verdana" w:hAnsi="Verdana" w:cs="Arial"/>
                <w:sz w:val="20"/>
                <w:szCs w:val="20"/>
              </w:rPr>
              <w:t>Intendencia Regional de la Zona Norte</w:t>
            </w:r>
          </w:p>
        </w:tc>
        <w:tc>
          <w:tcPr>
            <w:tcW w:w="4930" w:type="dxa"/>
            <w:vAlign w:val="center"/>
            <w:hideMark/>
          </w:tcPr>
          <w:p w14:paraId="18E5B040"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Carrera 57 No. 99 A - 65 Etapa 1 Torre Sur Oficina 1101. </w:t>
            </w:r>
          </w:p>
          <w:p w14:paraId="1073372D" w14:textId="6C767EA7"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080001</w:t>
            </w:r>
          </w:p>
        </w:tc>
      </w:tr>
      <w:tr w:rsidR="001E3EE9" w:rsidRPr="00323CBE" w14:paraId="5207796F" w14:textId="77777777" w:rsidTr="001817AF">
        <w:trPr>
          <w:trHeight w:val="570"/>
          <w:jc w:val="center"/>
        </w:trPr>
        <w:tc>
          <w:tcPr>
            <w:tcW w:w="4415" w:type="dxa"/>
            <w:vAlign w:val="center"/>
          </w:tcPr>
          <w:p w14:paraId="40B956E9" w14:textId="317CB887" w:rsidR="001E3EE9" w:rsidRPr="00323CBE" w:rsidRDefault="00B67F0C" w:rsidP="00A5226A">
            <w:pPr>
              <w:jc w:val="center"/>
              <w:rPr>
                <w:rFonts w:ascii="Verdana" w:hAnsi="Verdana" w:cs="Arial"/>
                <w:sz w:val="20"/>
                <w:szCs w:val="20"/>
              </w:rPr>
            </w:pPr>
            <w:r w:rsidRPr="00323CBE">
              <w:rPr>
                <w:rFonts w:ascii="Verdana" w:hAnsi="Verdana" w:cs="Arial"/>
                <w:sz w:val="20"/>
                <w:szCs w:val="20"/>
              </w:rPr>
              <w:t>Intendencia Regional de la Zona de los Santanderes y Arauca</w:t>
            </w:r>
          </w:p>
        </w:tc>
        <w:tc>
          <w:tcPr>
            <w:tcW w:w="4930" w:type="dxa"/>
            <w:vAlign w:val="center"/>
            <w:hideMark/>
          </w:tcPr>
          <w:p w14:paraId="245AFAAC"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Dirección en Bucaramanga: Km. 2.176 Anillo Vial Floridablanca– Girón, Torre 3 Oficina 352.</w:t>
            </w:r>
          </w:p>
          <w:p w14:paraId="47EFB534" w14:textId="6A5CFFA2"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 Código</w:t>
            </w:r>
            <w:r w:rsidR="001E0A2D" w:rsidRPr="00323CBE">
              <w:rPr>
                <w:rFonts w:ascii="Verdana" w:hAnsi="Verdana" w:cs="Arial"/>
                <w:sz w:val="20"/>
                <w:szCs w:val="20"/>
              </w:rPr>
              <w:t xml:space="preserve">: </w:t>
            </w:r>
            <w:r w:rsidR="001E0A2D" w:rsidRPr="00323CBE">
              <w:rPr>
                <w:rFonts w:ascii="Verdana" w:hAnsi="Verdana"/>
                <w:sz w:val="20"/>
                <w:szCs w:val="20"/>
                <w:shd w:val="clear" w:color="auto" w:fill="FFFFFF"/>
              </w:rPr>
              <w:t>681004</w:t>
            </w:r>
            <w:r w:rsidRPr="00323CBE">
              <w:rPr>
                <w:rFonts w:ascii="Verdana" w:hAnsi="Verdana" w:cs="Arial"/>
                <w:sz w:val="20"/>
                <w:szCs w:val="20"/>
              </w:rPr>
              <w:t xml:space="preserve"> </w:t>
            </w:r>
          </w:p>
        </w:tc>
      </w:tr>
      <w:tr w:rsidR="001E3EE9" w:rsidRPr="00323CBE" w14:paraId="3853B595" w14:textId="77777777" w:rsidTr="001817AF">
        <w:trPr>
          <w:trHeight w:val="540"/>
          <w:jc w:val="center"/>
        </w:trPr>
        <w:tc>
          <w:tcPr>
            <w:tcW w:w="4415" w:type="dxa"/>
            <w:vAlign w:val="center"/>
          </w:tcPr>
          <w:p w14:paraId="3D20F287" w14:textId="18BFD535" w:rsidR="001E3EE9" w:rsidRPr="00323CBE" w:rsidRDefault="001E0A2D" w:rsidP="00323CBE">
            <w:pPr>
              <w:jc w:val="center"/>
              <w:rPr>
                <w:rFonts w:ascii="Verdana" w:hAnsi="Verdana" w:cs="Arial"/>
                <w:sz w:val="20"/>
                <w:szCs w:val="20"/>
              </w:rPr>
            </w:pPr>
            <w:r w:rsidRPr="00323CBE">
              <w:rPr>
                <w:rFonts w:ascii="Verdana" w:hAnsi="Verdana" w:cs="Arial"/>
                <w:sz w:val="20"/>
                <w:szCs w:val="20"/>
              </w:rPr>
              <w:t>Intendencia Regional de la Zona Caribe y del Archipiélago de San Andrés, Providencia y Santa Catalina</w:t>
            </w:r>
          </w:p>
        </w:tc>
        <w:tc>
          <w:tcPr>
            <w:tcW w:w="4930" w:type="dxa"/>
            <w:vAlign w:val="center"/>
            <w:hideMark/>
          </w:tcPr>
          <w:p w14:paraId="50FC0D4B" w14:textId="77777777" w:rsidR="00A5226A"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 xml:space="preserve">Dirección en Cartagena: Carrera 27 No 28-39, Piso 11. </w:t>
            </w:r>
          </w:p>
          <w:p w14:paraId="0B9A44F2" w14:textId="0E398DA8" w:rsidR="001E3EE9" w:rsidRPr="00323CBE" w:rsidRDefault="001E3EE9" w:rsidP="001E3EE9">
            <w:pPr>
              <w:spacing w:line="259" w:lineRule="auto"/>
              <w:jc w:val="both"/>
              <w:rPr>
                <w:rFonts w:ascii="Verdana" w:hAnsi="Verdana" w:cs="Arial"/>
                <w:sz w:val="20"/>
                <w:szCs w:val="20"/>
              </w:rPr>
            </w:pPr>
            <w:r w:rsidRPr="00323CBE">
              <w:rPr>
                <w:rFonts w:ascii="Verdana" w:hAnsi="Verdana" w:cs="Arial"/>
                <w:sz w:val="20"/>
                <w:szCs w:val="20"/>
              </w:rPr>
              <w:t>Código Postal: 130003</w:t>
            </w:r>
          </w:p>
        </w:tc>
      </w:tr>
    </w:tbl>
    <w:p w14:paraId="4A8DC164" w14:textId="77777777" w:rsidR="003E0168" w:rsidRPr="004759DE" w:rsidRDefault="003E0168" w:rsidP="003E0168">
      <w:pPr>
        <w:spacing w:after="0"/>
        <w:jc w:val="both"/>
        <w:rPr>
          <w:rFonts w:ascii="Verdana" w:hAnsi="Verdana" w:cs="Arial"/>
        </w:rPr>
      </w:pPr>
    </w:p>
    <w:p w14:paraId="53942AF9" w14:textId="77777777" w:rsidR="00565478" w:rsidRPr="004759DE" w:rsidRDefault="00565478" w:rsidP="003E0168">
      <w:pPr>
        <w:spacing w:after="0"/>
        <w:jc w:val="both"/>
        <w:rPr>
          <w:rFonts w:ascii="Verdana" w:hAnsi="Verdana" w:cs="Arial"/>
        </w:rPr>
      </w:pPr>
    </w:p>
    <w:p w14:paraId="48868139" w14:textId="60CAB459" w:rsidR="003E0168" w:rsidRPr="004759DE" w:rsidRDefault="003E0168" w:rsidP="0051377F">
      <w:pPr>
        <w:pStyle w:val="Ttulo2"/>
        <w:numPr>
          <w:ilvl w:val="2"/>
          <w:numId w:val="1"/>
        </w:numPr>
        <w:rPr>
          <w:szCs w:val="22"/>
        </w:rPr>
      </w:pPr>
      <w:bookmarkStart w:id="23" w:name="_Toc184989063"/>
      <w:bookmarkStart w:id="24" w:name="_Toc212879407"/>
      <w:r w:rsidRPr="004759DE">
        <w:rPr>
          <w:szCs w:val="22"/>
        </w:rPr>
        <w:t>Canal Telefónico</w:t>
      </w:r>
      <w:bookmarkEnd w:id="23"/>
      <w:bookmarkEnd w:id="24"/>
    </w:p>
    <w:p w14:paraId="6B1845D1" w14:textId="77777777" w:rsidR="003E0168" w:rsidRPr="004759DE" w:rsidRDefault="003E0168" w:rsidP="003E0168">
      <w:pPr>
        <w:spacing w:after="0"/>
        <w:jc w:val="both"/>
        <w:rPr>
          <w:rFonts w:ascii="Verdana" w:hAnsi="Verdana" w:cs="Arial"/>
        </w:rPr>
      </w:pPr>
    </w:p>
    <w:p w14:paraId="1D3B4229" w14:textId="77777777" w:rsidR="003E0168" w:rsidRPr="004759DE" w:rsidRDefault="003E0168" w:rsidP="003E0168">
      <w:pPr>
        <w:spacing w:after="0"/>
        <w:jc w:val="both"/>
        <w:rPr>
          <w:rFonts w:ascii="Verdana" w:hAnsi="Verdana" w:cs="Arial"/>
        </w:rPr>
      </w:pPr>
      <w:r w:rsidRPr="004759DE">
        <w:rPr>
          <w:rFonts w:ascii="Verdana" w:hAnsi="Verdana" w:cs="Arial"/>
        </w:rPr>
        <w:t>La entidad tiene a disposición las siguientes líneas telefónicas que estarán activas en el horario de atención: lunes a viernes de 8:00 a.m. a 5:00 p.m. en jornada continua:</w:t>
      </w:r>
    </w:p>
    <w:p w14:paraId="33409EC4" w14:textId="77777777" w:rsidR="003E0168" w:rsidRPr="004759DE" w:rsidRDefault="003E0168" w:rsidP="003E0168">
      <w:pPr>
        <w:spacing w:after="0"/>
        <w:jc w:val="both"/>
        <w:rPr>
          <w:rFonts w:ascii="Verdana" w:hAnsi="Verdana" w:cs="Arial"/>
        </w:rPr>
      </w:pPr>
    </w:p>
    <w:p w14:paraId="511783EB" w14:textId="2AE70487" w:rsidR="003E0168" w:rsidRPr="00181443" w:rsidRDefault="003E0168" w:rsidP="003E0168">
      <w:pPr>
        <w:spacing w:after="0"/>
        <w:jc w:val="both"/>
        <w:rPr>
          <w:rFonts w:ascii="Verdana" w:hAnsi="Verdana" w:cs="Arial"/>
          <w:b/>
          <w:bCs/>
        </w:rPr>
      </w:pPr>
      <w:r w:rsidRPr="00181443">
        <w:rPr>
          <w:rFonts w:ascii="Verdana" w:hAnsi="Verdana" w:cs="Arial"/>
          <w:b/>
          <w:bCs/>
        </w:rPr>
        <w:t>Canales Telefónicos</w:t>
      </w:r>
    </w:p>
    <w:p w14:paraId="1D1D8739" w14:textId="77777777" w:rsidR="009E7D9B" w:rsidRPr="004759DE" w:rsidRDefault="009E7D9B" w:rsidP="003E0168">
      <w:pPr>
        <w:spacing w:after="0"/>
        <w:jc w:val="both"/>
        <w:rPr>
          <w:rFonts w:ascii="Verdana" w:hAnsi="Verdana" w:cs="Arial"/>
        </w:rPr>
      </w:pPr>
    </w:p>
    <w:p w14:paraId="50D3F09A" w14:textId="10D95FE4" w:rsidR="009E7D9B" w:rsidRPr="004759DE" w:rsidRDefault="009E7D9B" w:rsidP="003E0168">
      <w:pPr>
        <w:spacing w:after="0"/>
        <w:jc w:val="both"/>
        <w:rPr>
          <w:rFonts w:ascii="Verdana" w:hAnsi="Verdana" w:cs="Arial"/>
        </w:rPr>
      </w:pPr>
      <w:r w:rsidRPr="004759DE">
        <w:rPr>
          <w:rFonts w:ascii="Verdana" w:hAnsi="Verdana" w:cs="Arial"/>
        </w:rPr>
        <w:t>Desde teléfono fijo, Línea Gratuita Nacional de Atención al Ciudadano, el horario de atención telefónica es de lunes a viernes de 8:00 a.m. a 5:00 pm en jornada continua</w:t>
      </w:r>
    </w:p>
    <w:p w14:paraId="7E405A8F" w14:textId="77777777" w:rsidR="009E7D9B" w:rsidRPr="004759DE" w:rsidRDefault="009E7D9B" w:rsidP="003E0168">
      <w:pPr>
        <w:spacing w:after="0"/>
        <w:jc w:val="both"/>
        <w:rPr>
          <w:rFonts w:ascii="Verdana" w:hAnsi="Verdana" w:cs="Arial"/>
        </w:rPr>
      </w:pPr>
    </w:p>
    <w:tbl>
      <w:tblPr>
        <w:tblStyle w:val="Tablaconcuadrculaclara"/>
        <w:tblW w:w="8222" w:type="dxa"/>
        <w:jc w:val="center"/>
        <w:tblLook w:val="04A0" w:firstRow="1" w:lastRow="0" w:firstColumn="1" w:lastColumn="0" w:noHBand="0" w:noVBand="1"/>
      </w:tblPr>
      <w:tblGrid>
        <w:gridCol w:w="5524"/>
        <w:gridCol w:w="2698"/>
      </w:tblGrid>
      <w:tr w:rsidR="003E0168" w:rsidRPr="00323CBE" w14:paraId="4CE5AA0E" w14:textId="77777777" w:rsidTr="004759DE">
        <w:trPr>
          <w:trHeight w:val="290"/>
          <w:jc w:val="center"/>
        </w:trPr>
        <w:tc>
          <w:tcPr>
            <w:tcW w:w="5524" w:type="dxa"/>
            <w:hideMark/>
          </w:tcPr>
          <w:p w14:paraId="500B856A" w14:textId="77777777" w:rsidR="003E0168" w:rsidRPr="00323CBE" w:rsidRDefault="003E0168" w:rsidP="003E0168">
            <w:pPr>
              <w:spacing w:line="259" w:lineRule="auto"/>
              <w:jc w:val="both"/>
              <w:rPr>
                <w:rFonts w:ascii="Verdana" w:hAnsi="Verdana" w:cs="Arial"/>
                <w:sz w:val="20"/>
                <w:szCs w:val="20"/>
              </w:rPr>
            </w:pPr>
            <w:r w:rsidRPr="00323CBE">
              <w:rPr>
                <w:rFonts w:ascii="Verdana" w:hAnsi="Verdana" w:cs="Arial"/>
                <w:sz w:val="20"/>
                <w:szCs w:val="20"/>
              </w:rPr>
              <w:t>Línea Nacional</w:t>
            </w:r>
          </w:p>
        </w:tc>
        <w:tc>
          <w:tcPr>
            <w:tcW w:w="2698" w:type="dxa"/>
            <w:hideMark/>
          </w:tcPr>
          <w:p w14:paraId="650A081A"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01-8000-114319</w:t>
            </w:r>
          </w:p>
        </w:tc>
      </w:tr>
      <w:tr w:rsidR="003E0168" w:rsidRPr="00323CBE" w14:paraId="088D1F88" w14:textId="77777777" w:rsidTr="004759DE">
        <w:trPr>
          <w:trHeight w:val="290"/>
          <w:jc w:val="center"/>
        </w:trPr>
        <w:tc>
          <w:tcPr>
            <w:tcW w:w="5524" w:type="dxa"/>
            <w:hideMark/>
          </w:tcPr>
          <w:p w14:paraId="21B9C869" w14:textId="77777777" w:rsidR="003E0168" w:rsidRPr="00323CBE" w:rsidRDefault="003E0168" w:rsidP="003E0168">
            <w:pPr>
              <w:spacing w:line="259" w:lineRule="auto"/>
              <w:jc w:val="both"/>
              <w:rPr>
                <w:rFonts w:ascii="Verdana" w:hAnsi="Verdana" w:cs="Arial"/>
                <w:sz w:val="20"/>
                <w:szCs w:val="20"/>
              </w:rPr>
            </w:pPr>
            <w:r w:rsidRPr="00323CBE">
              <w:rPr>
                <w:rFonts w:ascii="Verdana" w:hAnsi="Verdana" w:cs="Arial"/>
                <w:sz w:val="20"/>
                <w:szCs w:val="20"/>
              </w:rPr>
              <w:t>Fax</w:t>
            </w:r>
          </w:p>
        </w:tc>
        <w:tc>
          <w:tcPr>
            <w:tcW w:w="2698" w:type="dxa"/>
            <w:hideMark/>
          </w:tcPr>
          <w:p w14:paraId="6F4A1824"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(601) 3245000</w:t>
            </w:r>
          </w:p>
        </w:tc>
      </w:tr>
      <w:tr w:rsidR="003E0168" w:rsidRPr="00323CBE" w14:paraId="135EDDFC" w14:textId="77777777" w:rsidTr="004759DE">
        <w:trPr>
          <w:trHeight w:val="290"/>
          <w:jc w:val="center"/>
        </w:trPr>
        <w:tc>
          <w:tcPr>
            <w:tcW w:w="5524" w:type="dxa"/>
            <w:hideMark/>
          </w:tcPr>
          <w:p w14:paraId="28FF6106" w14:textId="126314A5"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Intendencia Regional de la Zona Norte</w:t>
            </w:r>
          </w:p>
        </w:tc>
        <w:tc>
          <w:tcPr>
            <w:tcW w:w="2698" w:type="dxa"/>
            <w:hideMark/>
          </w:tcPr>
          <w:p w14:paraId="6839FAFE"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(605) 4010411</w:t>
            </w:r>
          </w:p>
        </w:tc>
      </w:tr>
      <w:tr w:rsidR="003E0168" w:rsidRPr="00323CBE" w14:paraId="74A22BD0" w14:textId="77777777" w:rsidTr="004759DE">
        <w:trPr>
          <w:trHeight w:val="290"/>
          <w:jc w:val="center"/>
        </w:trPr>
        <w:tc>
          <w:tcPr>
            <w:tcW w:w="5524" w:type="dxa"/>
            <w:hideMark/>
          </w:tcPr>
          <w:p w14:paraId="3976BBC1" w14:textId="77777777" w:rsidR="003E0168" w:rsidRPr="00323CBE" w:rsidRDefault="003E0168" w:rsidP="003E0168">
            <w:pPr>
              <w:spacing w:line="259" w:lineRule="auto"/>
              <w:jc w:val="both"/>
              <w:rPr>
                <w:rFonts w:ascii="Verdana" w:hAnsi="Verdana" w:cs="Arial"/>
                <w:sz w:val="20"/>
                <w:szCs w:val="20"/>
              </w:rPr>
            </w:pPr>
            <w:r w:rsidRPr="00323CBE">
              <w:rPr>
                <w:rFonts w:ascii="Verdana" w:hAnsi="Verdana" w:cs="Arial"/>
                <w:sz w:val="20"/>
                <w:szCs w:val="20"/>
              </w:rPr>
              <w:t>Bogotá</w:t>
            </w:r>
          </w:p>
        </w:tc>
        <w:tc>
          <w:tcPr>
            <w:tcW w:w="2698" w:type="dxa"/>
            <w:hideMark/>
          </w:tcPr>
          <w:p w14:paraId="1B0D9F3A"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(601) 2201010</w:t>
            </w:r>
          </w:p>
        </w:tc>
      </w:tr>
      <w:tr w:rsidR="003E0168" w:rsidRPr="00323CBE" w14:paraId="30A21CC4" w14:textId="77777777" w:rsidTr="004759DE">
        <w:trPr>
          <w:trHeight w:val="290"/>
          <w:jc w:val="center"/>
        </w:trPr>
        <w:tc>
          <w:tcPr>
            <w:tcW w:w="5524" w:type="dxa"/>
            <w:hideMark/>
          </w:tcPr>
          <w:p w14:paraId="0C77D02A" w14:textId="7E1BAEDE"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Intendencia Regional de la Zona de los Santanderes y Arauca</w:t>
            </w:r>
          </w:p>
        </w:tc>
        <w:tc>
          <w:tcPr>
            <w:tcW w:w="2698" w:type="dxa"/>
            <w:hideMark/>
          </w:tcPr>
          <w:p w14:paraId="6B7989A3"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(607) 6970911</w:t>
            </w:r>
          </w:p>
        </w:tc>
      </w:tr>
      <w:tr w:rsidR="003E0168" w:rsidRPr="00323CBE" w14:paraId="365318DF" w14:textId="77777777" w:rsidTr="004759DE">
        <w:trPr>
          <w:trHeight w:val="290"/>
          <w:jc w:val="center"/>
        </w:trPr>
        <w:tc>
          <w:tcPr>
            <w:tcW w:w="5524" w:type="dxa"/>
            <w:hideMark/>
          </w:tcPr>
          <w:p w14:paraId="56364A11" w14:textId="07106BF2"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 xml:space="preserve">Intendencia Regional Zona Sur </w:t>
            </w:r>
          </w:p>
        </w:tc>
        <w:tc>
          <w:tcPr>
            <w:tcW w:w="2698" w:type="dxa"/>
            <w:hideMark/>
          </w:tcPr>
          <w:p w14:paraId="7BC45739"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(602) 4851411</w:t>
            </w:r>
          </w:p>
        </w:tc>
      </w:tr>
      <w:tr w:rsidR="003E0168" w:rsidRPr="00323CBE" w14:paraId="36DDE7C3" w14:textId="77777777" w:rsidTr="004759DE">
        <w:trPr>
          <w:trHeight w:val="290"/>
          <w:jc w:val="center"/>
        </w:trPr>
        <w:tc>
          <w:tcPr>
            <w:tcW w:w="5524" w:type="dxa"/>
            <w:hideMark/>
          </w:tcPr>
          <w:p w14:paraId="2CEE03E5" w14:textId="1C09C89B"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Intendencia Regional de la Zona Caribe y del Archipiélago de San Andrés, Providencia y Santa Catalina</w:t>
            </w:r>
          </w:p>
        </w:tc>
        <w:tc>
          <w:tcPr>
            <w:tcW w:w="2698" w:type="dxa"/>
            <w:hideMark/>
          </w:tcPr>
          <w:p w14:paraId="42183CB6"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(605) 6931511</w:t>
            </w:r>
          </w:p>
        </w:tc>
      </w:tr>
      <w:tr w:rsidR="003E0168" w:rsidRPr="00323CBE" w14:paraId="0717B41C" w14:textId="77777777" w:rsidTr="004759DE">
        <w:trPr>
          <w:trHeight w:val="290"/>
          <w:jc w:val="center"/>
        </w:trPr>
        <w:tc>
          <w:tcPr>
            <w:tcW w:w="5524" w:type="dxa"/>
            <w:hideMark/>
          </w:tcPr>
          <w:p w14:paraId="7A10EEEA" w14:textId="3E61A3CC"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Intendencia Regional de la Zona Eje Cafetero</w:t>
            </w:r>
          </w:p>
        </w:tc>
        <w:tc>
          <w:tcPr>
            <w:tcW w:w="2698" w:type="dxa"/>
            <w:hideMark/>
          </w:tcPr>
          <w:p w14:paraId="76AA875B"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(606) 8918610</w:t>
            </w:r>
          </w:p>
        </w:tc>
      </w:tr>
      <w:tr w:rsidR="003E0168" w:rsidRPr="00323CBE" w14:paraId="2E87D49E" w14:textId="77777777" w:rsidTr="004759DE">
        <w:trPr>
          <w:trHeight w:val="290"/>
          <w:jc w:val="center"/>
        </w:trPr>
        <w:tc>
          <w:tcPr>
            <w:tcW w:w="5524" w:type="dxa"/>
            <w:hideMark/>
          </w:tcPr>
          <w:p w14:paraId="33654800" w14:textId="42D59982" w:rsidR="003E0168" w:rsidRPr="00323CBE" w:rsidRDefault="009E7D9B" w:rsidP="003E0168">
            <w:pPr>
              <w:spacing w:line="259" w:lineRule="auto"/>
              <w:jc w:val="both"/>
              <w:rPr>
                <w:rFonts w:ascii="Verdana" w:hAnsi="Verdana" w:cs="Arial"/>
                <w:sz w:val="20"/>
                <w:szCs w:val="20"/>
              </w:rPr>
            </w:pPr>
            <w:r w:rsidRPr="00323CBE">
              <w:rPr>
                <w:rFonts w:ascii="Verdana" w:hAnsi="Verdana" w:cs="Arial"/>
                <w:sz w:val="20"/>
                <w:szCs w:val="20"/>
              </w:rPr>
              <w:t>Intendencia Regional de la Zona Occidental y Costa Pacífica</w:t>
            </w:r>
          </w:p>
        </w:tc>
        <w:tc>
          <w:tcPr>
            <w:tcW w:w="2698" w:type="dxa"/>
            <w:hideMark/>
          </w:tcPr>
          <w:p w14:paraId="4F87F9D2" w14:textId="77777777" w:rsidR="003E0168" w:rsidRPr="00323CBE" w:rsidRDefault="003E0168" w:rsidP="004759DE">
            <w:pPr>
              <w:spacing w:line="259" w:lineRule="auto"/>
              <w:jc w:val="center"/>
              <w:rPr>
                <w:rFonts w:ascii="Verdana" w:hAnsi="Verdana" w:cs="Arial"/>
                <w:sz w:val="20"/>
                <w:szCs w:val="20"/>
              </w:rPr>
            </w:pPr>
            <w:r w:rsidRPr="00323CBE">
              <w:rPr>
                <w:rFonts w:ascii="Verdana" w:hAnsi="Verdana" w:cs="Arial"/>
                <w:sz w:val="20"/>
                <w:szCs w:val="20"/>
              </w:rPr>
              <w:t>(604) 6072811</w:t>
            </w:r>
          </w:p>
        </w:tc>
      </w:tr>
    </w:tbl>
    <w:p w14:paraId="7403960E" w14:textId="77777777" w:rsidR="003E0168" w:rsidRPr="004759DE" w:rsidRDefault="003E0168" w:rsidP="003E0168">
      <w:pPr>
        <w:spacing w:after="0"/>
        <w:jc w:val="both"/>
        <w:rPr>
          <w:rFonts w:ascii="Verdana" w:hAnsi="Verdana" w:cs="Arial"/>
        </w:rPr>
      </w:pPr>
    </w:p>
    <w:p w14:paraId="539C666B" w14:textId="77777777" w:rsidR="003E0168" w:rsidRPr="004759DE" w:rsidRDefault="003E0168" w:rsidP="003E0168">
      <w:pPr>
        <w:spacing w:after="0"/>
        <w:jc w:val="both"/>
        <w:rPr>
          <w:rFonts w:ascii="Verdana" w:hAnsi="Verdana" w:cs="Arial"/>
        </w:rPr>
      </w:pPr>
    </w:p>
    <w:p w14:paraId="32120804" w14:textId="3CBCFEF0" w:rsidR="003E0168" w:rsidRPr="004759DE" w:rsidRDefault="003E0168" w:rsidP="0051377F">
      <w:pPr>
        <w:pStyle w:val="Ttulo2"/>
        <w:numPr>
          <w:ilvl w:val="2"/>
          <w:numId w:val="1"/>
        </w:numPr>
        <w:rPr>
          <w:rFonts w:cs="Arial"/>
          <w:szCs w:val="22"/>
        </w:rPr>
      </w:pPr>
      <w:bookmarkStart w:id="25" w:name="_Toc184989064"/>
      <w:bookmarkStart w:id="26" w:name="_Toc212879408"/>
      <w:r w:rsidRPr="004759DE">
        <w:rPr>
          <w:szCs w:val="22"/>
        </w:rPr>
        <w:lastRenderedPageBreak/>
        <w:t>Canales Presenciales</w:t>
      </w:r>
      <w:bookmarkEnd w:id="25"/>
      <w:bookmarkEnd w:id="26"/>
    </w:p>
    <w:p w14:paraId="78CA3F91" w14:textId="77777777" w:rsidR="003E0168" w:rsidRPr="004759DE" w:rsidRDefault="003E0168" w:rsidP="003E0168">
      <w:pPr>
        <w:spacing w:after="0"/>
        <w:jc w:val="both"/>
        <w:rPr>
          <w:rFonts w:ascii="Verdana" w:hAnsi="Verdana" w:cs="Arial"/>
        </w:rPr>
      </w:pPr>
    </w:p>
    <w:p w14:paraId="01F58DC6" w14:textId="77777777" w:rsidR="003E0168" w:rsidRPr="004759DE" w:rsidRDefault="003E0168" w:rsidP="003E0168">
      <w:pPr>
        <w:spacing w:after="0"/>
        <w:jc w:val="both"/>
        <w:rPr>
          <w:rFonts w:ascii="Verdana" w:hAnsi="Verdana" w:cs="Arial"/>
        </w:rPr>
      </w:pPr>
      <w:r w:rsidRPr="004759DE">
        <w:rPr>
          <w:rFonts w:ascii="Verdana" w:hAnsi="Verdana" w:cs="Arial"/>
        </w:rPr>
        <w:t>La atención para trámites presenciales no requiere de agendamiento de cita previa</w:t>
      </w:r>
    </w:p>
    <w:p w14:paraId="444C8E37" w14:textId="77777777" w:rsidR="003E0168" w:rsidRPr="004759DE" w:rsidRDefault="003E0168" w:rsidP="003E0168">
      <w:pPr>
        <w:spacing w:after="0"/>
        <w:jc w:val="both"/>
        <w:rPr>
          <w:rFonts w:ascii="Verdana" w:hAnsi="Verdana" w:cs="Arial"/>
        </w:rPr>
      </w:pPr>
      <w:r w:rsidRPr="004759DE">
        <w:rPr>
          <w:rFonts w:ascii="Verdana" w:hAnsi="Verdana" w:cs="Arial"/>
        </w:rPr>
        <w:t>Los siguientes trámites solo podrán ser diligenciados en la sede principal:</w:t>
      </w:r>
    </w:p>
    <w:p w14:paraId="47F8B10B" w14:textId="77777777" w:rsidR="003E0168" w:rsidRPr="004759DE" w:rsidRDefault="003E0168" w:rsidP="003E0168">
      <w:pPr>
        <w:spacing w:after="0"/>
        <w:jc w:val="both"/>
        <w:rPr>
          <w:rFonts w:ascii="Verdana" w:hAnsi="Verdana" w:cs="Arial"/>
        </w:rPr>
      </w:pPr>
    </w:p>
    <w:p w14:paraId="2AACD468" w14:textId="77777777" w:rsidR="003E0168" w:rsidRPr="004759DE" w:rsidRDefault="003E0168" w:rsidP="000555C1">
      <w:pPr>
        <w:pStyle w:val="Prrafodelista"/>
        <w:numPr>
          <w:ilvl w:val="0"/>
          <w:numId w:val="26"/>
        </w:numPr>
        <w:rPr>
          <w:rFonts w:ascii="Verdana" w:hAnsi="Verdana" w:cs="Arial"/>
          <w:szCs w:val="22"/>
        </w:rPr>
      </w:pPr>
      <w:r w:rsidRPr="004759DE">
        <w:rPr>
          <w:rFonts w:ascii="Verdana" w:hAnsi="Verdana" w:cs="Arial"/>
          <w:szCs w:val="22"/>
        </w:rPr>
        <w:t>Orientación al Ciudadano</w:t>
      </w:r>
    </w:p>
    <w:p w14:paraId="435D525A" w14:textId="77777777" w:rsidR="003E0168" w:rsidRPr="004759DE" w:rsidRDefault="003E0168" w:rsidP="000555C1">
      <w:pPr>
        <w:pStyle w:val="Prrafodelista"/>
        <w:numPr>
          <w:ilvl w:val="0"/>
          <w:numId w:val="26"/>
        </w:numPr>
        <w:rPr>
          <w:rFonts w:ascii="Verdana" w:hAnsi="Verdana" w:cs="Arial"/>
          <w:szCs w:val="22"/>
        </w:rPr>
      </w:pPr>
      <w:r w:rsidRPr="004759DE">
        <w:rPr>
          <w:rFonts w:ascii="Verdana" w:hAnsi="Verdana" w:cs="Arial"/>
          <w:szCs w:val="22"/>
        </w:rPr>
        <w:t>Consulta de expedientes en Apoyo Judicial</w:t>
      </w:r>
    </w:p>
    <w:p w14:paraId="6E2D25DA" w14:textId="77777777" w:rsidR="003E0168" w:rsidRPr="004759DE" w:rsidRDefault="003E0168" w:rsidP="000555C1">
      <w:pPr>
        <w:pStyle w:val="Prrafodelista"/>
        <w:numPr>
          <w:ilvl w:val="0"/>
          <w:numId w:val="26"/>
        </w:numPr>
        <w:rPr>
          <w:rFonts w:ascii="Verdana" w:hAnsi="Verdana" w:cs="Arial"/>
          <w:szCs w:val="22"/>
        </w:rPr>
      </w:pPr>
      <w:r w:rsidRPr="004759DE">
        <w:rPr>
          <w:rFonts w:ascii="Verdana" w:hAnsi="Verdana" w:cs="Arial"/>
          <w:szCs w:val="22"/>
        </w:rPr>
        <w:t>Consulta de expedientes Administrativos</w:t>
      </w:r>
    </w:p>
    <w:p w14:paraId="55121042" w14:textId="77777777" w:rsidR="003E0168" w:rsidRPr="004759DE" w:rsidRDefault="003E0168" w:rsidP="003E0168">
      <w:pPr>
        <w:spacing w:after="0"/>
        <w:jc w:val="both"/>
        <w:rPr>
          <w:rFonts w:ascii="Verdana" w:hAnsi="Verdana" w:cs="Arial"/>
        </w:rPr>
      </w:pPr>
    </w:p>
    <w:p w14:paraId="31069BC1" w14:textId="176EE63F" w:rsidR="003E0168" w:rsidRPr="004759DE" w:rsidRDefault="00B47BC3" w:rsidP="003E0168">
      <w:pPr>
        <w:spacing w:after="0"/>
        <w:jc w:val="both"/>
        <w:rPr>
          <w:rFonts w:ascii="Verdana" w:hAnsi="Verdana" w:cs="Arial"/>
        </w:rPr>
      </w:pPr>
      <w:r w:rsidRPr="004759DE">
        <w:rPr>
          <w:rFonts w:ascii="Verdana" w:hAnsi="Verdana" w:cs="Arial"/>
        </w:rPr>
        <w:t>Para consultar los canales presenciales se debe remitir al punto 5.5.2. Canales de Correspondencia.</w:t>
      </w:r>
    </w:p>
    <w:p w14:paraId="1B93AE3A" w14:textId="1765345D" w:rsidR="003E0168" w:rsidRPr="004759DE" w:rsidRDefault="003E0168" w:rsidP="003E0168">
      <w:pPr>
        <w:spacing w:after="0"/>
        <w:jc w:val="both"/>
        <w:rPr>
          <w:rFonts w:ascii="Verdana" w:hAnsi="Verdana" w:cs="Arial"/>
        </w:rPr>
      </w:pPr>
    </w:p>
    <w:p w14:paraId="209692CD" w14:textId="77777777" w:rsidR="00237184" w:rsidRPr="004759DE" w:rsidRDefault="00237184" w:rsidP="003E0168">
      <w:pPr>
        <w:spacing w:after="0"/>
        <w:jc w:val="both"/>
        <w:rPr>
          <w:rFonts w:ascii="Verdana" w:hAnsi="Verdana" w:cs="Arial"/>
        </w:rPr>
      </w:pPr>
    </w:p>
    <w:p w14:paraId="180CF63F" w14:textId="38FB2C21" w:rsidR="003E0168" w:rsidRPr="004759DE" w:rsidRDefault="003E0168" w:rsidP="0051377F">
      <w:pPr>
        <w:pStyle w:val="Ttulo2"/>
        <w:numPr>
          <w:ilvl w:val="2"/>
          <w:numId w:val="1"/>
        </w:numPr>
        <w:rPr>
          <w:szCs w:val="22"/>
        </w:rPr>
      </w:pPr>
      <w:bookmarkStart w:id="27" w:name="_Toc184989065"/>
      <w:bookmarkStart w:id="28" w:name="_Toc212879409"/>
      <w:r w:rsidRPr="004759DE">
        <w:rPr>
          <w:szCs w:val="22"/>
        </w:rPr>
        <w:t>Botón Participa</w:t>
      </w:r>
      <w:bookmarkEnd w:id="27"/>
      <w:bookmarkEnd w:id="28"/>
    </w:p>
    <w:p w14:paraId="444FA069" w14:textId="77777777" w:rsidR="003E0168" w:rsidRPr="004759DE" w:rsidRDefault="003E0168" w:rsidP="003E0168">
      <w:pPr>
        <w:spacing w:after="0"/>
        <w:jc w:val="both"/>
        <w:rPr>
          <w:rFonts w:ascii="Verdana" w:hAnsi="Verdana" w:cs="Arial"/>
        </w:rPr>
      </w:pPr>
    </w:p>
    <w:p w14:paraId="3DC9A799" w14:textId="77777777" w:rsidR="003E0168" w:rsidRPr="004759DE" w:rsidRDefault="003E0168" w:rsidP="003E0168">
      <w:pPr>
        <w:spacing w:after="0"/>
        <w:jc w:val="both"/>
        <w:rPr>
          <w:rFonts w:ascii="Verdana" w:hAnsi="Verdana" w:cs="Arial"/>
        </w:rPr>
      </w:pPr>
      <w:r w:rsidRPr="004759DE">
        <w:rPr>
          <w:rFonts w:ascii="Verdana" w:hAnsi="Verdana" w:cs="Arial"/>
        </w:rPr>
        <w:t>Este canal se creó dando cumplimiento a la Resolución 1519 de 2020 del Ministerio de Tecnologías de la Información y las Comunicaciones (MinTIC), la cual establece los estándares y directrices para la publicación de información y el acceso a la información pública. Esta resolución busca garantizar los derechos de acceso a la información, la transparencia y la accesibilidad, dispone la creación de los Botones de Transparencia y Participación, en los sitios web institucionales y el Departamento Administrativo de la Función Pública - DAFP es quien define los lineamientos para la creación de estas herramientas.</w:t>
      </w:r>
    </w:p>
    <w:p w14:paraId="7C2F6F0C" w14:textId="77777777" w:rsidR="003E0168" w:rsidRPr="004759DE" w:rsidRDefault="003E0168" w:rsidP="003E0168">
      <w:pPr>
        <w:spacing w:after="0"/>
        <w:jc w:val="both"/>
        <w:rPr>
          <w:rFonts w:ascii="Verdana" w:hAnsi="Verdana" w:cs="Arial"/>
        </w:rPr>
      </w:pPr>
    </w:p>
    <w:p w14:paraId="42C410BA" w14:textId="77777777" w:rsidR="003E0168" w:rsidRPr="004759DE" w:rsidRDefault="003E0168" w:rsidP="003E0168">
      <w:pPr>
        <w:spacing w:after="0"/>
        <w:jc w:val="both"/>
        <w:rPr>
          <w:rFonts w:ascii="Verdana" w:hAnsi="Verdana" w:cs="Arial"/>
        </w:rPr>
      </w:pPr>
      <w:r w:rsidRPr="004759DE">
        <w:rPr>
          <w:rFonts w:ascii="Verdana" w:hAnsi="Verdana" w:cs="Arial"/>
        </w:rPr>
        <w:t>En este canal se encuentra información sobre los distintos espacios y mecanismos dispuestos por la Superintendencia de Sociedades para facilitar la participación de la ciudadanía y demás grupos de interés en la planeación y gestión institucional.</w:t>
      </w:r>
    </w:p>
    <w:p w14:paraId="76C282AA" w14:textId="77777777" w:rsidR="003E0168" w:rsidRPr="004759DE" w:rsidRDefault="003E0168" w:rsidP="003E0168">
      <w:pPr>
        <w:spacing w:after="0"/>
        <w:jc w:val="both"/>
        <w:rPr>
          <w:rFonts w:ascii="Verdana" w:hAnsi="Verdana" w:cs="Arial"/>
        </w:rPr>
      </w:pPr>
      <w:r w:rsidRPr="004759DE">
        <w:rPr>
          <w:rFonts w:ascii="Verdana" w:hAnsi="Verdana" w:cs="Arial"/>
        </w:rPr>
        <w:br/>
        <w:t>Este espacio se divide en seis secciones y en cada una se indica la manera en que se puede participar, así:</w:t>
      </w:r>
    </w:p>
    <w:p w14:paraId="1F1B9E75" w14:textId="77777777" w:rsidR="003E0168" w:rsidRPr="004759DE" w:rsidRDefault="003E0168" w:rsidP="003C4FCA">
      <w:pPr>
        <w:spacing w:after="0" w:line="240" w:lineRule="auto"/>
        <w:jc w:val="both"/>
        <w:rPr>
          <w:rFonts w:ascii="Verdana" w:hAnsi="Verdana" w:cs="Arial"/>
        </w:rPr>
      </w:pPr>
    </w:p>
    <w:p w14:paraId="019ABB29" w14:textId="77777777" w:rsidR="003E0168" w:rsidRPr="004759DE" w:rsidRDefault="003E0168" w:rsidP="003C4FCA">
      <w:pPr>
        <w:pStyle w:val="Prrafodelista"/>
        <w:numPr>
          <w:ilvl w:val="0"/>
          <w:numId w:val="27"/>
        </w:numPr>
        <w:rPr>
          <w:rFonts w:ascii="Verdana" w:hAnsi="Verdana" w:cs="Arial"/>
          <w:b/>
          <w:bCs/>
          <w:szCs w:val="22"/>
        </w:rPr>
      </w:pPr>
      <w:r w:rsidRPr="004759DE">
        <w:rPr>
          <w:rFonts w:ascii="Verdana" w:hAnsi="Verdana" w:cs="Arial"/>
          <w:b/>
          <w:bCs/>
          <w:szCs w:val="22"/>
        </w:rPr>
        <w:t>Participación en el diagnóstico e identificación de problemas</w:t>
      </w:r>
    </w:p>
    <w:p w14:paraId="7EEE7A16" w14:textId="77777777" w:rsidR="003C4FCA" w:rsidRPr="004759DE" w:rsidRDefault="003C4FCA" w:rsidP="003C4FCA">
      <w:pPr>
        <w:spacing w:after="0" w:line="240" w:lineRule="auto"/>
        <w:rPr>
          <w:rFonts w:ascii="Verdana" w:hAnsi="Verdana" w:cs="Arial"/>
        </w:rPr>
      </w:pPr>
    </w:p>
    <w:p w14:paraId="280AC067" w14:textId="58B04FB3" w:rsidR="003E0168" w:rsidRPr="004759DE" w:rsidRDefault="003E0168" w:rsidP="003C4FCA">
      <w:pPr>
        <w:spacing w:after="0" w:line="240" w:lineRule="auto"/>
        <w:rPr>
          <w:rFonts w:ascii="Verdana" w:hAnsi="Verdana" w:cs="Arial"/>
        </w:rPr>
      </w:pPr>
      <w:r w:rsidRPr="004759DE">
        <w:rPr>
          <w:rFonts w:ascii="Verdana" w:hAnsi="Verdana" w:cs="Arial"/>
        </w:rPr>
        <w:t>Consiste en hacer partícipe a los ciudadanos, sociedades y demás grupos de interés de la Superintendencia de Sociedades en la identificación y solución de necesidades y problemáticas que más les afectan directa o indirectamente.</w:t>
      </w:r>
    </w:p>
    <w:p w14:paraId="3F840536" w14:textId="77777777" w:rsidR="003E0168" w:rsidRPr="004759DE" w:rsidRDefault="003E0168" w:rsidP="003E0168">
      <w:pPr>
        <w:spacing w:after="0"/>
        <w:jc w:val="both"/>
        <w:rPr>
          <w:rFonts w:ascii="Verdana" w:hAnsi="Verdana" w:cs="Arial"/>
        </w:rPr>
      </w:pPr>
    </w:p>
    <w:p w14:paraId="207271B6" w14:textId="77777777" w:rsidR="003E0168" w:rsidRPr="004759DE" w:rsidRDefault="003E0168" w:rsidP="003C4FCA">
      <w:pPr>
        <w:pStyle w:val="Prrafodelista"/>
        <w:numPr>
          <w:ilvl w:val="0"/>
          <w:numId w:val="27"/>
        </w:numPr>
        <w:rPr>
          <w:rFonts w:ascii="Verdana" w:hAnsi="Verdana" w:cs="Arial"/>
          <w:szCs w:val="22"/>
        </w:rPr>
      </w:pPr>
      <w:r w:rsidRPr="004759DE">
        <w:rPr>
          <w:rFonts w:ascii="Verdana" w:hAnsi="Verdana" w:cs="Arial"/>
          <w:b/>
          <w:bCs/>
          <w:szCs w:val="22"/>
        </w:rPr>
        <w:t>Planeación y presupuesto participativo</w:t>
      </w:r>
    </w:p>
    <w:p w14:paraId="61811D38" w14:textId="77777777" w:rsidR="003E0168" w:rsidRPr="004759DE" w:rsidRDefault="003E0168" w:rsidP="003E0168">
      <w:pPr>
        <w:spacing w:after="0"/>
        <w:jc w:val="both"/>
        <w:rPr>
          <w:rFonts w:ascii="Verdana" w:hAnsi="Verdana"/>
          <w:b/>
          <w:bCs/>
        </w:rPr>
      </w:pPr>
    </w:p>
    <w:p w14:paraId="314ADFD6" w14:textId="06FB2EAD" w:rsidR="003E0168" w:rsidRPr="004759DE" w:rsidRDefault="003E0168" w:rsidP="003E0168">
      <w:pPr>
        <w:spacing w:after="0"/>
        <w:jc w:val="both"/>
        <w:rPr>
          <w:rFonts w:ascii="Verdana" w:hAnsi="Verdana" w:cs="Arial"/>
        </w:rPr>
      </w:pPr>
      <w:r w:rsidRPr="004759DE">
        <w:rPr>
          <w:rFonts w:ascii="Verdana" w:hAnsi="Verdana"/>
          <w:b/>
          <w:bCs/>
        </w:rPr>
        <w:lastRenderedPageBreak/>
        <w:t>Planeación participativa:</w:t>
      </w:r>
      <w:r w:rsidRPr="004759DE">
        <w:rPr>
          <w:rFonts w:ascii="Verdana" w:hAnsi="Verdana" w:cs="Arial"/>
        </w:rPr>
        <w:t xml:space="preserve"> La planeación participativa es entendida como el mecanismo mediante el cual la sociedad civil decide el rumbo de las políticas, planes, </w:t>
      </w:r>
      <w:r w:rsidR="00C05C30">
        <w:rPr>
          <w:rFonts w:ascii="Verdana" w:hAnsi="Verdana" w:cs="Arial"/>
        </w:rPr>
        <w:t>Estrategia</w:t>
      </w:r>
      <w:r w:rsidRPr="004759DE">
        <w:rPr>
          <w:rFonts w:ascii="Verdana" w:hAnsi="Verdana" w:cs="Arial"/>
        </w:rPr>
        <w:t>s, proyectos o trámites de acuerdo con sus necesidades.</w:t>
      </w:r>
    </w:p>
    <w:p w14:paraId="2079DD33" w14:textId="63923250" w:rsidR="003E0168" w:rsidRPr="004759DE" w:rsidRDefault="003E0168" w:rsidP="003E0168">
      <w:pPr>
        <w:spacing w:after="0"/>
        <w:jc w:val="both"/>
        <w:rPr>
          <w:rFonts w:ascii="Verdana" w:hAnsi="Verdana" w:cs="Arial"/>
        </w:rPr>
      </w:pPr>
      <w:r w:rsidRPr="004759DE">
        <w:rPr>
          <w:rFonts w:ascii="Verdana" w:hAnsi="Verdana" w:cs="Arial"/>
        </w:rPr>
        <w:br/>
      </w:r>
      <w:r w:rsidRPr="004759DE">
        <w:rPr>
          <w:rFonts w:ascii="Verdana" w:hAnsi="Verdana"/>
          <w:b/>
          <w:bCs/>
        </w:rPr>
        <w:t>Presupuesto participativo:</w:t>
      </w:r>
      <w:r w:rsidRPr="004759DE">
        <w:rPr>
          <w:rFonts w:ascii="Verdana" w:hAnsi="Verdana" w:cs="Arial"/>
        </w:rPr>
        <w:t xml:space="preserve"> De acuerdo con la Ley Estatutaria 1757 de 2015, artículo 90, el proceso del presupuesto participativo es un mecanismo de asignación equitativa, racional, eficiente, eficaz y transparente de los recursos públicos, que fortalece las relaciones Estado-Sociedad Civil. Para ello, los gobiernos regionales y gobiernos locales promueven el desarrollo de mecanismos y estrategias de participación en la </w:t>
      </w:r>
      <w:r w:rsidR="007D689B">
        <w:rPr>
          <w:rFonts w:ascii="Verdana" w:hAnsi="Verdana" w:cs="Arial"/>
        </w:rPr>
        <w:t>programación</w:t>
      </w:r>
      <w:r w:rsidRPr="004759DE">
        <w:rPr>
          <w:rFonts w:ascii="Verdana" w:hAnsi="Verdana" w:cs="Arial"/>
        </w:rPr>
        <w:t xml:space="preserve"> de sus presupuestos, así como en la vigilancia y fiscalización de la gestión de los recursos públicos.</w:t>
      </w:r>
    </w:p>
    <w:p w14:paraId="1E39EAA5" w14:textId="77777777" w:rsidR="00237184" w:rsidRPr="004759DE" w:rsidRDefault="00237184" w:rsidP="003E0168">
      <w:pPr>
        <w:spacing w:after="0"/>
        <w:jc w:val="both"/>
        <w:rPr>
          <w:rFonts w:ascii="Verdana" w:hAnsi="Verdana" w:cs="Arial"/>
        </w:rPr>
      </w:pPr>
    </w:p>
    <w:p w14:paraId="7E27B9CD" w14:textId="77777777" w:rsidR="003E0168" w:rsidRPr="004759DE" w:rsidRDefault="003E0168" w:rsidP="003E0168">
      <w:pPr>
        <w:spacing w:after="0"/>
        <w:jc w:val="both"/>
        <w:rPr>
          <w:rFonts w:ascii="Verdana" w:hAnsi="Verdana" w:cs="Arial"/>
        </w:rPr>
      </w:pPr>
      <w:r w:rsidRPr="004759DE">
        <w:rPr>
          <w:rFonts w:ascii="Verdana" w:hAnsi="Verdana" w:cs="Arial"/>
        </w:rPr>
        <w:t>Según el artículo 91 de la Ley 1757 de 2015, el ejercicio de presupuesto participativo se lleva a cabo por los gobiernos regionales, distritales, municipales y de las localidades, en ese caso, no aplica para la Superintendencia de Sociedades.</w:t>
      </w:r>
    </w:p>
    <w:p w14:paraId="4953088B" w14:textId="77777777" w:rsidR="003E0168" w:rsidRPr="004759DE" w:rsidRDefault="003E0168" w:rsidP="003E0168">
      <w:pPr>
        <w:spacing w:after="0"/>
        <w:jc w:val="both"/>
        <w:rPr>
          <w:rFonts w:ascii="Verdana" w:hAnsi="Verdana" w:cs="Arial"/>
        </w:rPr>
      </w:pPr>
    </w:p>
    <w:p w14:paraId="117B912B" w14:textId="77777777" w:rsidR="003E0168" w:rsidRPr="004759DE" w:rsidRDefault="003E0168" w:rsidP="00C83EC0">
      <w:pPr>
        <w:pStyle w:val="Prrafodelista"/>
        <w:numPr>
          <w:ilvl w:val="0"/>
          <w:numId w:val="27"/>
        </w:numPr>
        <w:rPr>
          <w:rFonts w:ascii="Verdana" w:hAnsi="Verdana" w:cs="Arial"/>
          <w:b/>
          <w:bCs/>
          <w:szCs w:val="22"/>
        </w:rPr>
      </w:pPr>
      <w:r w:rsidRPr="004759DE">
        <w:rPr>
          <w:rFonts w:ascii="Verdana" w:hAnsi="Verdana" w:cs="Arial"/>
          <w:b/>
          <w:bCs/>
          <w:szCs w:val="22"/>
        </w:rPr>
        <w:t>Consulta ciudadana</w:t>
      </w:r>
    </w:p>
    <w:p w14:paraId="4C7CDBD6" w14:textId="77777777" w:rsidR="003E0168" w:rsidRPr="004759DE" w:rsidRDefault="003E0168" w:rsidP="003E0168">
      <w:pPr>
        <w:spacing w:after="0"/>
        <w:jc w:val="both"/>
        <w:rPr>
          <w:rFonts w:ascii="Verdana" w:hAnsi="Verdana" w:cs="Arial"/>
        </w:rPr>
      </w:pPr>
    </w:p>
    <w:p w14:paraId="6D0A89F0" w14:textId="026FAB33" w:rsidR="003E0168" w:rsidRPr="004759DE" w:rsidRDefault="003E0168" w:rsidP="003E0168">
      <w:pPr>
        <w:spacing w:after="0"/>
        <w:jc w:val="both"/>
        <w:rPr>
          <w:rFonts w:ascii="Verdana" w:hAnsi="Verdana" w:cs="Arial"/>
        </w:rPr>
      </w:pPr>
      <w:r w:rsidRPr="004759DE">
        <w:rPr>
          <w:rFonts w:ascii="Verdana" w:hAnsi="Verdana" w:cs="Arial"/>
        </w:rPr>
        <w:t xml:space="preserve">La consulta a la ciudadanía es un mecanismo de participación que busca conocer las opiniones, sugerencias o propuestas, comentarios y aportes de los usuarios, ciudadanos y grupos de interés con respecto a los proyectos, normas, políticas, programas o trámites adelantados por la entidad antes de la formulación de </w:t>
      </w:r>
      <w:r w:rsidR="00847EF3" w:rsidRPr="004759DE">
        <w:rPr>
          <w:rFonts w:ascii="Verdana" w:hAnsi="Verdana" w:cs="Arial"/>
        </w:rPr>
        <w:t>estos</w:t>
      </w:r>
      <w:r w:rsidRPr="004759DE">
        <w:rPr>
          <w:rFonts w:ascii="Verdana" w:hAnsi="Verdana" w:cs="Arial"/>
        </w:rPr>
        <w:t xml:space="preserve"> o la toma de decisiones.</w:t>
      </w:r>
    </w:p>
    <w:p w14:paraId="5C1C9886" w14:textId="77777777" w:rsidR="003E0168" w:rsidRPr="004759DE" w:rsidRDefault="003E0168" w:rsidP="003E0168">
      <w:pPr>
        <w:spacing w:after="0"/>
        <w:jc w:val="both"/>
        <w:rPr>
          <w:rFonts w:ascii="Verdana" w:hAnsi="Verdana" w:cs="Arial"/>
        </w:rPr>
      </w:pPr>
    </w:p>
    <w:p w14:paraId="501421F3" w14:textId="77777777" w:rsidR="003E0168" w:rsidRPr="004759DE" w:rsidRDefault="003E0168" w:rsidP="00847EF3">
      <w:pPr>
        <w:pStyle w:val="Prrafodelista"/>
        <w:numPr>
          <w:ilvl w:val="0"/>
          <w:numId w:val="27"/>
        </w:numPr>
        <w:rPr>
          <w:rFonts w:ascii="Verdana" w:hAnsi="Verdana" w:cs="Arial"/>
          <w:b/>
          <w:bCs/>
          <w:szCs w:val="22"/>
        </w:rPr>
      </w:pPr>
      <w:r w:rsidRPr="004759DE">
        <w:rPr>
          <w:rFonts w:ascii="Verdana" w:hAnsi="Verdana" w:cs="Arial"/>
          <w:b/>
          <w:bCs/>
          <w:szCs w:val="22"/>
        </w:rPr>
        <w:t>Colaboración e innovación</w:t>
      </w:r>
    </w:p>
    <w:p w14:paraId="2F6735E1" w14:textId="77777777" w:rsidR="003E0168" w:rsidRPr="004759DE" w:rsidRDefault="003E0168" w:rsidP="003E0168">
      <w:pPr>
        <w:spacing w:after="0"/>
        <w:jc w:val="both"/>
        <w:rPr>
          <w:rFonts w:ascii="Verdana" w:hAnsi="Verdana" w:cs="Arial"/>
        </w:rPr>
      </w:pPr>
    </w:p>
    <w:p w14:paraId="258AC0F9" w14:textId="77777777" w:rsidR="003E0168" w:rsidRPr="004759DE" w:rsidRDefault="003E0168" w:rsidP="003E0168">
      <w:pPr>
        <w:spacing w:after="0"/>
        <w:jc w:val="both"/>
        <w:rPr>
          <w:rFonts w:ascii="Verdana" w:hAnsi="Verdana" w:cs="Arial"/>
        </w:rPr>
      </w:pPr>
      <w:r w:rsidRPr="004759DE">
        <w:rPr>
          <w:rFonts w:ascii="Verdana" w:hAnsi="Verdana" w:cs="Arial"/>
        </w:rPr>
        <w:t>La colaboración e innovación abierta es entendida como la interacción con la ciudadanía para la búsqueda de soluciones a problemáticas públicas con el conocimiento de los grupos de valor y así resolver los desafíos de las entidades, de modo que se establezcan redes de cooperación y sinergias que permitan comprender las problemáticas o necesidades de una población particular, abrir canales para recibir ideas y propuestas de solución y lograr la selección final de las más viables.</w:t>
      </w:r>
    </w:p>
    <w:p w14:paraId="7F5558D6" w14:textId="77777777" w:rsidR="003E0168" w:rsidRPr="004759DE" w:rsidRDefault="003E0168" w:rsidP="003E0168">
      <w:pPr>
        <w:spacing w:after="0"/>
        <w:jc w:val="both"/>
        <w:rPr>
          <w:rFonts w:ascii="Verdana" w:hAnsi="Verdana" w:cs="Arial"/>
        </w:rPr>
      </w:pPr>
    </w:p>
    <w:p w14:paraId="083E11D1" w14:textId="77777777" w:rsidR="003E0168" w:rsidRPr="004759DE" w:rsidRDefault="003E0168" w:rsidP="000A356A">
      <w:pPr>
        <w:pStyle w:val="Prrafodelista"/>
        <w:numPr>
          <w:ilvl w:val="0"/>
          <w:numId w:val="27"/>
        </w:numPr>
        <w:rPr>
          <w:rFonts w:ascii="Verdana" w:hAnsi="Verdana" w:cs="Arial"/>
          <w:b/>
          <w:bCs/>
          <w:szCs w:val="22"/>
        </w:rPr>
      </w:pPr>
      <w:r w:rsidRPr="004759DE">
        <w:rPr>
          <w:rFonts w:ascii="Verdana" w:hAnsi="Verdana" w:cs="Arial"/>
          <w:b/>
          <w:bCs/>
          <w:szCs w:val="22"/>
        </w:rPr>
        <w:t>Rendición de cuentas</w:t>
      </w:r>
    </w:p>
    <w:p w14:paraId="503E2D02" w14:textId="77777777" w:rsidR="003E0168" w:rsidRPr="004759DE" w:rsidRDefault="003E0168" w:rsidP="003E0168">
      <w:pPr>
        <w:spacing w:after="0"/>
        <w:jc w:val="both"/>
        <w:rPr>
          <w:rFonts w:ascii="Verdana" w:hAnsi="Verdana" w:cs="Arial"/>
        </w:rPr>
      </w:pPr>
    </w:p>
    <w:p w14:paraId="7C517466" w14:textId="77777777" w:rsidR="003E0168" w:rsidRPr="004759DE" w:rsidRDefault="003E0168" w:rsidP="003E0168">
      <w:pPr>
        <w:spacing w:after="0"/>
        <w:jc w:val="both"/>
        <w:rPr>
          <w:rFonts w:ascii="Verdana" w:hAnsi="Verdana" w:cs="Arial"/>
        </w:rPr>
      </w:pPr>
      <w:r w:rsidRPr="004759DE">
        <w:rPr>
          <w:rFonts w:ascii="Verdana" w:hAnsi="Verdana" w:cs="Arial"/>
        </w:rPr>
        <w:t>La rendición de cuentas es el proceso conformado por un conjunto de normas, procedimientos, metodologías, estructuras, prácticas y resultados mediante los que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p>
    <w:p w14:paraId="70332116" w14:textId="77777777" w:rsidR="003E0168" w:rsidRPr="004759DE" w:rsidRDefault="003E0168" w:rsidP="003E0168">
      <w:pPr>
        <w:spacing w:after="0"/>
        <w:jc w:val="both"/>
        <w:rPr>
          <w:rFonts w:ascii="Verdana" w:hAnsi="Verdana" w:cs="Arial"/>
        </w:rPr>
      </w:pPr>
    </w:p>
    <w:p w14:paraId="74893316" w14:textId="77777777" w:rsidR="003E0168" w:rsidRPr="004759DE" w:rsidRDefault="003E0168" w:rsidP="0072793D">
      <w:pPr>
        <w:pStyle w:val="Prrafodelista"/>
        <w:numPr>
          <w:ilvl w:val="0"/>
          <w:numId w:val="27"/>
        </w:numPr>
        <w:rPr>
          <w:rFonts w:ascii="Verdana" w:hAnsi="Verdana" w:cs="Arial"/>
          <w:b/>
          <w:bCs/>
          <w:szCs w:val="22"/>
        </w:rPr>
      </w:pPr>
      <w:r w:rsidRPr="004759DE">
        <w:rPr>
          <w:rFonts w:ascii="Verdana" w:hAnsi="Verdana" w:cs="Arial"/>
          <w:b/>
          <w:bCs/>
          <w:szCs w:val="22"/>
        </w:rPr>
        <w:t>Control social</w:t>
      </w:r>
    </w:p>
    <w:p w14:paraId="4E79DAFD" w14:textId="77777777" w:rsidR="003E0168" w:rsidRPr="004759DE" w:rsidRDefault="003E0168" w:rsidP="003E0168">
      <w:pPr>
        <w:spacing w:after="0"/>
        <w:jc w:val="both"/>
        <w:rPr>
          <w:rFonts w:ascii="Verdana" w:hAnsi="Verdana" w:cs="Arial"/>
        </w:rPr>
      </w:pPr>
    </w:p>
    <w:p w14:paraId="33D2E976" w14:textId="77777777" w:rsidR="003E0168" w:rsidRPr="004759DE" w:rsidRDefault="003E0168" w:rsidP="003E0168">
      <w:pPr>
        <w:spacing w:after="0"/>
        <w:jc w:val="both"/>
        <w:rPr>
          <w:rFonts w:ascii="Verdana" w:hAnsi="Verdana" w:cs="Arial"/>
        </w:rPr>
      </w:pPr>
      <w:r w:rsidRPr="004759DE">
        <w:rPr>
          <w:rFonts w:ascii="Verdana" w:hAnsi="Verdana" w:cs="Arial"/>
        </w:rPr>
        <w:t>El control social es el derecho y el deber de los ciudadanos a participar, de manera individual o a través de sus organizaciones, redes sociales e instituciones, en la vigilancia de la gestión pública y sus resultados de acuerdo con lo establecido en la regulación aplicable y correcta utilización de los recursos y bienes públicos.</w:t>
      </w:r>
    </w:p>
    <w:p w14:paraId="3D532DA2" w14:textId="77777777" w:rsidR="003E0168" w:rsidRPr="004759DE" w:rsidRDefault="003E0168" w:rsidP="003E0168">
      <w:pPr>
        <w:spacing w:after="0"/>
        <w:jc w:val="both"/>
        <w:rPr>
          <w:rFonts w:ascii="Verdana" w:hAnsi="Verdana" w:cs="Arial"/>
        </w:rPr>
      </w:pPr>
    </w:p>
    <w:p w14:paraId="3B0A6A8E" w14:textId="4CB2A09E" w:rsidR="003E0168" w:rsidRPr="004759DE" w:rsidRDefault="003E0168" w:rsidP="003E0168">
      <w:pPr>
        <w:spacing w:after="0"/>
        <w:jc w:val="both"/>
        <w:rPr>
          <w:rFonts w:ascii="Verdana" w:hAnsi="Verdana" w:cs="Arial"/>
        </w:rPr>
      </w:pPr>
      <w:r w:rsidRPr="004759DE">
        <w:rPr>
          <w:rFonts w:ascii="Verdana" w:hAnsi="Verdana" w:cs="Arial"/>
        </w:rPr>
        <w:t>La Superintendencia de Sociedades convoca a la ciudadanía en general y organizaciones civiles a realizar control social a la gestión y resultados de la Entidad y para ello pone a disposición de los interesados información sobre contratación, proyectos o s institucionales, políticas públicas, proyectos de inversión, presupuesto, talento humano y trámites institucionales:</w:t>
      </w:r>
    </w:p>
    <w:p w14:paraId="3D003BA4" w14:textId="77777777" w:rsidR="000D254B" w:rsidRPr="004759DE" w:rsidRDefault="000D254B" w:rsidP="003E0168">
      <w:pPr>
        <w:spacing w:after="0"/>
        <w:jc w:val="both"/>
        <w:rPr>
          <w:rFonts w:ascii="Verdana" w:hAnsi="Verdana" w:cs="Arial"/>
        </w:rPr>
      </w:pPr>
    </w:p>
    <w:p w14:paraId="194E1B55" w14:textId="17FA365D" w:rsidR="003E0168" w:rsidRPr="004759DE" w:rsidRDefault="003E0168" w:rsidP="003E0168">
      <w:pPr>
        <w:spacing w:after="0"/>
        <w:jc w:val="both"/>
        <w:rPr>
          <w:rFonts w:ascii="Verdana" w:hAnsi="Verdana" w:cs="Arial"/>
          <w:b/>
          <w:bCs/>
        </w:rPr>
      </w:pPr>
      <w:r w:rsidRPr="004759DE">
        <w:rPr>
          <w:rFonts w:ascii="Verdana" w:hAnsi="Verdana" w:cs="Arial"/>
          <w:b/>
          <w:bCs/>
        </w:rPr>
        <w:t>Temas de Control Social</w:t>
      </w:r>
      <w:r w:rsidR="00186A70" w:rsidRPr="004759DE">
        <w:rPr>
          <w:rFonts w:ascii="Verdana" w:hAnsi="Verdana" w:cs="Arial"/>
          <w:b/>
          <w:bCs/>
        </w:rPr>
        <w:t>:</w:t>
      </w:r>
    </w:p>
    <w:p w14:paraId="4734E005" w14:textId="77777777" w:rsidR="000D254B" w:rsidRPr="004759DE" w:rsidRDefault="000D254B" w:rsidP="003E0168">
      <w:pPr>
        <w:spacing w:after="0"/>
        <w:jc w:val="both"/>
        <w:rPr>
          <w:rFonts w:ascii="Verdana" w:hAnsi="Verdana" w:cs="Arial"/>
        </w:rPr>
      </w:pPr>
    </w:p>
    <w:tbl>
      <w:tblPr>
        <w:tblStyle w:val="Tablaconcuadrculaclara"/>
        <w:tblW w:w="9209" w:type="dxa"/>
        <w:jc w:val="center"/>
        <w:tblLayout w:type="fixed"/>
        <w:tblLook w:val="04A0" w:firstRow="1" w:lastRow="0" w:firstColumn="1" w:lastColumn="0" w:noHBand="0" w:noVBand="1"/>
      </w:tblPr>
      <w:tblGrid>
        <w:gridCol w:w="1555"/>
        <w:gridCol w:w="4252"/>
        <w:gridCol w:w="3402"/>
      </w:tblGrid>
      <w:tr w:rsidR="003E0168" w:rsidRPr="00056480" w14:paraId="5F05FC31" w14:textId="77777777" w:rsidTr="00463795">
        <w:trPr>
          <w:trHeight w:val="420"/>
          <w:tblHeader/>
          <w:jc w:val="center"/>
        </w:trPr>
        <w:tc>
          <w:tcPr>
            <w:tcW w:w="1555" w:type="dxa"/>
            <w:vAlign w:val="center"/>
            <w:hideMark/>
          </w:tcPr>
          <w:p w14:paraId="647B5575" w14:textId="77777777" w:rsidR="003E0168" w:rsidRPr="00056480" w:rsidRDefault="003E0168" w:rsidP="000D254B">
            <w:pPr>
              <w:spacing w:line="259" w:lineRule="auto"/>
              <w:jc w:val="center"/>
              <w:rPr>
                <w:rFonts w:ascii="Verdana" w:hAnsi="Verdana" w:cs="Arial"/>
                <w:b/>
                <w:bCs/>
                <w:sz w:val="20"/>
                <w:szCs w:val="20"/>
              </w:rPr>
            </w:pPr>
            <w:r w:rsidRPr="00056480">
              <w:rPr>
                <w:rFonts w:ascii="Verdana" w:hAnsi="Verdana" w:cs="Arial"/>
                <w:b/>
                <w:bCs/>
                <w:sz w:val="20"/>
                <w:szCs w:val="20"/>
              </w:rPr>
              <w:t>Tema objeto de vigilancia</w:t>
            </w:r>
          </w:p>
        </w:tc>
        <w:tc>
          <w:tcPr>
            <w:tcW w:w="4252" w:type="dxa"/>
            <w:vAlign w:val="center"/>
            <w:hideMark/>
          </w:tcPr>
          <w:p w14:paraId="6A8A5194" w14:textId="77777777" w:rsidR="003E0168" w:rsidRPr="00056480" w:rsidRDefault="003E0168" w:rsidP="000D254B">
            <w:pPr>
              <w:spacing w:line="259" w:lineRule="auto"/>
              <w:jc w:val="center"/>
              <w:rPr>
                <w:rFonts w:ascii="Verdana" w:hAnsi="Verdana" w:cs="Arial"/>
                <w:b/>
                <w:bCs/>
                <w:sz w:val="20"/>
                <w:szCs w:val="20"/>
              </w:rPr>
            </w:pPr>
            <w:r w:rsidRPr="00056480">
              <w:rPr>
                <w:rFonts w:ascii="Verdana" w:hAnsi="Verdana" w:cs="Arial"/>
                <w:b/>
                <w:bCs/>
                <w:sz w:val="20"/>
                <w:szCs w:val="20"/>
              </w:rPr>
              <w:t>Resumen</w:t>
            </w:r>
          </w:p>
        </w:tc>
        <w:tc>
          <w:tcPr>
            <w:tcW w:w="3402" w:type="dxa"/>
            <w:vAlign w:val="center"/>
            <w:hideMark/>
          </w:tcPr>
          <w:p w14:paraId="57688011" w14:textId="77777777" w:rsidR="003E0168" w:rsidRPr="00056480" w:rsidRDefault="003E0168" w:rsidP="000D254B">
            <w:pPr>
              <w:spacing w:line="259" w:lineRule="auto"/>
              <w:jc w:val="center"/>
              <w:rPr>
                <w:rFonts w:ascii="Verdana" w:hAnsi="Verdana" w:cs="Arial"/>
                <w:b/>
                <w:bCs/>
                <w:sz w:val="20"/>
                <w:szCs w:val="20"/>
              </w:rPr>
            </w:pPr>
            <w:r w:rsidRPr="00056480">
              <w:rPr>
                <w:rFonts w:ascii="Verdana" w:hAnsi="Verdana" w:cs="Arial"/>
                <w:b/>
                <w:bCs/>
                <w:sz w:val="20"/>
                <w:szCs w:val="20"/>
              </w:rPr>
              <w:t>Lugar de consulta</w:t>
            </w:r>
          </w:p>
        </w:tc>
      </w:tr>
      <w:tr w:rsidR="003E0168" w:rsidRPr="00056480" w14:paraId="6029B92F" w14:textId="77777777" w:rsidTr="00463795">
        <w:trPr>
          <w:trHeight w:val="814"/>
          <w:jc w:val="center"/>
        </w:trPr>
        <w:tc>
          <w:tcPr>
            <w:tcW w:w="1555" w:type="dxa"/>
            <w:vAlign w:val="center"/>
            <w:hideMark/>
          </w:tcPr>
          <w:p w14:paraId="03A8D2D9"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Contratación</w:t>
            </w:r>
          </w:p>
        </w:tc>
        <w:tc>
          <w:tcPr>
            <w:tcW w:w="4252" w:type="dxa"/>
            <w:vAlign w:val="center"/>
            <w:hideMark/>
          </w:tcPr>
          <w:p w14:paraId="7EAD89A6"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En esta sección encontrará información relevante sobre el Plan Anual de Adquisición, información contractual, ejecución de los contratos y el manual de contratación de la Entidad, entre otros.</w:t>
            </w:r>
          </w:p>
        </w:tc>
        <w:tc>
          <w:tcPr>
            <w:tcW w:w="3402" w:type="dxa"/>
            <w:vAlign w:val="center"/>
            <w:hideMark/>
          </w:tcPr>
          <w:p w14:paraId="628695B2" w14:textId="77777777" w:rsidR="003E0168" w:rsidRPr="00056480" w:rsidRDefault="003E0168" w:rsidP="003E0168">
            <w:pPr>
              <w:spacing w:line="259" w:lineRule="auto"/>
              <w:jc w:val="both"/>
              <w:rPr>
                <w:rFonts w:ascii="Verdana" w:hAnsi="Verdana" w:cs="Arial"/>
                <w:sz w:val="20"/>
                <w:szCs w:val="20"/>
              </w:rPr>
            </w:pPr>
            <w:hyperlink r:id="rId9" w:history="1">
              <w:r w:rsidRPr="00056480">
                <w:rPr>
                  <w:rFonts w:ascii="Verdana" w:hAnsi="Verdana" w:cs="Arial"/>
                  <w:sz w:val="20"/>
                  <w:szCs w:val="20"/>
                </w:rPr>
                <w:t>https://www.supersociedades.gov.co/es/web/nuestra-entidad/contratacion</w:t>
              </w:r>
            </w:hyperlink>
          </w:p>
        </w:tc>
      </w:tr>
      <w:tr w:rsidR="003E0168" w:rsidRPr="00056480" w14:paraId="49A18119" w14:textId="77777777" w:rsidTr="00463795">
        <w:trPr>
          <w:trHeight w:val="699"/>
          <w:jc w:val="center"/>
        </w:trPr>
        <w:tc>
          <w:tcPr>
            <w:tcW w:w="1555" w:type="dxa"/>
            <w:vAlign w:val="center"/>
            <w:hideMark/>
          </w:tcPr>
          <w:p w14:paraId="3BB23304"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Planeación Estratégica</w:t>
            </w:r>
          </w:p>
        </w:tc>
        <w:tc>
          <w:tcPr>
            <w:tcW w:w="4252" w:type="dxa"/>
            <w:vAlign w:val="center"/>
            <w:hideMark/>
          </w:tcPr>
          <w:p w14:paraId="3E5BEC5B"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Esta sección contiene información sobre el Plan Estratégico Institucional con metas e indicadores estratégicos.</w:t>
            </w:r>
          </w:p>
        </w:tc>
        <w:tc>
          <w:tcPr>
            <w:tcW w:w="3402" w:type="dxa"/>
            <w:vAlign w:val="center"/>
            <w:hideMark/>
          </w:tcPr>
          <w:p w14:paraId="678738F8" w14:textId="77777777" w:rsidR="003E0168" w:rsidRPr="00056480" w:rsidRDefault="003E0168" w:rsidP="003E0168">
            <w:pPr>
              <w:spacing w:line="259" w:lineRule="auto"/>
              <w:jc w:val="both"/>
              <w:rPr>
                <w:rFonts w:ascii="Verdana" w:hAnsi="Verdana" w:cs="Arial"/>
                <w:sz w:val="20"/>
                <w:szCs w:val="20"/>
              </w:rPr>
            </w:pPr>
            <w:hyperlink r:id="rId10" w:history="1">
              <w:r w:rsidRPr="00056480">
                <w:rPr>
                  <w:rFonts w:ascii="Verdana" w:hAnsi="Verdana" w:cs="Arial"/>
                  <w:sz w:val="20"/>
                  <w:szCs w:val="20"/>
                </w:rPr>
                <w:t>https://www.supersociedades.gov.co/es/web/nuestra-entidad/planeacion-estrategica-y-dofa</w:t>
              </w:r>
            </w:hyperlink>
          </w:p>
        </w:tc>
      </w:tr>
      <w:tr w:rsidR="003E0168" w:rsidRPr="00056480" w14:paraId="5E0ECCD7" w14:textId="77777777" w:rsidTr="00463795">
        <w:trPr>
          <w:trHeight w:val="698"/>
          <w:jc w:val="center"/>
        </w:trPr>
        <w:tc>
          <w:tcPr>
            <w:tcW w:w="1555" w:type="dxa"/>
            <w:vAlign w:val="center"/>
            <w:hideMark/>
          </w:tcPr>
          <w:p w14:paraId="53E27159" w14:textId="51CB9295"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Proyectos instituciona</w:t>
            </w:r>
            <w:r w:rsidR="00181443" w:rsidRPr="00056480">
              <w:rPr>
                <w:rFonts w:ascii="Verdana" w:hAnsi="Verdana" w:cs="Arial"/>
                <w:sz w:val="20"/>
                <w:szCs w:val="20"/>
              </w:rPr>
              <w:t>-</w:t>
            </w:r>
            <w:r w:rsidRPr="00056480">
              <w:rPr>
                <w:rFonts w:ascii="Verdana" w:hAnsi="Verdana" w:cs="Arial"/>
                <w:sz w:val="20"/>
                <w:szCs w:val="20"/>
              </w:rPr>
              <w:t>les</w:t>
            </w:r>
          </w:p>
        </w:tc>
        <w:tc>
          <w:tcPr>
            <w:tcW w:w="4252" w:type="dxa"/>
            <w:vAlign w:val="center"/>
            <w:hideMark/>
          </w:tcPr>
          <w:p w14:paraId="3123584C"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Se refiere a la información de los proyectos estratégicos de la Entidad con sus actividades, cronogramas, entregables y responsables.</w:t>
            </w:r>
          </w:p>
        </w:tc>
        <w:tc>
          <w:tcPr>
            <w:tcW w:w="3402" w:type="dxa"/>
            <w:vAlign w:val="center"/>
            <w:hideMark/>
          </w:tcPr>
          <w:p w14:paraId="33FF23D7" w14:textId="77777777" w:rsidR="003E0168" w:rsidRPr="00056480" w:rsidRDefault="003E0168" w:rsidP="003E0168">
            <w:pPr>
              <w:spacing w:line="259" w:lineRule="auto"/>
              <w:jc w:val="both"/>
              <w:rPr>
                <w:rFonts w:ascii="Verdana" w:hAnsi="Verdana" w:cs="Arial"/>
                <w:sz w:val="20"/>
                <w:szCs w:val="20"/>
              </w:rPr>
            </w:pPr>
            <w:hyperlink r:id="rId11" w:history="1">
              <w:r w:rsidRPr="00056480">
                <w:rPr>
                  <w:rFonts w:ascii="Verdana" w:hAnsi="Verdana" w:cs="Arial"/>
                  <w:sz w:val="20"/>
                  <w:szCs w:val="20"/>
                </w:rPr>
                <w:t>https://www.supersociedades.gov.co/web/nuestra-entidad/planes-de-accion-estrategicos</w:t>
              </w:r>
            </w:hyperlink>
          </w:p>
        </w:tc>
      </w:tr>
      <w:tr w:rsidR="003E0168" w:rsidRPr="00056480" w14:paraId="7D2E5953" w14:textId="77777777" w:rsidTr="00463795">
        <w:trPr>
          <w:trHeight w:val="697"/>
          <w:jc w:val="center"/>
        </w:trPr>
        <w:tc>
          <w:tcPr>
            <w:tcW w:w="1555" w:type="dxa"/>
            <w:vAlign w:val="center"/>
            <w:hideMark/>
          </w:tcPr>
          <w:p w14:paraId="78D536DC"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Proyectos de inversión</w:t>
            </w:r>
          </w:p>
        </w:tc>
        <w:tc>
          <w:tcPr>
            <w:tcW w:w="4252" w:type="dxa"/>
            <w:vAlign w:val="center"/>
            <w:hideMark/>
          </w:tcPr>
          <w:p w14:paraId="26A67F33"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En esta sección se encuentra información sobre la ejecución de proyectos que son financiados con recursos de inversión del presupuesto nacional. </w:t>
            </w:r>
          </w:p>
        </w:tc>
        <w:tc>
          <w:tcPr>
            <w:tcW w:w="3402" w:type="dxa"/>
            <w:vAlign w:val="center"/>
            <w:hideMark/>
          </w:tcPr>
          <w:p w14:paraId="5C6A82F2" w14:textId="7BC89FBE" w:rsidR="003E0168" w:rsidRPr="00056480" w:rsidRDefault="003E0168" w:rsidP="003E0168">
            <w:pPr>
              <w:spacing w:line="259" w:lineRule="auto"/>
              <w:jc w:val="both"/>
              <w:rPr>
                <w:rFonts w:ascii="Verdana" w:hAnsi="Verdana" w:cs="Arial"/>
                <w:sz w:val="20"/>
                <w:szCs w:val="20"/>
              </w:rPr>
            </w:pPr>
            <w:hyperlink r:id="rId12" w:history="1">
              <w:r w:rsidRPr="00056480">
                <w:rPr>
                  <w:rFonts w:ascii="Verdana" w:hAnsi="Verdana" w:cs="Arial"/>
                  <w:sz w:val="20"/>
                  <w:szCs w:val="20"/>
                </w:rPr>
                <w:t>https://www.supersociedades.gov.co/web/nuestra-entidad/programas-y-proyectos-en-ejecucion</w:t>
              </w:r>
            </w:hyperlink>
          </w:p>
        </w:tc>
      </w:tr>
      <w:tr w:rsidR="003E0168" w:rsidRPr="00056480" w14:paraId="62938EC6" w14:textId="77777777" w:rsidTr="00463795">
        <w:trPr>
          <w:trHeight w:val="699"/>
          <w:jc w:val="center"/>
        </w:trPr>
        <w:tc>
          <w:tcPr>
            <w:tcW w:w="1555" w:type="dxa"/>
            <w:vAlign w:val="center"/>
            <w:hideMark/>
          </w:tcPr>
          <w:p w14:paraId="7625B611"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Presupuesto</w:t>
            </w:r>
          </w:p>
        </w:tc>
        <w:tc>
          <w:tcPr>
            <w:tcW w:w="4252" w:type="dxa"/>
            <w:vAlign w:val="center"/>
            <w:hideMark/>
          </w:tcPr>
          <w:p w14:paraId="1FC6A031"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En esta sección se encuentra la información relacionada con el Presupuesto general de ingresos, gastos e inversión de cada año fiscal, incluyendo sus modificaciones.</w:t>
            </w:r>
          </w:p>
        </w:tc>
        <w:tc>
          <w:tcPr>
            <w:tcW w:w="3402" w:type="dxa"/>
            <w:vAlign w:val="center"/>
            <w:hideMark/>
          </w:tcPr>
          <w:p w14:paraId="21FC2E93" w14:textId="77777777" w:rsidR="003E0168" w:rsidRPr="00056480" w:rsidRDefault="003E0168" w:rsidP="003E0168">
            <w:pPr>
              <w:spacing w:line="259" w:lineRule="auto"/>
              <w:jc w:val="both"/>
              <w:rPr>
                <w:rFonts w:ascii="Verdana" w:hAnsi="Verdana" w:cs="Arial"/>
                <w:sz w:val="20"/>
                <w:szCs w:val="20"/>
              </w:rPr>
            </w:pPr>
            <w:hyperlink r:id="rId13" w:history="1">
              <w:r w:rsidRPr="00056480">
                <w:rPr>
                  <w:rFonts w:ascii="Verdana" w:hAnsi="Verdana" w:cs="Arial"/>
                  <w:sz w:val="20"/>
                  <w:szCs w:val="20"/>
                </w:rPr>
                <w:t>https://www.supersociedades.gov.co/web/nuestra-entidad/presupuesto-general</w:t>
              </w:r>
            </w:hyperlink>
          </w:p>
        </w:tc>
      </w:tr>
      <w:tr w:rsidR="003E0168" w:rsidRPr="00056480" w14:paraId="666DA99E" w14:textId="77777777" w:rsidTr="00463795">
        <w:trPr>
          <w:trHeight w:val="528"/>
          <w:jc w:val="center"/>
        </w:trPr>
        <w:tc>
          <w:tcPr>
            <w:tcW w:w="1555" w:type="dxa"/>
            <w:vMerge w:val="restart"/>
            <w:vAlign w:val="center"/>
            <w:hideMark/>
          </w:tcPr>
          <w:p w14:paraId="51D925CF"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lastRenderedPageBreak/>
              <w:t>Talento humano</w:t>
            </w:r>
          </w:p>
        </w:tc>
        <w:tc>
          <w:tcPr>
            <w:tcW w:w="4252" w:type="dxa"/>
            <w:vMerge w:val="restart"/>
            <w:vAlign w:val="center"/>
            <w:hideMark/>
          </w:tcPr>
          <w:p w14:paraId="128C54E9"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En esta sección encontrará información relevante sobre servidores públicos, contratistas, aspirantes, reporte mensual de nombramientos y manual de funciones, entre otros.</w:t>
            </w:r>
          </w:p>
        </w:tc>
        <w:tc>
          <w:tcPr>
            <w:tcW w:w="3402" w:type="dxa"/>
            <w:vAlign w:val="center"/>
            <w:hideMark/>
          </w:tcPr>
          <w:p w14:paraId="2CA238E6" w14:textId="77777777" w:rsidR="003E0168" w:rsidRPr="00056480" w:rsidRDefault="003E0168" w:rsidP="003E0168">
            <w:pPr>
              <w:spacing w:line="259" w:lineRule="auto"/>
              <w:jc w:val="both"/>
              <w:rPr>
                <w:rFonts w:ascii="Verdana" w:hAnsi="Verdana" w:cs="Arial"/>
                <w:sz w:val="20"/>
                <w:szCs w:val="20"/>
              </w:rPr>
            </w:pPr>
            <w:hyperlink r:id="rId14" w:history="1">
              <w:r w:rsidRPr="00056480">
                <w:rPr>
                  <w:rFonts w:ascii="Verdana" w:hAnsi="Verdana" w:cs="Arial"/>
                  <w:sz w:val="20"/>
                  <w:szCs w:val="20"/>
                </w:rPr>
                <w:t>https://www.supersociedades.gov.co/web/nuestra-entidad/directorio-de-servidores-publicos-y-contratistas</w:t>
              </w:r>
            </w:hyperlink>
          </w:p>
        </w:tc>
      </w:tr>
      <w:tr w:rsidR="003E0168" w:rsidRPr="00056480" w14:paraId="48233656" w14:textId="77777777" w:rsidTr="00463795">
        <w:trPr>
          <w:trHeight w:val="627"/>
          <w:jc w:val="center"/>
        </w:trPr>
        <w:tc>
          <w:tcPr>
            <w:tcW w:w="1555" w:type="dxa"/>
            <w:vMerge/>
            <w:vAlign w:val="center"/>
            <w:hideMark/>
          </w:tcPr>
          <w:p w14:paraId="5A20BC3A" w14:textId="77777777" w:rsidR="003E0168" w:rsidRPr="00056480" w:rsidRDefault="003E0168" w:rsidP="000D254B">
            <w:pPr>
              <w:spacing w:line="259" w:lineRule="auto"/>
              <w:jc w:val="center"/>
              <w:rPr>
                <w:rFonts w:ascii="Verdana" w:hAnsi="Verdana" w:cs="Arial"/>
                <w:sz w:val="20"/>
                <w:szCs w:val="20"/>
              </w:rPr>
            </w:pPr>
          </w:p>
        </w:tc>
        <w:tc>
          <w:tcPr>
            <w:tcW w:w="4252" w:type="dxa"/>
            <w:vMerge/>
            <w:vAlign w:val="center"/>
            <w:hideMark/>
          </w:tcPr>
          <w:p w14:paraId="34E1E393" w14:textId="77777777" w:rsidR="003E0168" w:rsidRPr="00056480" w:rsidRDefault="003E0168" w:rsidP="003E0168">
            <w:pPr>
              <w:spacing w:line="259" w:lineRule="auto"/>
              <w:jc w:val="both"/>
              <w:rPr>
                <w:rFonts w:ascii="Verdana" w:hAnsi="Verdana" w:cs="Arial"/>
                <w:sz w:val="20"/>
                <w:szCs w:val="20"/>
              </w:rPr>
            </w:pPr>
          </w:p>
        </w:tc>
        <w:tc>
          <w:tcPr>
            <w:tcW w:w="3402" w:type="dxa"/>
            <w:vAlign w:val="center"/>
            <w:hideMark/>
          </w:tcPr>
          <w:p w14:paraId="58E44476" w14:textId="77777777" w:rsidR="003E0168" w:rsidRPr="00056480" w:rsidRDefault="003E0168" w:rsidP="003E0168">
            <w:pPr>
              <w:spacing w:line="259" w:lineRule="auto"/>
              <w:jc w:val="both"/>
              <w:rPr>
                <w:rFonts w:ascii="Verdana" w:hAnsi="Verdana" w:cs="Arial"/>
                <w:sz w:val="20"/>
                <w:szCs w:val="20"/>
              </w:rPr>
            </w:pPr>
            <w:hyperlink r:id="rId15" w:history="1">
              <w:r w:rsidRPr="00056480">
                <w:rPr>
                  <w:rFonts w:ascii="Verdana" w:hAnsi="Verdana" w:cs="Arial"/>
                  <w:sz w:val="20"/>
                  <w:szCs w:val="20"/>
                </w:rPr>
                <w:t>https://www.supersociedades.gov.co/web/nuestra-entidad/talento-humano</w:t>
              </w:r>
            </w:hyperlink>
          </w:p>
        </w:tc>
      </w:tr>
      <w:tr w:rsidR="003E0168" w:rsidRPr="00056480" w14:paraId="683E2F1A" w14:textId="77777777" w:rsidTr="00463795">
        <w:trPr>
          <w:trHeight w:val="895"/>
          <w:jc w:val="center"/>
        </w:trPr>
        <w:tc>
          <w:tcPr>
            <w:tcW w:w="1555" w:type="dxa"/>
            <w:vAlign w:val="center"/>
            <w:hideMark/>
          </w:tcPr>
          <w:p w14:paraId="09E8686C" w14:textId="77777777" w:rsidR="003E0168" w:rsidRPr="00056480" w:rsidRDefault="003E0168" w:rsidP="000D254B">
            <w:pPr>
              <w:spacing w:line="259" w:lineRule="auto"/>
              <w:jc w:val="center"/>
              <w:rPr>
                <w:rFonts w:ascii="Verdana" w:hAnsi="Verdana" w:cs="Arial"/>
                <w:sz w:val="20"/>
                <w:szCs w:val="20"/>
              </w:rPr>
            </w:pPr>
            <w:r w:rsidRPr="00056480">
              <w:rPr>
                <w:rFonts w:ascii="Verdana" w:hAnsi="Verdana" w:cs="Arial"/>
                <w:sz w:val="20"/>
                <w:szCs w:val="20"/>
              </w:rPr>
              <w:t>Trámites institucionales</w:t>
            </w:r>
          </w:p>
        </w:tc>
        <w:tc>
          <w:tcPr>
            <w:tcW w:w="4252" w:type="dxa"/>
            <w:vAlign w:val="center"/>
            <w:hideMark/>
          </w:tcPr>
          <w:p w14:paraId="33FAAF48" w14:textId="77777777" w:rsidR="003E0168" w:rsidRPr="00056480" w:rsidRDefault="003E0168" w:rsidP="003E0168">
            <w:pPr>
              <w:spacing w:line="259" w:lineRule="auto"/>
              <w:jc w:val="both"/>
              <w:rPr>
                <w:rFonts w:ascii="Verdana" w:hAnsi="Verdana" w:cs="Arial"/>
                <w:sz w:val="20"/>
                <w:szCs w:val="20"/>
              </w:rPr>
            </w:pPr>
            <w:r w:rsidRPr="00056480">
              <w:rPr>
                <w:rFonts w:ascii="Verdana" w:hAnsi="Verdana" w:cs="Arial"/>
                <w:sz w:val="20"/>
                <w:szCs w:val="20"/>
              </w:rPr>
              <w:t>En esta sección encontrará información sobre los Trámites y Otros Procedimientos Administrativos (OPA) que ofrece la Entidad.</w:t>
            </w:r>
          </w:p>
        </w:tc>
        <w:tc>
          <w:tcPr>
            <w:tcW w:w="3402" w:type="dxa"/>
            <w:vAlign w:val="center"/>
            <w:hideMark/>
          </w:tcPr>
          <w:p w14:paraId="332331E7" w14:textId="77777777" w:rsidR="003E0168" w:rsidRPr="00056480" w:rsidRDefault="003E0168" w:rsidP="003E0168">
            <w:pPr>
              <w:spacing w:line="259" w:lineRule="auto"/>
              <w:jc w:val="both"/>
              <w:rPr>
                <w:rFonts w:ascii="Verdana" w:hAnsi="Verdana" w:cs="Arial"/>
                <w:sz w:val="20"/>
                <w:szCs w:val="20"/>
              </w:rPr>
            </w:pPr>
            <w:hyperlink r:id="rId16" w:history="1">
              <w:r w:rsidRPr="00056480">
                <w:rPr>
                  <w:rFonts w:ascii="Verdana" w:hAnsi="Verdana" w:cs="Arial"/>
                  <w:sz w:val="20"/>
                  <w:szCs w:val="20"/>
                </w:rPr>
                <w:t>https://www.supersociedades.gov.co/web/guest/tramites-opa-y-consulta-de-informacion</w:t>
              </w:r>
            </w:hyperlink>
          </w:p>
        </w:tc>
      </w:tr>
    </w:tbl>
    <w:p w14:paraId="40BC38CB" w14:textId="74755695" w:rsidR="003E0168" w:rsidRPr="004759DE" w:rsidRDefault="003E0168" w:rsidP="003E0168">
      <w:pPr>
        <w:spacing w:after="0"/>
        <w:jc w:val="both"/>
        <w:rPr>
          <w:rFonts w:ascii="Verdana" w:hAnsi="Verdana" w:cs="Arial"/>
        </w:rPr>
      </w:pPr>
      <w:bookmarkStart w:id="29" w:name="_Hlk178952365"/>
    </w:p>
    <w:p w14:paraId="6162521D" w14:textId="77777777" w:rsidR="00523138" w:rsidRPr="004759DE" w:rsidRDefault="00523138" w:rsidP="003E0168">
      <w:pPr>
        <w:spacing w:after="0"/>
        <w:jc w:val="both"/>
        <w:rPr>
          <w:rFonts w:ascii="Verdana" w:hAnsi="Verdana" w:cs="Arial"/>
        </w:rPr>
      </w:pPr>
    </w:p>
    <w:p w14:paraId="0FDB98CB" w14:textId="11ED9716" w:rsidR="003E0168" w:rsidRPr="004759DE" w:rsidRDefault="007D689B" w:rsidP="007D689B">
      <w:pPr>
        <w:pStyle w:val="Ttulo1"/>
        <w:numPr>
          <w:ilvl w:val="0"/>
          <w:numId w:val="0"/>
        </w:numPr>
        <w:ind w:left="360"/>
        <w:rPr>
          <w:szCs w:val="22"/>
        </w:rPr>
      </w:pPr>
      <w:bookmarkStart w:id="30" w:name="_Toc184989066"/>
      <w:bookmarkStart w:id="31" w:name="_Toc212879410"/>
      <w:r>
        <w:rPr>
          <w:szCs w:val="22"/>
        </w:rPr>
        <w:t xml:space="preserve">5.6. </w:t>
      </w:r>
      <w:r w:rsidR="000A48EF" w:rsidRPr="004759DE">
        <w:rPr>
          <w:szCs w:val="22"/>
        </w:rPr>
        <w:t xml:space="preserve">METODOLOGÍA PARA LA IMPLEMENTACIÓN DE </w:t>
      </w:r>
      <w:r w:rsidR="00523138" w:rsidRPr="004759DE">
        <w:rPr>
          <w:szCs w:val="22"/>
        </w:rPr>
        <w:t xml:space="preserve">LA POLITICA DE </w:t>
      </w:r>
      <w:r w:rsidR="000A48EF" w:rsidRPr="004759DE">
        <w:rPr>
          <w:szCs w:val="22"/>
        </w:rPr>
        <w:t>PARTICIPACIÓN CIUDADANA EN LA GESTIÓN INSTITUCIONAL</w:t>
      </w:r>
      <w:bookmarkEnd w:id="30"/>
      <w:bookmarkEnd w:id="31"/>
    </w:p>
    <w:bookmarkEnd w:id="29"/>
    <w:p w14:paraId="76815D70" w14:textId="77777777" w:rsidR="003E0168" w:rsidRPr="004759DE" w:rsidRDefault="003E0168" w:rsidP="003E0168">
      <w:pPr>
        <w:spacing w:after="0"/>
        <w:jc w:val="both"/>
        <w:rPr>
          <w:rFonts w:ascii="Verdana" w:hAnsi="Verdana" w:cs="Arial"/>
        </w:rPr>
      </w:pPr>
    </w:p>
    <w:p w14:paraId="5BEA8CA5" w14:textId="692EC639" w:rsidR="003E0168" w:rsidRPr="00181443" w:rsidRDefault="00523138" w:rsidP="007D689B">
      <w:pPr>
        <w:pStyle w:val="Ttulo2"/>
        <w:numPr>
          <w:ilvl w:val="0"/>
          <w:numId w:val="0"/>
        </w:numPr>
        <w:ind w:left="360" w:hanging="360"/>
        <w:rPr>
          <w:szCs w:val="22"/>
        </w:rPr>
      </w:pPr>
      <w:bookmarkStart w:id="32" w:name="_Toc212879411"/>
      <w:r w:rsidRPr="00181443">
        <w:rPr>
          <w:szCs w:val="22"/>
        </w:rPr>
        <w:t xml:space="preserve">5.6.1. </w:t>
      </w:r>
      <w:r w:rsidR="003E0168" w:rsidRPr="00181443">
        <w:rPr>
          <w:szCs w:val="22"/>
        </w:rPr>
        <w:t>Diagnóstico del Estado Actual de la Política de Participación Ciudadana</w:t>
      </w:r>
      <w:bookmarkEnd w:id="32"/>
      <w:r w:rsidR="003E0168" w:rsidRPr="00181443">
        <w:rPr>
          <w:szCs w:val="22"/>
        </w:rPr>
        <w:t xml:space="preserve"> </w:t>
      </w:r>
    </w:p>
    <w:p w14:paraId="37343BD8" w14:textId="77777777" w:rsidR="00DB4524" w:rsidRPr="004759DE" w:rsidRDefault="00DB4524" w:rsidP="003E0168">
      <w:pPr>
        <w:spacing w:after="0"/>
        <w:jc w:val="both"/>
        <w:rPr>
          <w:rFonts w:ascii="Verdana" w:hAnsi="Verdana" w:cs="Arial"/>
        </w:rPr>
      </w:pPr>
    </w:p>
    <w:p w14:paraId="502272A1" w14:textId="132565BC" w:rsidR="003E0168" w:rsidRPr="004759DE" w:rsidRDefault="003E0168" w:rsidP="003E0168">
      <w:pPr>
        <w:spacing w:after="0"/>
        <w:jc w:val="both"/>
        <w:rPr>
          <w:rFonts w:ascii="Verdana" w:hAnsi="Verdana" w:cs="Arial"/>
        </w:rPr>
      </w:pPr>
      <w:r w:rsidRPr="004759DE">
        <w:rPr>
          <w:rFonts w:ascii="Verdana" w:hAnsi="Verdana" w:cs="Arial"/>
        </w:rPr>
        <w:t xml:space="preserve">El Grupo de </w:t>
      </w:r>
      <w:r w:rsidRPr="004759DE">
        <w:rPr>
          <w:rFonts w:ascii="Verdana" w:hAnsi="Verdana" w:cs="Arial"/>
          <w:b/>
          <w:bCs/>
        </w:rPr>
        <w:t>Relación Estado Ciudadano</w:t>
      </w:r>
      <w:r w:rsidRPr="004759DE">
        <w:rPr>
          <w:rFonts w:ascii="Verdana" w:hAnsi="Verdana" w:cs="Arial"/>
        </w:rPr>
        <w:t xml:space="preserve"> bajo el rol de dependencia líder del proceso de implementación de la política de participación ciudadana en la gestión pública a nivel institucional, </w:t>
      </w:r>
      <w:r w:rsidR="00975058" w:rsidRPr="004759DE">
        <w:rPr>
          <w:rFonts w:ascii="Verdana" w:hAnsi="Verdana" w:cs="Arial"/>
        </w:rPr>
        <w:t xml:space="preserve">en </w:t>
      </w:r>
      <w:r w:rsidRPr="004759DE">
        <w:rPr>
          <w:rFonts w:ascii="Verdana" w:hAnsi="Verdana" w:cs="Arial"/>
        </w:rPr>
        <w:t>cada vigencia, antes de la formulación de</w:t>
      </w:r>
      <w:r w:rsidR="00523138" w:rsidRPr="004759DE">
        <w:rPr>
          <w:rFonts w:ascii="Verdana" w:hAnsi="Verdana" w:cs="Arial"/>
        </w:rPr>
        <w:t xml:space="preserve"> la Estrategia</w:t>
      </w:r>
      <w:r w:rsidRPr="004759DE">
        <w:rPr>
          <w:rFonts w:ascii="Verdana" w:hAnsi="Verdana" w:cs="Arial"/>
        </w:rPr>
        <w:t xml:space="preserve"> de Participación,</w:t>
      </w:r>
      <w:r w:rsidR="00975058" w:rsidRPr="004759DE">
        <w:rPr>
          <w:rFonts w:ascii="Verdana" w:hAnsi="Verdana" w:cs="Arial"/>
        </w:rPr>
        <w:t xml:space="preserve"> debe</w:t>
      </w:r>
      <w:r w:rsidRPr="004759DE">
        <w:rPr>
          <w:rFonts w:ascii="Verdana" w:hAnsi="Verdana" w:cs="Arial"/>
        </w:rPr>
        <w:t xml:space="preserve"> identificar y documentar las debilidades y fortalezas en la ejecución de la política en la vigencia inmediatamente anterior por cada uno de los ciclos de la gestión haciendo un diagnóstico de aspectos, tales como: </w:t>
      </w:r>
    </w:p>
    <w:p w14:paraId="5494586A" w14:textId="77777777" w:rsidR="003E0168" w:rsidRPr="004759DE" w:rsidRDefault="003E0168" w:rsidP="003E0168">
      <w:pPr>
        <w:spacing w:after="0"/>
        <w:jc w:val="both"/>
        <w:rPr>
          <w:rFonts w:ascii="Verdana" w:hAnsi="Verdana" w:cs="Arial"/>
        </w:rPr>
      </w:pPr>
    </w:p>
    <w:p w14:paraId="5A10B0C0" w14:textId="20CDF1FB" w:rsidR="003E0168" w:rsidRPr="004759DE" w:rsidRDefault="003E0168" w:rsidP="00BF2657">
      <w:pPr>
        <w:pStyle w:val="Prrafodelista"/>
        <w:numPr>
          <w:ilvl w:val="0"/>
          <w:numId w:val="27"/>
        </w:numPr>
        <w:rPr>
          <w:rFonts w:ascii="Verdana" w:hAnsi="Verdana" w:cs="Arial"/>
          <w:szCs w:val="22"/>
        </w:rPr>
      </w:pPr>
      <w:r w:rsidRPr="004759DE">
        <w:rPr>
          <w:rFonts w:ascii="Verdana" w:hAnsi="Verdana" w:cs="Arial"/>
          <w:szCs w:val="22"/>
        </w:rPr>
        <w:t>Idoneidad de los canales que se emplearon por cada una de las dependencias de la Entidad para promover la participación ciudadana, de acuerdo con la caracterización de grupos de interés.</w:t>
      </w:r>
    </w:p>
    <w:p w14:paraId="17C8FBA2" w14:textId="77777777" w:rsidR="00523138" w:rsidRPr="004759DE" w:rsidRDefault="00523138" w:rsidP="004759DE">
      <w:pPr>
        <w:pStyle w:val="Prrafodelista"/>
        <w:ind w:left="720"/>
        <w:rPr>
          <w:rFonts w:ascii="Verdana" w:hAnsi="Verdana" w:cs="Arial"/>
          <w:szCs w:val="22"/>
        </w:rPr>
      </w:pPr>
    </w:p>
    <w:p w14:paraId="4D599236" w14:textId="77777777" w:rsidR="003E0168" w:rsidRPr="004759DE" w:rsidRDefault="003E0168" w:rsidP="00BF2657">
      <w:pPr>
        <w:pStyle w:val="Prrafodelista"/>
        <w:numPr>
          <w:ilvl w:val="0"/>
          <w:numId w:val="27"/>
        </w:numPr>
        <w:rPr>
          <w:rFonts w:ascii="Verdana" w:hAnsi="Verdana" w:cs="Arial"/>
          <w:szCs w:val="22"/>
        </w:rPr>
      </w:pPr>
      <w:r w:rsidRPr="004759DE">
        <w:rPr>
          <w:rFonts w:ascii="Verdana" w:hAnsi="Verdana" w:cs="Arial"/>
          <w:szCs w:val="22"/>
        </w:rPr>
        <w:t>Cumplimiento de las etapas de implementación de la participación ciudadana a nivel institucional, que se definen en este manual.</w:t>
      </w:r>
    </w:p>
    <w:p w14:paraId="004B0101" w14:textId="77777777" w:rsidR="003E0168" w:rsidRPr="004759DE" w:rsidRDefault="003E0168" w:rsidP="003E0168">
      <w:pPr>
        <w:spacing w:after="0"/>
        <w:jc w:val="both"/>
        <w:rPr>
          <w:rFonts w:ascii="Verdana" w:hAnsi="Verdana" w:cs="Arial"/>
        </w:rPr>
      </w:pPr>
      <w:bookmarkStart w:id="33" w:name="_Hlk178952382"/>
    </w:p>
    <w:p w14:paraId="31FEF8A6" w14:textId="16EE8F91" w:rsidR="003E0168" w:rsidRPr="00085335" w:rsidRDefault="00120CD4" w:rsidP="00085335">
      <w:pPr>
        <w:pStyle w:val="Ttulo2"/>
        <w:numPr>
          <w:ilvl w:val="0"/>
          <w:numId w:val="0"/>
        </w:numPr>
        <w:ind w:left="360" w:hanging="360"/>
        <w:rPr>
          <w:szCs w:val="22"/>
        </w:rPr>
      </w:pPr>
      <w:bookmarkStart w:id="34" w:name="_Toc184989067"/>
      <w:bookmarkStart w:id="35" w:name="_Toc212879412"/>
      <w:r w:rsidRPr="00181443">
        <w:rPr>
          <w:szCs w:val="22"/>
        </w:rPr>
        <w:t>5.6.</w:t>
      </w:r>
      <w:r>
        <w:rPr>
          <w:szCs w:val="22"/>
        </w:rPr>
        <w:t>2</w:t>
      </w:r>
      <w:r w:rsidRPr="00181443">
        <w:rPr>
          <w:szCs w:val="22"/>
        </w:rPr>
        <w:t xml:space="preserve">. </w:t>
      </w:r>
      <w:r w:rsidR="003E0168" w:rsidRPr="004759DE">
        <w:rPr>
          <w:szCs w:val="22"/>
        </w:rPr>
        <w:t>Criterios para la construcción de</w:t>
      </w:r>
      <w:r w:rsidR="00523138" w:rsidRPr="004759DE">
        <w:rPr>
          <w:szCs w:val="22"/>
        </w:rPr>
        <w:t xml:space="preserve"> la Estrategia</w:t>
      </w:r>
      <w:r w:rsidR="003E0168" w:rsidRPr="004759DE">
        <w:rPr>
          <w:szCs w:val="22"/>
        </w:rPr>
        <w:t xml:space="preserve"> Anual de Participación Ciudadana</w:t>
      </w:r>
      <w:r w:rsidR="00523138" w:rsidRPr="004759DE">
        <w:rPr>
          <w:szCs w:val="22"/>
        </w:rPr>
        <w:t>.</w:t>
      </w:r>
      <w:bookmarkEnd w:id="34"/>
      <w:bookmarkEnd w:id="35"/>
    </w:p>
    <w:bookmarkEnd w:id="33"/>
    <w:p w14:paraId="267A283C" w14:textId="77777777" w:rsidR="00523138" w:rsidRPr="004759DE" w:rsidRDefault="00523138" w:rsidP="003E0168">
      <w:pPr>
        <w:spacing w:after="0"/>
        <w:jc w:val="both"/>
        <w:rPr>
          <w:rFonts w:ascii="Verdana" w:hAnsi="Verdana" w:cs="Arial"/>
        </w:rPr>
      </w:pPr>
    </w:p>
    <w:p w14:paraId="1D95CA47" w14:textId="4277A57C" w:rsidR="003E0168" w:rsidRPr="004759DE" w:rsidRDefault="00523138" w:rsidP="003E0168">
      <w:pPr>
        <w:spacing w:after="0"/>
        <w:jc w:val="both"/>
        <w:rPr>
          <w:rFonts w:ascii="Verdana" w:hAnsi="Verdana" w:cs="Arial"/>
        </w:rPr>
      </w:pPr>
      <w:r w:rsidRPr="004759DE">
        <w:rPr>
          <w:rFonts w:ascii="Verdana" w:hAnsi="Verdana" w:cs="Arial"/>
        </w:rPr>
        <w:t>La Estrategia</w:t>
      </w:r>
      <w:r w:rsidR="003E0168" w:rsidRPr="004759DE">
        <w:rPr>
          <w:rFonts w:ascii="Verdana" w:hAnsi="Verdana" w:cs="Arial"/>
        </w:rPr>
        <w:t xml:space="preserve"> de Participación ciudadana debe estar alinead</w:t>
      </w:r>
      <w:r w:rsidRPr="004759DE">
        <w:rPr>
          <w:rFonts w:ascii="Verdana" w:hAnsi="Verdana" w:cs="Arial"/>
        </w:rPr>
        <w:t>a</w:t>
      </w:r>
      <w:r w:rsidR="003E0168" w:rsidRPr="004759DE">
        <w:rPr>
          <w:rFonts w:ascii="Verdana" w:hAnsi="Verdana" w:cs="Arial"/>
        </w:rPr>
        <w:t xml:space="preserve"> al </w:t>
      </w:r>
      <w:r w:rsidRPr="004759DE">
        <w:rPr>
          <w:rFonts w:ascii="Verdana" w:hAnsi="Verdana" w:cs="Arial"/>
        </w:rPr>
        <w:t>P</w:t>
      </w:r>
      <w:r w:rsidR="003E0168" w:rsidRPr="004759DE">
        <w:rPr>
          <w:rFonts w:ascii="Verdana" w:hAnsi="Verdana" w:cs="Arial"/>
        </w:rPr>
        <w:t xml:space="preserve">lan </w:t>
      </w:r>
      <w:r w:rsidRPr="004759DE">
        <w:rPr>
          <w:rFonts w:ascii="Verdana" w:hAnsi="Verdana" w:cs="Arial"/>
        </w:rPr>
        <w:t>E</w:t>
      </w:r>
      <w:r w:rsidR="003E0168" w:rsidRPr="004759DE">
        <w:rPr>
          <w:rFonts w:ascii="Verdana" w:hAnsi="Verdana" w:cs="Arial"/>
        </w:rPr>
        <w:t xml:space="preserve">stratégico </w:t>
      </w:r>
      <w:r w:rsidR="007D689B">
        <w:rPr>
          <w:rFonts w:ascii="Verdana" w:hAnsi="Verdana" w:cs="Arial"/>
        </w:rPr>
        <w:t>Sectorial</w:t>
      </w:r>
      <w:r w:rsidR="003E0168" w:rsidRPr="004759DE">
        <w:rPr>
          <w:rFonts w:ascii="Verdana" w:hAnsi="Verdana" w:cs="Arial"/>
        </w:rPr>
        <w:t xml:space="preserve"> de</w:t>
      </w:r>
      <w:r w:rsidR="001D6A8A">
        <w:rPr>
          <w:rFonts w:ascii="Verdana" w:hAnsi="Verdana" w:cs="Arial"/>
        </w:rPr>
        <w:t xml:space="preserve"> </w:t>
      </w:r>
      <w:r w:rsidR="003E0168" w:rsidRPr="004759DE">
        <w:rPr>
          <w:rFonts w:ascii="Verdana" w:hAnsi="Verdana" w:cs="Arial"/>
        </w:rPr>
        <w:t>Comercio</w:t>
      </w:r>
      <w:r w:rsidR="001D6A8A">
        <w:rPr>
          <w:rFonts w:ascii="Verdana" w:hAnsi="Verdana" w:cs="Arial"/>
        </w:rPr>
        <w:t xml:space="preserve">, Industria y </w:t>
      </w:r>
      <w:r w:rsidR="007D689B">
        <w:rPr>
          <w:rFonts w:ascii="Verdana" w:hAnsi="Verdana" w:cs="Arial"/>
        </w:rPr>
        <w:t>Turismo</w:t>
      </w:r>
      <w:r w:rsidR="003E0168" w:rsidRPr="004759DE">
        <w:rPr>
          <w:rFonts w:ascii="Verdana" w:hAnsi="Verdana" w:cs="Arial"/>
        </w:rPr>
        <w:t xml:space="preserve"> e integrar las acciones de participación durante las fases de la gestión pública de la Superintendencia. </w:t>
      </w:r>
    </w:p>
    <w:p w14:paraId="167DD4B2" w14:textId="77777777" w:rsidR="003E0168" w:rsidRPr="004759DE" w:rsidRDefault="003E0168" w:rsidP="003E0168">
      <w:pPr>
        <w:spacing w:after="0"/>
        <w:jc w:val="both"/>
        <w:rPr>
          <w:rFonts w:ascii="Verdana" w:hAnsi="Verdana" w:cs="Arial"/>
        </w:rPr>
      </w:pPr>
    </w:p>
    <w:p w14:paraId="74556E67" w14:textId="16D057E4" w:rsidR="003E0168" w:rsidRPr="004759DE" w:rsidRDefault="003E0168" w:rsidP="003E0168">
      <w:pPr>
        <w:spacing w:after="0"/>
        <w:jc w:val="both"/>
        <w:rPr>
          <w:rFonts w:ascii="Verdana" w:hAnsi="Verdana" w:cs="Arial"/>
        </w:rPr>
      </w:pPr>
      <w:r w:rsidRPr="004759DE">
        <w:rPr>
          <w:rFonts w:ascii="Verdana" w:hAnsi="Verdana" w:cs="Arial"/>
        </w:rPr>
        <w:t>También es necesario identificar los espacios de participación que puedan estar vinculados directamente con el que hacer institucional, las funciones y la misión propia, a fin de efectuar canales de diálogo con el objetivo de promover la interacción, comunicación, consulta y seguimiento a la gestión institucional por parte de los grupos de interés.</w:t>
      </w:r>
    </w:p>
    <w:p w14:paraId="51C8861E" w14:textId="77777777" w:rsidR="00C25DC6" w:rsidRPr="004759DE" w:rsidRDefault="00C25DC6" w:rsidP="003E0168">
      <w:pPr>
        <w:spacing w:after="0"/>
        <w:jc w:val="both"/>
        <w:rPr>
          <w:rFonts w:ascii="Verdana" w:hAnsi="Verdana" w:cs="Arial"/>
        </w:rPr>
      </w:pPr>
    </w:p>
    <w:p w14:paraId="0C795909" w14:textId="77777777" w:rsidR="003E0168" w:rsidRPr="004759DE" w:rsidRDefault="003E0168" w:rsidP="003E0168">
      <w:pPr>
        <w:spacing w:after="0"/>
        <w:jc w:val="both"/>
        <w:rPr>
          <w:rFonts w:ascii="Verdana" w:hAnsi="Verdana" w:cs="Arial"/>
        </w:rPr>
      </w:pPr>
    </w:p>
    <w:p w14:paraId="26596C3D" w14:textId="55C57590" w:rsidR="003E0168" w:rsidRPr="00085335" w:rsidRDefault="00120CD4" w:rsidP="00085335">
      <w:pPr>
        <w:pStyle w:val="Ttulo2"/>
        <w:numPr>
          <w:ilvl w:val="0"/>
          <w:numId w:val="0"/>
        </w:numPr>
        <w:ind w:left="360" w:hanging="360"/>
        <w:rPr>
          <w:szCs w:val="22"/>
        </w:rPr>
      </w:pPr>
      <w:bookmarkStart w:id="36" w:name="_Toc184989068"/>
      <w:bookmarkStart w:id="37" w:name="_Toc212879413"/>
      <w:r w:rsidRPr="00181443">
        <w:rPr>
          <w:szCs w:val="22"/>
        </w:rPr>
        <w:t>5.6.</w:t>
      </w:r>
      <w:r>
        <w:rPr>
          <w:szCs w:val="22"/>
        </w:rPr>
        <w:t>3</w:t>
      </w:r>
      <w:r w:rsidRPr="00181443">
        <w:rPr>
          <w:szCs w:val="22"/>
        </w:rPr>
        <w:t xml:space="preserve">. </w:t>
      </w:r>
      <w:r w:rsidR="003E0168" w:rsidRPr="004759DE">
        <w:rPr>
          <w:szCs w:val="22"/>
        </w:rPr>
        <w:t>Fases para la Construcción de</w:t>
      </w:r>
      <w:r w:rsidR="00C25DC6" w:rsidRPr="004759DE">
        <w:rPr>
          <w:szCs w:val="22"/>
        </w:rPr>
        <w:t xml:space="preserve"> la</w:t>
      </w:r>
      <w:r w:rsidR="003E0168" w:rsidRPr="004759DE">
        <w:rPr>
          <w:szCs w:val="22"/>
        </w:rPr>
        <w:t xml:space="preserve"> </w:t>
      </w:r>
      <w:r w:rsidR="00C25DC6" w:rsidRPr="004759DE">
        <w:rPr>
          <w:szCs w:val="22"/>
        </w:rPr>
        <w:t>Estrategia</w:t>
      </w:r>
      <w:r w:rsidR="003E0168" w:rsidRPr="004759DE">
        <w:rPr>
          <w:szCs w:val="22"/>
        </w:rPr>
        <w:t xml:space="preserve"> de Participación Ciudadana</w:t>
      </w:r>
      <w:bookmarkEnd w:id="36"/>
      <w:bookmarkEnd w:id="37"/>
    </w:p>
    <w:p w14:paraId="4F9A1BF4" w14:textId="77777777" w:rsidR="003E0168" w:rsidRPr="004759DE" w:rsidRDefault="003E0168" w:rsidP="003E0168">
      <w:pPr>
        <w:spacing w:after="0"/>
        <w:jc w:val="both"/>
        <w:rPr>
          <w:rFonts w:ascii="Verdana" w:hAnsi="Verdana" w:cs="Arial"/>
        </w:rPr>
      </w:pPr>
    </w:p>
    <w:p w14:paraId="662F3788" w14:textId="4FBF5DA9" w:rsidR="003E0168" w:rsidRPr="004759DE" w:rsidRDefault="003E0168" w:rsidP="003E0168">
      <w:pPr>
        <w:spacing w:after="0"/>
        <w:jc w:val="both"/>
        <w:rPr>
          <w:rFonts w:ascii="Verdana" w:hAnsi="Verdana" w:cs="Arial"/>
          <w:b/>
          <w:bCs/>
        </w:rPr>
      </w:pPr>
      <w:r w:rsidRPr="004759DE">
        <w:rPr>
          <w:rFonts w:ascii="Verdana" w:hAnsi="Verdana" w:cs="Arial"/>
          <w:b/>
          <w:bCs/>
        </w:rPr>
        <w:t xml:space="preserve">Fase 1. Conformación del equipo de trabajo: </w:t>
      </w:r>
    </w:p>
    <w:p w14:paraId="7B78EA18" w14:textId="77777777" w:rsidR="00523138" w:rsidRPr="004759DE" w:rsidRDefault="00523138" w:rsidP="003E0168">
      <w:pPr>
        <w:spacing w:after="0"/>
        <w:jc w:val="both"/>
        <w:rPr>
          <w:rFonts w:ascii="Verdana" w:hAnsi="Verdana" w:cs="Arial"/>
          <w:b/>
          <w:bCs/>
        </w:rPr>
      </w:pPr>
    </w:p>
    <w:p w14:paraId="3C7238B8" w14:textId="2E827C36" w:rsidR="003E0168" w:rsidRDefault="003E0168" w:rsidP="003E0168">
      <w:pPr>
        <w:spacing w:after="0"/>
        <w:jc w:val="both"/>
        <w:rPr>
          <w:rFonts w:ascii="Verdana" w:hAnsi="Verdana" w:cs="Arial"/>
        </w:rPr>
      </w:pPr>
      <w:r w:rsidRPr="004759DE">
        <w:rPr>
          <w:rFonts w:ascii="Verdana" w:hAnsi="Verdana" w:cs="Arial"/>
        </w:rPr>
        <w:t>Este equipo será liderado por el Grupo de Relación Estado- Ciudadano, con la participación de las demás dependencias de la Superintendencia</w:t>
      </w:r>
      <w:r w:rsidR="001D6A8A">
        <w:rPr>
          <w:rFonts w:ascii="Verdana" w:hAnsi="Verdana" w:cs="Arial"/>
        </w:rPr>
        <w:t xml:space="preserve"> de Sociedades que se encuentran relacionadas transversalmente</w:t>
      </w:r>
      <w:r w:rsidRPr="004759DE">
        <w:rPr>
          <w:rFonts w:ascii="Verdana" w:hAnsi="Verdana" w:cs="Arial"/>
        </w:rPr>
        <w:t xml:space="preserve">, las cuales se denominarán las garantes de producir y ejecutar los espacios de participación que se desarrollarán con los diferentes grupos de interés de la Entidad.  Para ello, cada dependencia designará o ratificará (en caso de que ya exista) a un servidor público como “Enlace de Participación” para apoyar esta labor. Dicho enlace, será quien acompañe el proceso de </w:t>
      </w:r>
      <w:r w:rsidRPr="00723266">
        <w:rPr>
          <w:rFonts w:ascii="Verdana" w:hAnsi="Verdana" w:cs="Arial"/>
        </w:rPr>
        <w:t>reporte y seguimiento a la ejecución de</w:t>
      </w:r>
      <w:r w:rsidR="00116CDE" w:rsidRPr="00723266">
        <w:rPr>
          <w:rFonts w:ascii="Verdana" w:hAnsi="Verdana" w:cs="Arial"/>
        </w:rPr>
        <w:t xml:space="preserve"> la Estrategia</w:t>
      </w:r>
      <w:r w:rsidRPr="00723266">
        <w:rPr>
          <w:rFonts w:ascii="Verdana" w:hAnsi="Verdana" w:cs="Arial"/>
        </w:rPr>
        <w:t>,</w:t>
      </w:r>
      <w:r w:rsidRPr="004759DE">
        <w:rPr>
          <w:rFonts w:ascii="Verdana" w:hAnsi="Verdana" w:cs="Arial"/>
        </w:rPr>
        <w:t xml:space="preserve"> además el responsable de replicar la información correspondiente a su dependencia.</w:t>
      </w:r>
    </w:p>
    <w:p w14:paraId="5EE3E6C0" w14:textId="77777777" w:rsidR="001D6A8A" w:rsidRPr="004759DE" w:rsidRDefault="001D6A8A" w:rsidP="003E0168">
      <w:pPr>
        <w:spacing w:after="0"/>
        <w:jc w:val="both"/>
        <w:rPr>
          <w:rFonts w:ascii="Verdana" w:hAnsi="Verdana" w:cs="Arial"/>
        </w:rPr>
      </w:pPr>
    </w:p>
    <w:p w14:paraId="04F6BC4B" w14:textId="77777777" w:rsidR="003E0168" w:rsidRPr="004759DE" w:rsidRDefault="003E0168" w:rsidP="003E0168">
      <w:pPr>
        <w:spacing w:after="0"/>
        <w:jc w:val="both"/>
        <w:rPr>
          <w:rFonts w:ascii="Verdana" w:hAnsi="Verdana" w:cs="Arial"/>
        </w:rPr>
      </w:pPr>
    </w:p>
    <w:p w14:paraId="08A24DBC" w14:textId="77777777" w:rsidR="003E0168" w:rsidRPr="004759DE" w:rsidRDefault="003E0168" w:rsidP="003E0168">
      <w:pPr>
        <w:spacing w:after="0"/>
        <w:jc w:val="both"/>
        <w:rPr>
          <w:rFonts w:ascii="Verdana" w:hAnsi="Verdana" w:cs="Arial"/>
          <w:b/>
          <w:bCs/>
        </w:rPr>
      </w:pPr>
      <w:r w:rsidRPr="004759DE">
        <w:rPr>
          <w:rFonts w:ascii="Verdana" w:hAnsi="Verdana" w:cs="Arial"/>
          <w:b/>
          <w:bCs/>
        </w:rPr>
        <w:t xml:space="preserve">Fase 2. Comprensión del proceso: </w:t>
      </w:r>
    </w:p>
    <w:p w14:paraId="1DA66CD4" w14:textId="77777777" w:rsidR="00116CDE" w:rsidRPr="004759DE" w:rsidRDefault="00116CDE" w:rsidP="003E0168">
      <w:pPr>
        <w:spacing w:after="0"/>
        <w:jc w:val="both"/>
        <w:rPr>
          <w:rFonts w:ascii="Verdana" w:hAnsi="Verdana" w:cs="Arial"/>
        </w:rPr>
      </w:pPr>
    </w:p>
    <w:p w14:paraId="558CD985" w14:textId="175740A9" w:rsidR="003E0168" w:rsidRPr="004759DE" w:rsidRDefault="003E0168" w:rsidP="003E0168">
      <w:pPr>
        <w:spacing w:after="0"/>
        <w:jc w:val="both"/>
        <w:rPr>
          <w:rFonts w:ascii="Verdana" w:hAnsi="Verdana" w:cs="Arial"/>
        </w:rPr>
      </w:pPr>
      <w:r w:rsidRPr="004759DE">
        <w:rPr>
          <w:rFonts w:ascii="Verdana" w:hAnsi="Verdana" w:cs="Arial"/>
        </w:rPr>
        <w:t xml:space="preserve">El Grupo de Relación Estado - Ciudadano requerirá a los enlaces de participación ciudadana de las diferentes dependencias a reuniones al inicio de cada vigencia, con el fin </w:t>
      </w:r>
      <w:r w:rsidR="00116CDE" w:rsidRPr="004759DE">
        <w:rPr>
          <w:rFonts w:ascii="Verdana" w:hAnsi="Verdana" w:cs="Arial"/>
        </w:rPr>
        <w:t xml:space="preserve">de </w:t>
      </w:r>
      <w:r w:rsidRPr="004759DE">
        <w:rPr>
          <w:rFonts w:ascii="Verdana" w:hAnsi="Verdana" w:cs="Arial"/>
        </w:rPr>
        <w:t>impartir las directrices y guiar en el desarrollo de los lineamientos para el diseño de</w:t>
      </w:r>
      <w:r w:rsidR="00116CDE" w:rsidRPr="004759DE">
        <w:rPr>
          <w:rFonts w:ascii="Verdana" w:hAnsi="Verdana" w:cs="Arial"/>
        </w:rPr>
        <w:t xml:space="preserve"> la Estrategia</w:t>
      </w:r>
      <w:r w:rsidRPr="004759DE">
        <w:rPr>
          <w:rFonts w:ascii="Verdana" w:hAnsi="Verdana" w:cs="Arial"/>
        </w:rPr>
        <w:t xml:space="preserve">. </w:t>
      </w:r>
    </w:p>
    <w:p w14:paraId="65EF113D" w14:textId="77777777" w:rsidR="003E0168" w:rsidRPr="004759DE" w:rsidRDefault="003E0168" w:rsidP="003E0168">
      <w:pPr>
        <w:spacing w:after="0"/>
        <w:jc w:val="both"/>
        <w:rPr>
          <w:rFonts w:ascii="Verdana" w:hAnsi="Verdana" w:cs="Arial"/>
        </w:rPr>
      </w:pPr>
    </w:p>
    <w:p w14:paraId="1F75497F" w14:textId="09C34EAD" w:rsidR="003E0168" w:rsidRPr="004759DE" w:rsidRDefault="003E0168" w:rsidP="003E0168">
      <w:pPr>
        <w:spacing w:after="0"/>
        <w:jc w:val="both"/>
        <w:rPr>
          <w:rFonts w:ascii="Verdana" w:hAnsi="Verdana" w:cs="Arial"/>
          <w:b/>
          <w:bCs/>
        </w:rPr>
      </w:pPr>
      <w:r w:rsidRPr="004759DE">
        <w:rPr>
          <w:rFonts w:ascii="Verdana" w:hAnsi="Verdana" w:cs="Arial"/>
          <w:b/>
          <w:bCs/>
        </w:rPr>
        <w:t>Fase 3. Diseño de</w:t>
      </w:r>
      <w:r w:rsidR="00116CDE" w:rsidRPr="004759DE">
        <w:rPr>
          <w:rFonts w:ascii="Verdana" w:hAnsi="Verdana" w:cs="Arial"/>
          <w:b/>
          <w:bCs/>
        </w:rPr>
        <w:t xml:space="preserve"> la Estrategia</w:t>
      </w:r>
      <w:r w:rsidRPr="004759DE">
        <w:rPr>
          <w:rFonts w:ascii="Verdana" w:hAnsi="Verdana" w:cs="Arial"/>
          <w:b/>
          <w:bCs/>
        </w:rPr>
        <w:t xml:space="preserve">: </w:t>
      </w:r>
    </w:p>
    <w:p w14:paraId="56F03F8C" w14:textId="77777777" w:rsidR="00116CDE" w:rsidRPr="004759DE" w:rsidRDefault="00116CDE" w:rsidP="003E0168">
      <w:pPr>
        <w:spacing w:after="0"/>
        <w:jc w:val="both"/>
        <w:rPr>
          <w:rFonts w:ascii="Verdana" w:hAnsi="Verdana" w:cs="Arial"/>
        </w:rPr>
      </w:pPr>
    </w:p>
    <w:p w14:paraId="71915C09" w14:textId="200C6D02" w:rsidR="003E0168" w:rsidRPr="004759DE" w:rsidRDefault="003E0168" w:rsidP="003E0168">
      <w:pPr>
        <w:spacing w:after="0"/>
        <w:jc w:val="both"/>
        <w:rPr>
          <w:rFonts w:ascii="Verdana" w:hAnsi="Verdana" w:cs="Arial"/>
        </w:rPr>
      </w:pPr>
      <w:r w:rsidRPr="004759DE">
        <w:rPr>
          <w:rFonts w:ascii="Verdana" w:hAnsi="Verdana" w:cs="Arial"/>
        </w:rPr>
        <w:t>Durante esta fase se estructuran las actividades de</w:t>
      </w:r>
      <w:r w:rsidR="00116CDE" w:rsidRPr="004759DE">
        <w:rPr>
          <w:rFonts w:ascii="Verdana" w:hAnsi="Verdana" w:cs="Arial"/>
        </w:rPr>
        <w:t xml:space="preserve"> la Estrategia</w:t>
      </w:r>
      <w:r w:rsidRPr="004759DE">
        <w:rPr>
          <w:rFonts w:ascii="Verdana" w:hAnsi="Verdana" w:cs="Arial"/>
        </w:rPr>
        <w:t xml:space="preserve"> de Participación Ciudadana, a través de una herramienta denominada Matriz de Participación Ciudadana que se desarrollará entre los meses de enero a marzo de cada vigencia, con el apoyo de los enlaces designados por cada una de las dependencias, quienes reportarán las actividades programadas para cada anualidad.</w:t>
      </w:r>
    </w:p>
    <w:p w14:paraId="7084A95F" w14:textId="77777777" w:rsidR="003E0168" w:rsidRPr="004759DE" w:rsidRDefault="003E0168" w:rsidP="003E0168">
      <w:pPr>
        <w:spacing w:after="0"/>
        <w:jc w:val="both"/>
        <w:rPr>
          <w:rFonts w:ascii="Verdana" w:hAnsi="Verdana" w:cs="Arial"/>
        </w:rPr>
      </w:pPr>
    </w:p>
    <w:p w14:paraId="2C629521" w14:textId="77777777" w:rsidR="003E0168" w:rsidRPr="004759DE" w:rsidRDefault="003E0168" w:rsidP="003E0168">
      <w:pPr>
        <w:spacing w:after="0"/>
        <w:jc w:val="both"/>
        <w:rPr>
          <w:rFonts w:ascii="Verdana" w:hAnsi="Verdana" w:cs="Arial"/>
        </w:rPr>
      </w:pPr>
      <w:r w:rsidRPr="004759DE">
        <w:rPr>
          <w:rFonts w:ascii="Verdana" w:hAnsi="Verdana" w:cs="Arial"/>
        </w:rPr>
        <w:t>Mediante correo electrónico, el Grupo de Relación Estado – Ciudadano solicita a cada enlace el reporte de las actividades de participación ciudadana planeadas para la vigencia, por cada una de las dependencias con el fin de articular la información.</w:t>
      </w:r>
    </w:p>
    <w:p w14:paraId="5CFFD0F4" w14:textId="77777777" w:rsidR="003E0168" w:rsidRPr="004759DE" w:rsidRDefault="003E0168" w:rsidP="003E0168">
      <w:pPr>
        <w:spacing w:after="0"/>
        <w:jc w:val="both"/>
        <w:rPr>
          <w:rFonts w:ascii="Verdana" w:hAnsi="Verdana" w:cs="Arial"/>
        </w:rPr>
      </w:pPr>
    </w:p>
    <w:p w14:paraId="5D0002CC" w14:textId="77777777" w:rsidR="003E0168" w:rsidRPr="004759DE" w:rsidRDefault="003E0168" w:rsidP="003E0168">
      <w:pPr>
        <w:spacing w:after="0"/>
        <w:jc w:val="both"/>
        <w:rPr>
          <w:rFonts w:ascii="Verdana" w:hAnsi="Verdana" w:cs="Arial"/>
        </w:rPr>
      </w:pPr>
      <w:r w:rsidRPr="004759DE">
        <w:rPr>
          <w:rFonts w:ascii="Verdana" w:hAnsi="Verdana" w:cs="Arial"/>
        </w:rPr>
        <w:t xml:space="preserve">Las actividades para desarrollar deben identificar: el nombre del espacio de participación, Objetivo, Tipo de espacio, el grupo de interés al cual va dirigida (según la caracterización de grupos de interés), el canal por el que se llevará a cabo (virtual, presencial o mixto), el lugar (ciudad) dónde se realizará y la fase del ciclo de la gestión pública al cual corresponde. </w:t>
      </w:r>
    </w:p>
    <w:p w14:paraId="7FB4AC25" w14:textId="77777777" w:rsidR="003E0168" w:rsidRPr="004759DE" w:rsidRDefault="003E0168" w:rsidP="003E0168">
      <w:pPr>
        <w:spacing w:after="0"/>
        <w:jc w:val="both"/>
        <w:rPr>
          <w:rFonts w:ascii="Verdana" w:hAnsi="Verdana" w:cs="Arial"/>
        </w:rPr>
      </w:pPr>
    </w:p>
    <w:p w14:paraId="513D0F5C" w14:textId="03144C1C" w:rsidR="003E0168" w:rsidRPr="004759DE" w:rsidRDefault="003E0168" w:rsidP="003E0168">
      <w:pPr>
        <w:spacing w:after="0"/>
        <w:jc w:val="both"/>
        <w:rPr>
          <w:rFonts w:ascii="Verdana" w:hAnsi="Verdana" w:cs="Arial"/>
          <w:b/>
          <w:bCs/>
        </w:rPr>
      </w:pPr>
      <w:r w:rsidRPr="004759DE">
        <w:rPr>
          <w:rFonts w:ascii="Verdana" w:hAnsi="Verdana" w:cs="Arial"/>
          <w:b/>
          <w:bCs/>
        </w:rPr>
        <w:t xml:space="preserve">Fase </w:t>
      </w:r>
      <w:r w:rsidR="00C25DC6" w:rsidRPr="004759DE">
        <w:rPr>
          <w:rFonts w:ascii="Verdana" w:hAnsi="Verdana" w:cs="Arial"/>
          <w:b/>
          <w:bCs/>
        </w:rPr>
        <w:t>4</w:t>
      </w:r>
      <w:r w:rsidRPr="004759DE">
        <w:rPr>
          <w:rFonts w:ascii="Verdana" w:hAnsi="Verdana" w:cs="Arial"/>
          <w:b/>
          <w:bCs/>
        </w:rPr>
        <w:t xml:space="preserve"> - Divulgación del </w:t>
      </w:r>
      <w:r w:rsidR="00C05C30">
        <w:rPr>
          <w:rFonts w:ascii="Verdana" w:hAnsi="Verdana" w:cs="Arial"/>
          <w:b/>
          <w:bCs/>
        </w:rPr>
        <w:t>Estrategia</w:t>
      </w:r>
      <w:r w:rsidRPr="004759DE">
        <w:rPr>
          <w:rFonts w:ascii="Verdana" w:hAnsi="Verdana" w:cs="Arial"/>
          <w:b/>
          <w:bCs/>
        </w:rPr>
        <w:t xml:space="preserve"> de participación y sus estrategias: </w:t>
      </w:r>
    </w:p>
    <w:p w14:paraId="2E832972" w14:textId="56A2D593" w:rsidR="003E0168" w:rsidRPr="004759DE" w:rsidRDefault="003E0168" w:rsidP="003E0168">
      <w:pPr>
        <w:spacing w:after="0"/>
        <w:jc w:val="both"/>
        <w:rPr>
          <w:rFonts w:ascii="Verdana" w:hAnsi="Verdana" w:cs="Arial"/>
        </w:rPr>
      </w:pPr>
      <w:r w:rsidRPr="004759DE">
        <w:rPr>
          <w:rFonts w:ascii="Verdana" w:hAnsi="Verdana" w:cs="Arial"/>
        </w:rPr>
        <w:t xml:space="preserve">Durante esta fase, </w:t>
      </w:r>
      <w:r w:rsidR="00C25DC6" w:rsidRPr="004759DE">
        <w:rPr>
          <w:rFonts w:ascii="Verdana" w:hAnsi="Verdana" w:cs="Arial"/>
        </w:rPr>
        <w:t xml:space="preserve">la Estrategia </w:t>
      </w:r>
      <w:r w:rsidRPr="004759DE">
        <w:rPr>
          <w:rFonts w:ascii="Verdana" w:hAnsi="Verdana" w:cs="Arial"/>
        </w:rPr>
        <w:t>debe ser socializad</w:t>
      </w:r>
      <w:r w:rsidR="00C25DC6" w:rsidRPr="004759DE">
        <w:rPr>
          <w:rFonts w:ascii="Verdana" w:hAnsi="Verdana" w:cs="Arial"/>
        </w:rPr>
        <w:t>a</w:t>
      </w:r>
      <w:r w:rsidRPr="004759DE">
        <w:rPr>
          <w:rFonts w:ascii="Verdana" w:hAnsi="Verdana" w:cs="Arial"/>
        </w:rPr>
        <w:t xml:space="preserve"> dentro de la Entidad, con los enlaces de participación de las diferentes dependencias. Así mismo, deberá ser publicado en la página web de la Superintendencia para la consulta de los diferentes grupos de interés. </w:t>
      </w:r>
    </w:p>
    <w:p w14:paraId="78D9B8E7" w14:textId="77777777" w:rsidR="003E0168" w:rsidRPr="004759DE" w:rsidRDefault="003E0168" w:rsidP="003E0168">
      <w:pPr>
        <w:spacing w:after="0"/>
        <w:jc w:val="both"/>
        <w:rPr>
          <w:rFonts w:ascii="Verdana" w:hAnsi="Verdana" w:cs="Arial"/>
        </w:rPr>
      </w:pPr>
    </w:p>
    <w:p w14:paraId="5397627D" w14:textId="3CB87B47" w:rsidR="003E0168" w:rsidRPr="004759DE" w:rsidRDefault="003E0168" w:rsidP="003E0168">
      <w:pPr>
        <w:spacing w:after="0"/>
        <w:jc w:val="both"/>
        <w:rPr>
          <w:rFonts w:ascii="Verdana" w:hAnsi="Verdana" w:cs="Arial"/>
          <w:b/>
          <w:bCs/>
        </w:rPr>
      </w:pPr>
      <w:r w:rsidRPr="004759DE">
        <w:rPr>
          <w:rFonts w:ascii="Verdana" w:hAnsi="Verdana" w:cs="Arial"/>
          <w:b/>
          <w:bCs/>
        </w:rPr>
        <w:t xml:space="preserve">Fase </w:t>
      </w:r>
      <w:r w:rsidR="00C25DC6" w:rsidRPr="004759DE">
        <w:rPr>
          <w:rFonts w:ascii="Verdana" w:hAnsi="Verdana" w:cs="Arial"/>
          <w:b/>
          <w:bCs/>
        </w:rPr>
        <w:t>5</w:t>
      </w:r>
      <w:r w:rsidRPr="004759DE">
        <w:rPr>
          <w:rFonts w:ascii="Verdana" w:hAnsi="Verdana" w:cs="Arial"/>
          <w:b/>
          <w:bCs/>
        </w:rPr>
        <w:t xml:space="preserve"> - Solicitud de modificaciones a las actividades del </w:t>
      </w:r>
      <w:r w:rsidR="00C05C30">
        <w:rPr>
          <w:rFonts w:ascii="Verdana" w:hAnsi="Verdana" w:cs="Arial"/>
          <w:b/>
          <w:bCs/>
        </w:rPr>
        <w:t>Estrategia</w:t>
      </w:r>
      <w:r w:rsidRPr="004759DE">
        <w:rPr>
          <w:rFonts w:ascii="Verdana" w:hAnsi="Verdana" w:cs="Arial"/>
          <w:b/>
          <w:bCs/>
        </w:rPr>
        <w:t xml:space="preserve">: </w:t>
      </w:r>
    </w:p>
    <w:p w14:paraId="71AA36E4" w14:textId="4BD1FB3D" w:rsidR="003E0168" w:rsidRPr="004759DE" w:rsidRDefault="003E0168" w:rsidP="003E0168">
      <w:pPr>
        <w:spacing w:after="0"/>
        <w:jc w:val="both"/>
        <w:rPr>
          <w:rFonts w:ascii="Verdana" w:hAnsi="Verdana" w:cs="Arial"/>
        </w:rPr>
      </w:pPr>
      <w:r w:rsidRPr="004759DE">
        <w:rPr>
          <w:rFonts w:ascii="Verdana" w:hAnsi="Verdana" w:cs="Arial"/>
        </w:rPr>
        <w:t>Las solicitudes de modificación o eliminación de alguna de las actividades que se hayan proyectado dentro de</w:t>
      </w:r>
      <w:r w:rsidR="00C25DC6" w:rsidRPr="004759DE">
        <w:rPr>
          <w:rFonts w:ascii="Verdana" w:hAnsi="Verdana" w:cs="Arial"/>
        </w:rPr>
        <w:t xml:space="preserve"> la Estrategia</w:t>
      </w:r>
      <w:r w:rsidRPr="004759DE">
        <w:rPr>
          <w:rFonts w:ascii="Verdana" w:hAnsi="Verdana" w:cs="Arial"/>
        </w:rPr>
        <w:t xml:space="preserve"> se deben enviar al enlace de Participación Ciudadana del Grupo de Relación Estado Ciudadano por parte de la dependencia responsable de su ejecución, con copia al Coordinador para su respectivo seguimiento.</w:t>
      </w:r>
    </w:p>
    <w:p w14:paraId="2A08AEBB" w14:textId="77777777" w:rsidR="003E0168" w:rsidRPr="004759DE" w:rsidRDefault="003E0168" w:rsidP="003E0168">
      <w:pPr>
        <w:spacing w:after="0"/>
        <w:jc w:val="both"/>
        <w:rPr>
          <w:rFonts w:ascii="Verdana" w:hAnsi="Verdana" w:cs="Arial"/>
        </w:rPr>
      </w:pPr>
    </w:p>
    <w:p w14:paraId="2A2416F9" w14:textId="51A033D1" w:rsidR="003E0168" w:rsidRPr="004759DE" w:rsidRDefault="003E0168" w:rsidP="003E0168">
      <w:pPr>
        <w:spacing w:after="0"/>
        <w:jc w:val="both"/>
        <w:rPr>
          <w:rFonts w:ascii="Verdana" w:hAnsi="Verdana" w:cs="Arial"/>
          <w:b/>
          <w:bCs/>
        </w:rPr>
      </w:pPr>
      <w:r w:rsidRPr="004759DE">
        <w:rPr>
          <w:rFonts w:ascii="Verdana" w:hAnsi="Verdana" w:cs="Arial"/>
          <w:b/>
          <w:bCs/>
        </w:rPr>
        <w:t xml:space="preserve">Fase </w:t>
      </w:r>
      <w:r w:rsidR="00C25DC6" w:rsidRPr="004759DE">
        <w:rPr>
          <w:rFonts w:ascii="Verdana" w:hAnsi="Verdana" w:cs="Arial"/>
          <w:b/>
          <w:bCs/>
        </w:rPr>
        <w:t xml:space="preserve">6 </w:t>
      </w:r>
      <w:r w:rsidRPr="004759DE">
        <w:rPr>
          <w:rFonts w:ascii="Verdana" w:hAnsi="Verdana" w:cs="Arial"/>
          <w:b/>
          <w:bCs/>
        </w:rPr>
        <w:t xml:space="preserve">- Seguimiento y Evaluación </w:t>
      </w:r>
    </w:p>
    <w:p w14:paraId="08154754" w14:textId="77777777" w:rsidR="00B968D4" w:rsidRPr="004759DE" w:rsidRDefault="00B968D4" w:rsidP="00B968D4">
      <w:pPr>
        <w:pStyle w:val="Prrafodelista"/>
        <w:ind w:left="720"/>
        <w:rPr>
          <w:rFonts w:ascii="Verdana" w:hAnsi="Verdana" w:cs="Arial"/>
          <w:szCs w:val="22"/>
        </w:rPr>
      </w:pPr>
    </w:p>
    <w:p w14:paraId="79B9B3CF" w14:textId="5E855A0B" w:rsidR="003E0168" w:rsidRDefault="003E0168" w:rsidP="006822BD">
      <w:pPr>
        <w:pStyle w:val="Prrafodelista"/>
        <w:numPr>
          <w:ilvl w:val="0"/>
          <w:numId w:val="28"/>
        </w:numPr>
        <w:rPr>
          <w:rFonts w:ascii="Verdana" w:hAnsi="Verdana" w:cs="Arial"/>
          <w:szCs w:val="22"/>
        </w:rPr>
      </w:pPr>
      <w:r w:rsidRPr="004759DE">
        <w:rPr>
          <w:rFonts w:ascii="Verdana" w:hAnsi="Verdana" w:cs="Arial"/>
          <w:b/>
          <w:bCs/>
          <w:szCs w:val="22"/>
        </w:rPr>
        <w:t>Seguimiento a las Actividades reportadas</w:t>
      </w:r>
      <w:r w:rsidR="006822BD" w:rsidRPr="004759DE">
        <w:rPr>
          <w:rFonts w:ascii="Verdana" w:hAnsi="Verdana" w:cs="Arial"/>
          <w:b/>
          <w:bCs/>
          <w:szCs w:val="22"/>
        </w:rPr>
        <w:t>:</w:t>
      </w:r>
      <w:r w:rsidR="006822BD" w:rsidRPr="004759DE">
        <w:rPr>
          <w:rFonts w:ascii="Verdana" w:hAnsi="Verdana" w:cs="Arial"/>
          <w:szCs w:val="22"/>
        </w:rPr>
        <w:t xml:space="preserve"> </w:t>
      </w:r>
      <w:r w:rsidRPr="004759DE">
        <w:rPr>
          <w:rFonts w:ascii="Verdana" w:hAnsi="Verdana" w:cs="Arial"/>
          <w:szCs w:val="22"/>
        </w:rPr>
        <w:t>Al termino de cada trimestre, el grupo de Relación Estado - Ciudadano solicitará la información del desarrollo de las actividades a los enlaces a través del correo electrónico, estos tendrán plazo para reportar el seguimiento dentro de los 5 primeros días hábiles del siguiente mes.</w:t>
      </w:r>
      <w:bookmarkStart w:id="38" w:name="_Hlk177919415"/>
    </w:p>
    <w:p w14:paraId="674286F9" w14:textId="77777777" w:rsidR="005614BC" w:rsidRPr="004759DE" w:rsidRDefault="005614BC" w:rsidP="005614BC">
      <w:pPr>
        <w:pStyle w:val="Prrafodelista"/>
        <w:ind w:left="720"/>
        <w:rPr>
          <w:rFonts w:ascii="Verdana" w:hAnsi="Verdana" w:cs="Arial"/>
          <w:szCs w:val="22"/>
        </w:rPr>
      </w:pPr>
    </w:p>
    <w:p w14:paraId="72C2C295" w14:textId="11E96B4B" w:rsidR="003E0168" w:rsidRPr="004759DE" w:rsidRDefault="003E0168" w:rsidP="006822BD">
      <w:pPr>
        <w:pStyle w:val="Prrafodelista"/>
        <w:numPr>
          <w:ilvl w:val="0"/>
          <w:numId w:val="28"/>
        </w:numPr>
        <w:rPr>
          <w:rFonts w:ascii="Verdana" w:hAnsi="Verdana" w:cs="Arial"/>
          <w:szCs w:val="22"/>
        </w:rPr>
      </w:pPr>
      <w:r w:rsidRPr="004759DE">
        <w:rPr>
          <w:rFonts w:ascii="Verdana" w:hAnsi="Verdana" w:cs="Arial"/>
          <w:b/>
          <w:bCs/>
          <w:szCs w:val="22"/>
        </w:rPr>
        <w:t>Seguimiento y Evaluación de</w:t>
      </w:r>
      <w:r w:rsidR="00C25DC6" w:rsidRPr="004759DE">
        <w:rPr>
          <w:rFonts w:ascii="Verdana" w:hAnsi="Verdana" w:cs="Arial"/>
          <w:b/>
          <w:bCs/>
          <w:szCs w:val="22"/>
        </w:rPr>
        <w:t xml:space="preserve"> la Estrategia</w:t>
      </w:r>
      <w:r w:rsidRPr="004759DE">
        <w:rPr>
          <w:rFonts w:ascii="Verdana" w:hAnsi="Verdana" w:cs="Arial"/>
          <w:szCs w:val="22"/>
        </w:rPr>
        <w:t xml:space="preserve">: </w:t>
      </w:r>
      <w:bookmarkEnd w:id="38"/>
      <w:r w:rsidRPr="004759DE">
        <w:rPr>
          <w:rFonts w:ascii="Verdana" w:hAnsi="Verdana" w:cs="Arial"/>
          <w:szCs w:val="22"/>
        </w:rPr>
        <w:t>El seguimiento y evaluación a</w:t>
      </w:r>
      <w:r w:rsidR="00C25DC6" w:rsidRPr="004759DE">
        <w:rPr>
          <w:rFonts w:ascii="Verdana" w:hAnsi="Verdana" w:cs="Arial"/>
          <w:szCs w:val="22"/>
        </w:rPr>
        <w:t xml:space="preserve"> </w:t>
      </w:r>
      <w:r w:rsidRPr="004759DE">
        <w:rPr>
          <w:rFonts w:ascii="Verdana" w:hAnsi="Verdana" w:cs="Arial"/>
          <w:szCs w:val="22"/>
        </w:rPr>
        <w:t>l</w:t>
      </w:r>
      <w:r w:rsidR="00C25DC6" w:rsidRPr="004759DE">
        <w:rPr>
          <w:rFonts w:ascii="Verdana" w:hAnsi="Verdana" w:cs="Arial"/>
          <w:szCs w:val="22"/>
        </w:rPr>
        <w:t>a</w:t>
      </w:r>
      <w:r w:rsidRPr="004759DE">
        <w:rPr>
          <w:rFonts w:ascii="Verdana" w:hAnsi="Verdana" w:cs="Arial"/>
          <w:szCs w:val="22"/>
        </w:rPr>
        <w:t xml:space="preserve"> </w:t>
      </w:r>
      <w:r w:rsidR="00C25DC6" w:rsidRPr="004759DE">
        <w:rPr>
          <w:rFonts w:ascii="Verdana" w:hAnsi="Verdana" w:cs="Arial"/>
          <w:szCs w:val="22"/>
        </w:rPr>
        <w:t>estrategia</w:t>
      </w:r>
      <w:r w:rsidRPr="004759DE">
        <w:rPr>
          <w:rFonts w:ascii="Verdana" w:hAnsi="Verdana" w:cs="Arial"/>
          <w:szCs w:val="22"/>
        </w:rPr>
        <w:t xml:space="preserve"> se llevará a cabo a través del Informe de Seguimiento a</w:t>
      </w:r>
      <w:r w:rsidR="007D689B">
        <w:rPr>
          <w:rFonts w:ascii="Verdana" w:hAnsi="Verdana" w:cs="Arial"/>
          <w:szCs w:val="22"/>
        </w:rPr>
        <w:t xml:space="preserve"> </w:t>
      </w:r>
      <w:r w:rsidRPr="004759DE">
        <w:rPr>
          <w:rFonts w:ascii="Verdana" w:hAnsi="Verdana" w:cs="Arial"/>
          <w:szCs w:val="22"/>
        </w:rPr>
        <w:t>l</w:t>
      </w:r>
      <w:r w:rsidR="007D689B">
        <w:rPr>
          <w:rFonts w:ascii="Verdana" w:hAnsi="Verdana" w:cs="Arial"/>
          <w:szCs w:val="22"/>
        </w:rPr>
        <w:t>a</w:t>
      </w:r>
      <w:r w:rsidRPr="004759DE">
        <w:rPr>
          <w:rFonts w:ascii="Verdana" w:hAnsi="Verdana" w:cs="Arial"/>
          <w:szCs w:val="22"/>
        </w:rPr>
        <w:t xml:space="preserve"> </w:t>
      </w:r>
      <w:r w:rsidR="00C05C30">
        <w:rPr>
          <w:rFonts w:ascii="Verdana" w:hAnsi="Verdana" w:cs="Arial"/>
          <w:szCs w:val="22"/>
        </w:rPr>
        <w:t>Estrategia</w:t>
      </w:r>
      <w:r w:rsidRPr="004759DE">
        <w:rPr>
          <w:rFonts w:ascii="Verdana" w:hAnsi="Verdana" w:cs="Arial"/>
          <w:szCs w:val="22"/>
        </w:rPr>
        <w:t xml:space="preserve"> de Participación Ciudadana, este informe lo elaborará el Grupo de Relación Estado Ciudadano de manera semestral con base en los seguimientos realizados a la matriz de participación Ciudadana para dar a conocer a los grupos de interés el avance de</w:t>
      </w:r>
      <w:r w:rsidR="00A374BA">
        <w:rPr>
          <w:rFonts w:ascii="Verdana" w:hAnsi="Verdana" w:cs="Arial"/>
          <w:szCs w:val="22"/>
        </w:rPr>
        <w:t xml:space="preserve"> </w:t>
      </w:r>
      <w:r w:rsidRPr="004759DE">
        <w:rPr>
          <w:rFonts w:ascii="Verdana" w:hAnsi="Verdana" w:cs="Arial"/>
          <w:szCs w:val="22"/>
        </w:rPr>
        <w:t>l</w:t>
      </w:r>
      <w:r w:rsidR="00A374BA">
        <w:rPr>
          <w:rFonts w:ascii="Verdana" w:hAnsi="Verdana" w:cs="Arial"/>
          <w:szCs w:val="22"/>
        </w:rPr>
        <w:t>a</w:t>
      </w:r>
      <w:r w:rsidRPr="004759DE">
        <w:rPr>
          <w:rFonts w:ascii="Verdana" w:hAnsi="Verdana" w:cs="Arial"/>
          <w:szCs w:val="22"/>
        </w:rPr>
        <w:t xml:space="preserve"> </w:t>
      </w:r>
      <w:r w:rsidR="00C05C30">
        <w:rPr>
          <w:rFonts w:ascii="Verdana" w:hAnsi="Verdana" w:cs="Arial"/>
          <w:szCs w:val="22"/>
        </w:rPr>
        <w:t>Estrategia</w:t>
      </w:r>
      <w:r w:rsidRPr="004759DE">
        <w:rPr>
          <w:rFonts w:ascii="Verdana" w:hAnsi="Verdana" w:cs="Arial"/>
          <w:szCs w:val="22"/>
        </w:rPr>
        <w:t xml:space="preserve"> de participación ciudadana. </w:t>
      </w:r>
    </w:p>
    <w:p w14:paraId="3F4C1056" w14:textId="77777777" w:rsidR="007D689B" w:rsidRPr="004759DE" w:rsidRDefault="007D689B" w:rsidP="00C25DC6">
      <w:pPr>
        <w:rPr>
          <w:rFonts w:ascii="Verdana" w:hAnsi="Verdana" w:cs="Arial"/>
        </w:rPr>
      </w:pPr>
    </w:p>
    <w:p w14:paraId="721A2419" w14:textId="6C5723E1" w:rsidR="00C25DC6" w:rsidRPr="004759DE" w:rsidRDefault="00C25DC6" w:rsidP="004759DE">
      <w:pPr>
        <w:rPr>
          <w:rFonts w:ascii="Verdana" w:hAnsi="Verdana" w:cs="Arial"/>
          <w:b/>
          <w:bCs/>
        </w:rPr>
      </w:pPr>
      <w:r w:rsidRPr="004759DE">
        <w:rPr>
          <w:rFonts w:ascii="Verdana" w:hAnsi="Verdana" w:cs="Arial"/>
          <w:b/>
          <w:bCs/>
        </w:rPr>
        <w:t>Fase 7- Identificación Buenas Practicas</w:t>
      </w:r>
    </w:p>
    <w:p w14:paraId="5F1C1748" w14:textId="77777777" w:rsidR="003E0168" w:rsidRPr="004759DE" w:rsidRDefault="003E0168" w:rsidP="004759DE">
      <w:pPr>
        <w:pStyle w:val="Ttulo1"/>
        <w:numPr>
          <w:ilvl w:val="0"/>
          <w:numId w:val="0"/>
        </w:numPr>
        <w:ind w:left="360"/>
        <w:rPr>
          <w:szCs w:val="22"/>
        </w:rPr>
      </w:pPr>
    </w:p>
    <w:p w14:paraId="53B61852" w14:textId="0CE3F421" w:rsidR="003E0168" w:rsidRPr="004759DE" w:rsidRDefault="00B968D4" w:rsidP="003E0168">
      <w:pPr>
        <w:spacing w:after="0"/>
        <w:jc w:val="both"/>
        <w:rPr>
          <w:rFonts w:ascii="Verdana" w:hAnsi="Verdana" w:cs="Arial"/>
        </w:rPr>
      </w:pPr>
      <w:r w:rsidRPr="004759DE">
        <w:rPr>
          <w:rFonts w:ascii="Verdana" w:hAnsi="Verdana" w:cs="Arial"/>
        </w:rPr>
        <w:t>La Entidad realiza la d</w:t>
      </w:r>
      <w:r w:rsidR="003E0168" w:rsidRPr="004759DE">
        <w:rPr>
          <w:rFonts w:ascii="Verdana" w:hAnsi="Verdana" w:cs="Arial"/>
        </w:rPr>
        <w:t>ocumentación de las buenas prácticas identificadas en la ejecución de</w:t>
      </w:r>
      <w:r w:rsidR="00A374BA">
        <w:rPr>
          <w:rFonts w:ascii="Verdana" w:hAnsi="Verdana" w:cs="Arial"/>
        </w:rPr>
        <w:t xml:space="preserve"> </w:t>
      </w:r>
      <w:r w:rsidR="003E0168" w:rsidRPr="004759DE">
        <w:rPr>
          <w:rFonts w:ascii="Verdana" w:hAnsi="Verdana" w:cs="Arial"/>
        </w:rPr>
        <w:t>l</w:t>
      </w:r>
      <w:r w:rsidR="00A374BA">
        <w:rPr>
          <w:rFonts w:ascii="Verdana" w:hAnsi="Verdana" w:cs="Arial"/>
        </w:rPr>
        <w:t>a</w:t>
      </w:r>
      <w:r w:rsidR="003E0168" w:rsidRPr="004759DE">
        <w:rPr>
          <w:rFonts w:ascii="Verdana" w:hAnsi="Verdana" w:cs="Arial"/>
        </w:rPr>
        <w:t xml:space="preserve"> </w:t>
      </w:r>
      <w:r w:rsidR="00C05C30">
        <w:rPr>
          <w:rFonts w:ascii="Verdana" w:hAnsi="Verdana" w:cs="Arial"/>
        </w:rPr>
        <w:t>Estrategia</w:t>
      </w:r>
      <w:r w:rsidR="003E0168" w:rsidRPr="004759DE">
        <w:rPr>
          <w:rFonts w:ascii="Verdana" w:hAnsi="Verdana" w:cs="Arial"/>
        </w:rPr>
        <w:t xml:space="preserve"> de participación ciudadan</w:t>
      </w:r>
      <w:r w:rsidR="00A374BA">
        <w:rPr>
          <w:rFonts w:ascii="Verdana" w:hAnsi="Verdana" w:cs="Arial"/>
        </w:rPr>
        <w:t xml:space="preserve">a: </w:t>
      </w:r>
    </w:p>
    <w:p w14:paraId="0BCFE29A" w14:textId="77777777" w:rsidR="003E0168" w:rsidRPr="004759DE" w:rsidRDefault="003E0168" w:rsidP="003E0168">
      <w:pPr>
        <w:spacing w:after="0"/>
        <w:jc w:val="both"/>
        <w:rPr>
          <w:rFonts w:ascii="Verdana" w:hAnsi="Verdana" w:cs="Arial"/>
        </w:rPr>
      </w:pPr>
    </w:p>
    <w:p w14:paraId="4134D522" w14:textId="77777777" w:rsidR="003E0168" w:rsidRPr="004759DE" w:rsidRDefault="003E0168" w:rsidP="003E0168">
      <w:pPr>
        <w:spacing w:after="0"/>
        <w:jc w:val="both"/>
        <w:rPr>
          <w:rFonts w:ascii="Verdana" w:hAnsi="Verdana" w:cs="Arial"/>
        </w:rPr>
      </w:pPr>
      <w:r w:rsidRPr="004759DE">
        <w:rPr>
          <w:rFonts w:ascii="Verdana" w:hAnsi="Verdana" w:cs="Arial"/>
        </w:rPr>
        <w:lastRenderedPageBreak/>
        <w:t>Las buenas prácticas se pueden entender como aquellas actuaciones concretas, prácticas o soluciones basadas en ciertos conocimientos, investigaciones o experimentos y que, gracias a su utilidad y sencillez, brindan herramientas, métodos y técnicas, que pueden aumentar la posibilidad de éxito de la gestión.</w:t>
      </w:r>
    </w:p>
    <w:p w14:paraId="22E1531E" w14:textId="77777777" w:rsidR="003E0168" w:rsidRPr="004759DE" w:rsidRDefault="003E0168" w:rsidP="003E0168">
      <w:pPr>
        <w:spacing w:after="0"/>
        <w:jc w:val="both"/>
        <w:rPr>
          <w:rFonts w:ascii="Verdana" w:hAnsi="Verdana" w:cs="Arial"/>
        </w:rPr>
      </w:pPr>
    </w:p>
    <w:p w14:paraId="393E709A" w14:textId="2BDB13A0" w:rsidR="003E0168" w:rsidRPr="004759DE" w:rsidRDefault="003E0168" w:rsidP="003E0168">
      <w:pPr>
        <w:spacing w:after="0"/>
        <w:jc w:val="both"/>
        <w:rPr>
          <w:rFonts w:ascii="Verdana" w:hAnsi="Verdana" w:cs="Arial"/>
        </w:rPr>
      </w:pPr>
      <w:r w:rsidRPr="004759DE">
        <w:rPr>
          <w:rFonts w:ascii="Verdana" w:hAnsi="Verdana" w:cs="Arial"/>
        </w:rPr>
        <w:t xml:space="preserve">Para documentar las buenas prácticas identificadas en la ejecución </w:t>
      </w:r>
      <w:r w:rsidR="00910CB6" w:rsidRPr="004759DE">
        <w:rPr>
          <w:rFonts w:ascii="Verdana" w:hAnsi="Verdana" w:cs="Arial"/>
        </w:rPr>
        <w:t>de la Estrategia de Participación Ciudadana anual</w:t>
      </w:r>
      <w:r w:rsidR="00A374BA">
        <w:rPr>
          <w:rFonts w:ascii="Verdana" w:hAnsi="Verdana" w:cs="Arial"/>
        </w:rPr>
        <w:t xml:space="preserve"> de la entidad</w:t>
      </w:r>
      <w:r w:rsidRPr="004759DE">
        <w:rPr>
          <w:rFonts w:ascii="Verdana" w:hAnsi="Verdana" w:cs="Arial"/>
        </w:rPr>
        <w:t>, se considera</w:t>
      </w:r>
      <w:r w:rsidR="00910CB6" w:rsidRPr="004759DE">
        <w:rPr>
          <w:rFonts w:ascii="Verdana" w:hAnsi="Verdana" w:cs="Arial"/>
        </w:rPr>
        <w:t>n</w:t>
      </w:r>
      <w:r w:rsidRPr="004759DE">
        <w:rPr>
          <w:rFonts w:ascii="Verdana" w:hAnsi="Verdana" w:cs="Arial"/>
        </w:rPr>
        <w:t xml:space="preserve"> las siguientes acciones:</w:t>
      </w:r>
    </w:p>
    <w:p w14:paraId="2B72A175" w14:textId="77777777" w:rsidR="003E0168" w:rsidRPr="004759DE" w:rsidRDefault="003E0168" w:rsidP="003E0168">
      <w:pPr>
        <w:spacing w:after="0"/>
        <w:jc w:val="both"/>
        <w:rPr>
          <w:rFonts w:ascii="Verdana" w:hAnsi="Verdana" w:cs="Arial"/>
        </w:rPr>
      </w:pPr>
    </w:p>
    <w:p w14:paraId="52C11955" w14:textId="39274156" w:rsidR="003E0168" w:rsidRPr="004759DE" w:rsidRDefault="003E0168" w:rsidP="00E2500C">
      <w:pPr>
        <w:pStyle w:val="Prrafodelista"/>
        <w:numPr>
          <w:ilvl w:val="0"/>
          <w:numId w:val="29"/>
        </w:numPr>
        <w:rPr>
          <w:rFonts w:ascii="Verdana" w:hAnsi="Verdana" w:cs="Arial"/>
          <w:szCs w:val="22"/>
        </w:rPr>
      </w:pPr>
      <w:r w:rsidRPr="004759DE">
        <w:rPr>
          <w:rFonts w:ascii="Verdana" w:hAnsi="Verdana" w:cs="Arial"/>
          <w:szCs w:val="22"/>
        </w:rPr>
        <w:t>Presentar a la ciudadanía los espacios de participación propuestos por la entidad</w:t>
      </w:r>
      <w:r w:rsidR="00A374BA">
        <w:rPr>
          <w:rFonts w:ascii="Verdana" w:hAnsi="Verdana" w:cs="Arial"/>
          <w:szCs w:val="22"/>
        </w:rPr>
        <w:t xml:space="preserve"> a través de la Sede Electrónica de la Entidad y sus canales físicos y virtuales</w:t>
      </w:r>
    </w:p>
    <w:p w14:paraId="54F5B276" w14:textId="32024A33" w:rsidR="003E0168" w:rsidRPr="004759DE" w:rsidRDefault="003E0168" w:rsidP="00E2500C">
      <w:pPr>
        <w:pStyle w:val="Prrafodelista"/>
        <w:numPr>
          <w:ilvl w:val="0"/>
          <w:numId w:val="29"/>
        </w:numPr>
        <w:rPr>
          <w:rFonts w:ascii="Verdana" w:hAnsi="Verdana" w:cs="Arial"/>
          <w:szCs w:val="22"/>
        </w:rPr>
      </w:pPr>
      <w:r w:rsidRPr="004759DE">
        <w:rPr>
          <w:rFonts w:ascii="Verdana" w:hAnsi="Verdana" w:cs="Arial"/>
          <w:szCs w:val="22"/>
        </w:rPr>
        <w:t>Presentar a la ciudadanía los resultados de la participación en cada uno de los espacios</w:t>
      </w:r>
      <w:r w:rsidR="001C293C">
        <w:rPr>
          <w:rFonts w:ascii="Verdana" w:hAnsi="Verdana" w:cs="Arial"/>
          <w:szCs w:val="22"/>
        </w:rPr>
        <w:t>, mediante el Informe de seguimiento a la Implementación de la Política de Participación ciudadana</w:t>
      </w:r>
    </w:p>
    <w:p w14:paraId="70CC37E0" w14:textId="77777777" w:rsidR="003E0168" w:rsidRPr="004759DE" w:rsidRDefault="003E0168" w:rsidP="003E0168">
      <w:pPr>
        <w:spacing w:after="0"/>
        <w:jc w:val="both"/>
        <w:rPr>
          <w:rFonts w:ascii="Verdana" w:hAnsi="Verdana" w:cs="Arial"/>
        </w:rPr>
      </w:pPr>
    </w:p>
    <w:p w14:paraId="65887280" w14:textId="20193FA7" w:rsidR="003E0168" w:rsidRPr="004759DE" w:rsidRDefault="003E0168" w:rsidP="003E0168">
      <w:pPr>
        <w:spacing w:after="0"/>
        <w:jc w:val="both"/>
        <w:rPr>
          <w:rFonts w:ascii="Verdana" w:hAnsi="Verdana" w:cs="Arial"/>
        </w:rPr>
      </w:pPr>
      <w:r w:rsidRPr="004759DE">
        <w:rPr>
          <w:rFonts w:ascii="Verdana" w:hAnsi="Verdana" w:cs="Arial"/>
        </w:rPr>
        <w:t>Con el propósito de facilitar el aprendizaje, propiciar el desarrollo de acciones para compartir el conocimiento entre los servidores y contratistas de la Entidad, y con el objetivo de garantizar su apropiación y aprovechamiento, las buenas prácticas de gestión que se identifiquen en la formulación, ejecución y seguimiento a</w:t>
      </w:r>
      <w:r w:rsidR="00910CB6" w:rsidRPr="004759DE">
        <w:rPr>
          <w:rFonts w:ascii="Verdana" w:hAnsi="Verdana" w:cs="Arial"/>
        </w:rPr>
        <w:t xml:space="preserve"> la Estrategia </w:t>
      </w:r>
      <w:r w:rsidRPr="004759DE">
        <w:rPr>
          <w:rFonts w:ascii="Verdana" w:hAnsi="Verdana" w:cs="Arial"/>
        </w:rPr>
        <w:t xml:space="preserve">de participación ciudadana, serán documentadas en los Informes semestrales de seguimiento al </w:t>
      </w:r>
      <w:r w:rsidR="00C05C30">
        <w:rPr>
          <w:rFonts w:ascii="Verdana" w:hAnsi="Verdana" w:cs="Arial"/>
        </w:rPr>
        <w:t>Estrategia</w:t>
      </w:r>
      <w:r w:rsidRPr="004759DE">
        <w:rPr>
          <w:rFonts w:ascii="Verdana" w:hAnsi="Verdana" w:cs="Arial"/>
        </w:rPr>
        <w:t xml:space="preserve">. </w:t>
      </w:r>
    </w:p>
    <w:p w14:paraId="3E9D8885" w14:textId="77777777" w:rsidR="003E0168" w:rsidRPr="004759DE" w:rsidRDefault="003E0168" w:rsidP="003E0168">
      <w:pPr>
        <w:spacing w:after="0"/>
        <w:jc w:val="both"/>
        <w:rPr>
          <w:rFonts w:ascii="Verdana" w:hAnsi="Verdana" w:cs="Arial"/>
        </w:rPr>
      </w:pPr>
    </w:p>
    <w:p w14:paraId="3C8B1EFF" w14:textId="77777777" w:rsidR="003E0168" w:rsidRPr="004759DE" w:rsidRDefault="003E0168" w:rsidP="003E0168">
      <w:pPr>
        <w:spacing w:after="0"/>
        <w:jc w:val="both"/>
        <w:rPr>
          <w:rFonts w:ascii="Verdana" w:hAnsi="Verdana" w:cs="Arial"/>
        </w:rPr>
      </w:pPr>
      <w:r w:rsidRPr="004759DE">
        <w:rPr>
          <w:rFonts w:ascii="Verdana" w:hAnsi="Verdana" w:cs="Arial"/>
        </w:rPr>
        <w:t>Así mismo, se socializarán con los enlaces de las dependencias de la Entidad, para promover la cultura de participación en la gestión y de retroalimentación, en aras de generar mejores productos o servicios para grupos de interés.</w:t>
      </w:r>
    </w:p>
    <w:p w14:paraId="299E345D" w14:textId="77777777" w:rsidR="003E0168" w:rsidRPr="004759DE" w:rsidRDefault="003E0168" w:rsidP="003E0168">
      <w:pPr>
        <w:rPr>
          <w:rFonts w:ascii="Verdana" w:hAnsi="Verdana" w:cs="Arial"/>
          <w:color w:val="FF0000"/>
        </w:rPr>
      </w:pPr>
    </w:p>
    <w:p w14:paraId="3106A9E2" w14:textId="77777777" w:rsidR="00944D0C" w:rsidRPr="004759DE" w:rsidRDefault="00944D0C" w:rsidP="001D3856">
      <w:pPr>
        <w:pStyle w:val="Ttulo1"/>
        <w:numPr>
          <w:ilvl w:val="0"/>
          <w:numId w:val="0"/>
        </w:numPr>
        <w:rPr>
          <w:szCs w:val="22"/>
        </w:rPr>
      </w:pPr>
    </w:p>
    <w:p w14:paraId="2D2FB100" w14:textId="77777777" w:rsidR="00E167E7" w:rsidRPr="004759DE" w:rsidRDefault="00E167E7" w:rsidP="001D3856">
      <w:pPr>
        <w:spacing w:line="240" w:lineRule="auto"/>
        <w:rPr>
          <w:rFonts w:ascii="Verdana" w:hAnsi="Verdana"/>
          <w:lang w:val="es-ES" w:eastAsia="es-ES"/>
        </w:rPr>
      </w:pPr>
    </w:p>
    <w:p w14:paraId="5140EAF3" w14:textId="77777777" w:rsidR="00B5050A" w:rsidRPr="004759DE" w:rsidRDefault="00B5050A">
      <w:pPr>
        <w:rPr>
          <w:rFonts w:ascii="Verdana" w:eastAsia="Times New Roman" w:hAnsi="Verdana" w:cs="Arial"/>
          <w:b/>
          <w:lang w:val="es-ES" w:eastAsia="es-ES"/>
        </w:rPr>
      </w:pPr>
      <w:r w:rsidRPr="004759DE">
        <w:rPr>
          <w:rFonts w:ascii="Verdana" w:hAnsi="Verdana"/>
        </w:rPr>
        <w:br w:type="page"/>
      </w:r>
    </w:p>
    <w:p w14:paraId="541D4DDF" w14:textId="5F1F5D08" w:rsidR="00974ADB" w:rsidRPr="004759DE" w:rsidRDefault="00722761" w:rsidP="001D3856">
      <w:pPr>
        <w:pStyle w:val="Ttulo1"/>
        <w:numPr>
          <w:ilvl w:val="0"/>
          <w:numId w:val="0"/>
        </w:numPr>
        <w:rPr>
          <w:szCs w:val="22"/>
        </w:rPr>
      </w:pPr>
      <w:bookmarkStart w:id="39" w:name="_Toc212879414"/>
      <w:r w:rsidRPr="004759DE">
        <w:rPr>
          <w:szCs w:val="22"/>
        </w:rPr>
        <w:lastRenderedPageBreak/>
        <w:t>6</w:t>
      </w:r>
      <w:r w:rsidR="00845509" w:rsidRPr="004759DE">
        <w:rPr>
          <w:szCs w:val="22"/>
        </w:rPr>
        <w:t xml:space="preserve">. </w:t>
      </w:r>
      <w:r w:rsidR="00974ADB" w:rsidRPr="004759DE">
        <w:rPr>
          <w:szCs w:val="22"/>
        </w:rPr>
        <w:t>CONTROL DE CAMBIOS</w:t>
      </w:r>
      <w:bookmarkEnd w:id="39"/>
      <w:r w:rsidR="00974ADB" w:rsidRPr="004759DE">
        <w:rPr>
          <w:szCs w:val="22"/>
        </w:rPr>
        <w:t xml:space="preserve"> </w:t>
      </w:r>
    </w:p>
    <w:p w14:paraId="1BE271E6" w14:textId="77777777" w:rsidR="00B5050A" w:rsidRPr="004759DE" w:rsidRDefault="00B5050A" w:rsidP="00B5050A">
      <w:pPr>
        <w:rPr>
          <w:rFonts w:ascii="Verdana" w:hAnsi="Verdana"/>
          <w:lang w:val="es-ES" w:eastAsia="es-ES"/>
        </w:rPr>
      </w:pPr>
    </w:p>
    <w:tbl>
      <w:tblPr>
        <w:tblStyle w:val="Tablaconcuadrcula"/>
        <w:tblW w:w="0" w:type="auto"/>
        <w:jc w:val="center"/>
        <w:tblLook w:val="04A0" w:firstRow="1" w:lastRow="0" w:firstColumn="1" w:lastColumn="0" w:noHBand="0" w:noVBand="1"/>
      </w:tblPr>
      <w:tblGrid>
        <w:gridCol w:w="1497"/>
        <w:gridCol w:w="1637"/>
        <w:gridCol w:w="6211"/>
      </w:tblGrid>
      <w:tr w:rsidR="00B5050A" w:rsidRPr="00866B55" w14:paraId="1EC66AB3" w14:textId="77777777" w:rsidTr="00181443">
        <w:trPr>
          <w:trHeight w:val="345"/>
          <w:jc w:val="center"/>
        </w:trPr>
        <w:tc>
          <w:tcPr>
            <w:tcW w:w="1497" w:type="dxa"/>
            <w:shd w:val="clear" w:color="auto" w:fill="F2DCDB"/>
            <w:vAlign w:val="center"/>
          </w:tcPr>
          <w:p w14:paraId="23DC49BB" w14:textId="77777777" w:rsidR="00B5050A" w:rsidRPr="00866B55" w:rsidRDefault="00B5050A" w:rsidP="005168A6">
            <w:pPr>
              <w:jc w:val="center"/>
              <w:rPr>
                <w:rFonts w:ascii="Verdana" w:hAnsi="Verdana"/>
                <w:b/>
                <w:bCs/>
                <w:sz w:val="18"/>
                <w:szCs w:val="18"/>
              </w:rPr>
            </w:pPr>
            <w:r w:rsidRPr="00866B55">
              <w:rPr>
                <w:rFonts w:ascii="Verdana" w:hAnsi="Verdana"/>
                <w:b/>
                <w:bCs/>
                <w:sz w:val="18"/>
                <w:szCs w:val="18"/>
              </w:rPr>
              <w:t>Versión</w:t>
            </w:r>
          </w:p>
        </w:tc>
        <w:tc>
          <w:tcPr>
            <w:tcW w:w="1637" w:type="dxa"/>
            <w:shd w:val="clear" w:color="auto" w:fill="F2DCDB"/>
            <w:vAlign w:val="center"/>
          </w:tcPr>
          <w:p w14:paraId="55054E98" w14:textId="77777777" w:rsidR="00B5050A" w:rsidRPr="00866B55" w:rsidRDefault="00B5050A" w:rsidP="005168A6">
            <w:pPr>
              <w:jc w:val="center"/>
              <w:rPr>
                <w:rFonts w:ascii="Verdana" w:hAnsi="Verdana"/>
                <w:b/>
                <w:bCs/>
                <w:sz w:val="18"/>
                <w:szCs w:val="18"/>
              </w:rPr>
            </w:pPr>
            <w:r w:rsidRPr="00866B55">
              <w:rPr>
                <w:rFonts w:ascii="Verdana" w:hAnsi="Verdana"/>
                <w:b/>
                <w:bCs/>
                <w:sz w:val="18"/>
                <w:szCs w:val="18"/>
              </w:rPr>
              <w:t>Fecha</w:t>
            </w:r>
          </w:p>
        </w:tc>
        <w:tc>
          <w:tcPr>
            <w:tcW w:w="6211" w:type="dxa"/>
            <w:shd w:val="clear" w:color="auto" w:fill="F2DCDB"/>
            <w:vAlign w:val="center"/>
          </w:tcPr>
          <w:p w14:paraId="47A4F7E2" w14:textId="77777777" w:rsidR="00B5050A" w:rsidRPr="00866B55" w:rsidRDefault="00B5050A" w:rsidP="005168A6">
            <w:pPr>
              <w:jc w:val="center"/>
              <w:rPr>
                <w:rFonts w:ascii="Verdana" w:hAnsi="Verdana"/>
                <w:b/>
                <w:bCs/>
                <w:sz w:val="18"/>
                <w:szCs w:val="18"/>
              </w:rPr>
            </w:pPr>
            <w:r w:rsidRPr="00866B55">
              <w:rPr>
                <w:rFonts w:ascii="Verdana" w:hAnsi="Verdana"/>
                <w:b/>
                <w:bCs/>
                <w:sz w:val="18"/>
                <w:szCs w:val="18"/>
              </w:rPr>
              <w:t xml:space="preserve">Descripción del Cambio </w:t>
            </w:r>
          </w:p>
        </w:tc>
      </w:tr>
      <w:tr w:rsidR="0089646C" w:rsidRPr="00866B55" w14:paraId="3B867A17" w14:textId="77777777" w:rsidTr="00181443">
        <w:trPr>
          <w:trHeight w:val="365"/>
          <w:jc w:val="center"/>
        </w:trPr>
        <w:tc>
          <w:tcPr>
            <w:tcW w:w="1497" w:type="dxa"/>
            <w:vAlign w:val="center"/>
          </w:tcPr>
          <w:p w14:paraId="7F7CD1C8" w14:textId="26AFC1ED" w:rsidR="0089646C" w:rsidRPr="00866B55" w:rsidRDefault="0089646C" w:rsidP="0089646C">
            <w:pPr>
              <w:jc w:val="center"/>
              <w:rPr>
                <w:rFonts w:ascii="Verdana" w:hAnsi="Verdana" w:cs="Arial"/>
                <w:color w:val="FF0000"/>
                <w:sz w:val="18"/>
                <w:szCs w:val="18"/>
              </w:rPr>
            </w:pPr>
            <w:r w:rsidRPr="00866B55">
              <w:rPr>
                <w:rFonts w:ascii="Verdana" w:hAnsi="Verdana" w:cs="Arial"/>
                <w:sz w:val="18"/>
                <w:szCs w:val="18"/>
              </w:rPr>
              <w:t>001</w:t>
            </w:r>
          </w:p>
        </w:tc>
        <w:tc>
          <w:tcPr>
            <w:tcW w:w="1637" w:type="dxa"/>
            <w:vAlign w:val="center"/>
          </w:tcPr>
          <w:p w14:paraId="7288EE66" w14:textId="003727DF" w:rsidR="0089646C" w:rsidRPr="00866B55" w:rsidRDefault="0089646C" w:rsidP="0089646C">
            <w:pPr>
              <w:jc w:val="center"/>
              <w:rPr>
                <w:rFonts w:ascii="Verdana" w:hAnsi="Verdana"/>
                <w:color w:val="FF0000"/>
                <w:sz w:val="18"/>
                <w:szCs w:val="18"/>
              </w:rPr>
            </w:pPr>
            <w:r w:rsidRPr="00866B55">
              <w:rPr>
                <w:rFonts w:ascii="Verdana" w:hAnsi="Verdana" w:cs="Arial"/>
                <w:sz w:val="18"/>
                <w:szCs w:val="18"/>
              </w:rPr>
              <w:t>03-08-2017</w:t>
            </w:r>
          </w:p>
        </w:tc>
        <w:tc>
          <w:tcPr>
            <w:tcW w:w="6211" w:type="dxa"/>
            <w:vAlign w:val="center"/>
          </w:tcPr>
          <w:p w14:paraId="0A2EABEE" w14:textId="1F510B15" w:rsidR="0089646C" w:rsidRPr="00866B55" w:rsidRDefault="0089646C" w:rsidP="0089646C">
            <w:pPr>
              <w:jc w:val="both"/>
              <w:rPr>
                <w:rFonts w:ascii="Verdana" w:hAnsi="Verdana"/>
                <w:color w:val="FF0000"/>
                <w:sz w:val="18"/>
                <w:szCs w:val="18"/>
              </w:rPr>
            </w:pPr>
            <w:r w:rsidRPr="00866B55">
              <w:rPr>
                <w:rFonts w:ascii="Verdana" w:hAnsi="Verdana" w:cs="Arial"/>
                <w:sz w:val="18"/>
                <w:szCs w:val="18"/>
              </w:rPr>
              <w:t>Creación del documento</w:t>
            </w:r>
          </w:p>
        </w:tc>
      </w:tr>
      <w:tr w:rsidR="0089646C" w:rsidRPr="00866B55" w14:paraId="6F84E69C" w14:textId="77777777" w:rsidTr="00181443">
        <w:trPr>
          <w:trHeight w:val="365"/>
          <w:jc w:val="center"/>
        </w:trPr>
        <w:tc>
          <w:tcPr>
            <w:tcW w:w="1497" w:type="dxa"/>
            <w:vAlign w:val="center"/>
          </w:tcPr>
          <w:p w14:paraId="310699C6" w14:textId="3FAF67D5" w:rsidR="0089646C" w:rsidRPr="00866B55" w:rsidRDefault="0089646C" w:rsidP="0089646C">
            <w:pPr>
              <w:jc w:val="center"/>
              <w:rPr>
                <w:rFonts w:ascii="Verdana" w:hAnsi="Verdana" w:cs="Arial"/>
                <w:color w:val="FF0000"/>
                <w:sz w:val="18"/>
                <w:szCs w:val="18"/>
              </w:rPr>
            </w:pPr>
            <w:r w:rsidRPr="00866B55">
              <w:rPr>
                <w:rFonts w:ascii="Verdana" w:hAnsi="Verdana" w:cs="Arial"/>
                <w:sz w:val="18"/>
                <w:szCs w:val="18"/>
              </w:rPr>
              <w:t>002</w:t>
            </w:r>
          </w:p>
        </w:tc>
        <w:tc>
          <w:tcPr>
            <w:tcW w:w="1637" w:type="dxa"/>
            <w:vAlign w:val="center"/>
          </w:tcPr>
          <w:p w14:paraId="65461D77" w14:textId="5F013661" w:rsidR="0089646C" w:rsidRPr="00866B55" w:rsidRDefault="0089646C" w:rsidP="0089646C">
            <w:pPr>
              <w:jc w:val="center"/>
              <w:rPr>
                <w:rFonts w:ascii="Verdana" w:hAnsi="Verdana"/>
                <w:color w:val="FF0000"/>
                <w:sz w:val="18"/>
                <w:szCs w:val="18"/>
              </w:rPr>
            </w:pPr>
            <w:r w:rsidRPr="00866B55">
              <w:rPr>
                <w:rFonts w:ascii="Verdana" w:hAnsi="Verdana" w:cs="Arial"/>
                <w:sz w:val="18"/>
                <w:szCs w:val="18"/>
              </w:rPr>
              <w:t>02-05-2019</w:t>
            </w:r>
          </w:p>
        </w:tc>
        <w:tc>
          <w:tcPr>
            <w:tcW w:w="6211" w:type="dxa"/>
          </w:tcPr>
          <w:p w14:paraId="4DE54495" w14:textId="0322F794" w:rsidR="0089646C" w:rsidRPr="00866B55" w:rsidRDefault="0089646C" w:rsidP="0089646C">
            <w:pPr>
              <w:jc w:val="both"/>
              <w:rPr>
                <w:rFonts w:ascii="Verdana" w:hAnsi="Verdana"/>
                <w:color w:val="FF0000"/>
                <w:sz w:val="18"/>
                <w:szCs w:val="18"/>
              </w:rPr>
            </w:pPr>
            <w:r w:rsidRPr="00866B55">
              <w:rPr>
                <w:rFonts w:ascii="Verdana" w:hAnsi="Verdana" w:cs="Arial"/>
                <w:sz w:val="18"/>
                <w:szCs w:val="18"/>
              </w:rPr>
              <w:t>Ajustes relacionados con lenguaje claro y nuevos espacios de participación ciudadana</w:t>
            </w:r>
          </w:p>
        </w:tc>
      </w:tr>
      <w:tr w:rsidR="0089646C" w:rsidRPr="00866B55" w14:paraId="65860726" w14:textId="77777777" w:rsidTr="00181443">
        <w:trPr>
          <w:trHeight w:val="365"/>
          <w:jc w:val="center"/>
        </w:trPr>
        <w:tc>
          <w:tcPr>
            <w:tcW w:w="1497" w:type="dxa"/>
            <w:vAlign w:val="center"/>
          </w:tcPr>
          <w:p w14:paraId="38AFBB0C" w14:textId="472F1BD6" w:rsidR="0089646C" w:rsidRPr="00866B55" w:rsidRDefault="0089646C" w:rsidP="0089646C">
            <w:pPr>
              <w:jc w:val="center"/>
              <w:rPr>
                <w:rFonts w:ascii="Verdana" w:hAnsi="Verdana" w:cs="Arial"/>
                <w:color w:val="FF0000"/>
                <w:sz w:val="18"/>
                <w:szCs w:val="18"/>
              </w:rPr>
            </w:pPr>
            <w:r w:rsidRPr="00866B55">
              <w:rPr>
                <w:rFonts w:ascii="Verdana" w:hAnsi="Verdana" w:cs="Arial"/>
                <w:sz w:val="18"/>
                <w:szCs w:val="18"/>
              </w:rPr>
              <w:t>003</w:t>
            </w:r>
          </w:p>
        </w:tc>
        <w:tc>
          <w:tcPr>
            <w:tcW w:w="1637" w:type="dxa"/>
            <w:vAlign w:val="center"/>
          </w:tcPr>
          <w:p w14:paraId="48A77BCD" w14:textId="0465B13C" w:rsidR="0089646C" w:rsidRPr="00866B55" w:rsidRDefault="00463795" w:rsidP="0089646C">
            <w:pPr>
              <w:jc w:val="center"/>
              <w:rPr>
                <w:rFonts w:ascii="Verdana" w:hAnsi="Verdana"/>
                <w:color w:val="FF0000"/>
                <w:sz w:val="18"/>
                <w:szCs w:val="18"/>
              </w:rPr>
            </w:pPr>
            <w:r>
              <w:rPr>
                <w:rFonts w:ascii="Verdana" w:hAnsi="Verdana" w:cs="Arial"/>
                <w:sz w:val="18"/>
                <w:szCs w:val="18"/>
              </w:rPr>
              <w:t>30</w:t>
            </w:r>
            <w:r w:rsidR="0089646C" w:rsidRPr="00866B55">
              <w:rPr>
                <w:rFonts w:ascii="Verdana" w:hAnsi="Verdana" w:cs="Arial"/>
                <w:sz w:val="18"/>
                <w:szCs w:val="18"/>
              </w:rPr>
              <w:t>-1</w:t>
            </w:r>
            <w:r>
              <w:rPr>
                <w:rFonts w:ascii="Verdana" w:hAnsi="Verdana" w:cs="Arial"/>
                <w:sz w:val="18"/>
                <w:szCs w:val="18"/>
              </w:rPr>
              <w:t>0</w:t>
            </w:r>
            <w:r w:rsidR="0089646C" w:rsidRPr="00866B55">
              <w:rPr>
                <w:rFonts w:ascii="Verdana" w:hAnsi="Verdana" w:cs="Arial"/>
                <w:sz w:val="18"/>
                <w:szCs w:val="18"/>
              </w:rPr>
              <w:t>-202</w:t>
            </w:r>
            <w:r>
              <w:rPr>
                <w:rFonts w:ascii="Verdana" w:hAnsi="Verdana" w:cs="Arial"/>
                <w:sz w:val="18"/>
                <w:szCs w:val="18"/>
              </w:rPr>
              <w:t>5</w:t>
            </w:r>
          </w:p>
        </w:tc>
        <w:tc>
          <w:tcPr>
            <w:tcW w:w="6211" w:type="dxa"/>
          </w:tcPr>
          <w:p w14:paraId="1072DD06" w14:textId="7D64A002" w:rsidR="001C293C" w:rsidRDefault="001C293C" w:rsidP="0089646C">
            <w:pPr>
              <w:jc w:val="both"/>
              <w:rPr>
                <w:rFonts w:ascii="Verdana" w:hAnsi="Verdana" w:cs="Arial"/>
                <w:sz w:val="18"/>
                <w:szCs w:val="18"/>
              </w:rPr>
            </w:pPr>
            <w:r>
              <w:rPr>
                <w:rFonts w:ascii="Verdana" w:hAnsi="Verdana" w:cs="Arial"/>
                <w:sz w:val="18"/>
                <w:szCs w:val="18"/>
              </w:rPr>
              <w:t>Ajustes</w:t>
            </w:r>
            <w:r w:rsidR="00554A6F">
              <w:rPr>
                <w:rFonts w:ascii="Verdana" w:hAnsi="Verdana" w:cs="Arial"/>
                <w:sz w:val="18"/>
                <w:szCs w:val="18"/>
              </w:rPr>
              <w:t xml:space="preserve"> </w:t>
            </w:r>
            <w:r>
              <w:rPr>
                <w:rFonts w:ascii="Verdana" w:hAnsi="Verdana" w:cs="Arial"/>
                <w:sz w:val="18"/>
                <w:szCs w:val="18"/>
              </w:rPr>
              <w:t>d</w:t>
            </w:r>
            <w:r w:rsidR="00554A6F">
              <w:rPr>
                <w:rFonts w:ascii="Verdana" w:hAnsi="Verdana" w:cs="Arial"/>
                <w:sz w:val="18"/>
                <w:szCs w:val="18"/>
              </w:rPr>
              <w:t xml:space="preserve">el nombre del manual </w:t>
            </w:r>
            <w:r w:rsidR="00463795">
              <w:rPr>
                <w:rFonts w:ascii="Verdana" w:hAnsi="Verdana" w:cs="Arial"/>
                <w:sz w:val="18"/>
                <w:szCs w:val="18"/>
              </w:rPr>
              <w:t>de acuerdo con</w:t>
            </w:r>
            <w:r w:rsidR="00554A6F">
              <w:rPr>
                <w:rFonts w:ascii="Verdana" w:hAnsi="Verdana" w:cs="Arial"/>
                <w:sz w:val="18"/>
                <w:szCs w:val="18"/>
              </w:rPr>
              <w:t xml:space="preserve"> los lineamientos de MIPG, Manual de Participación Ciudadana en la Gestión Pública</w:t>
            </w:r>
            <w:r>
              <w:rPr>
                <w:rFonts w:ascii="Verdana" w:hAnsi="Verdana" w:cs="Arial"/>
                <w:sz w:val="18"/>
                <w:szCs w:val="18"/>
              </w:rPr>
              <w:t>.</w:t>
            </w:r>
          </w:p>
          <w:p w14:paraId="5C45316D" w14:textId="704EC023" w:rsidR="0089646C" w:rsidRPr="00866B55" w:rsidRDefault="0089646C" w:rsidP="0089646C">
            <w:pPr>
              <w:jc w:val="both"/>
              <w:rPr>
                <w:rFonts w:ascii="Verdana" w:hAnsi="Verdana"/>
                <w:color w:val="FF0000"/>
                <w:sz w:val="18"/>
                <w:szCs w:val="18"/>
              </w:rPr>
            </w:pPr>
            <w:r w:rsidRPr="00866B55">
              <w:rPr>
                <w:rFonts w:ascii="Verdana" w:hAnsi="Verdana" w:cs="Arial"/>
                <w:sz w:val="18"/>
                <w:szCs w:val="18"/>
              </w:rPr>
              <w:t xml:space="preserve">Ajustes metodológicos para la Implementación de la Política de participación en la gestión Institucional de acuerdo con los lineamientos de </w:t>
            </w:r>
            <w:r w:rsidR="001C293C">
              <w:rPr>
                <w:rFonts w:ascii="Verdana" w:hAnsi="Verdana" w:cs="Arial"/>
                <w:sz w:val="18"/>
                <w:szCs w:val="18"/>
              </w:rPr>
              <w:t xml:space="preserve">Manual Operativo de </w:t>
            </w:r>
            <w:r w:rsidRPr="00866B55">
              <w:rPr>
                <w:rFonts w:ascii="Verdana" w:hAnsi="Verdana" w:cs="Arial"/>
                <w:sz w:val="18"/>
                <w:szCs w:val="18"/>
              </w:rPr>
              <w:t>MIPG</w:t>
            </w:r>
            <w:r w:rsidR="001C293C">
              <w:rPr>
                <w:rFonts w:ascii="Verdana" w:hAnsi="Verdana" w:cs="Arial"/>
                <w:sz w:val="18"/>
                <w:szCs w:val="18"/>
              </w:rPr>
              <w:t xml:space="preserve"> versión 6 de 2024.</w:t>
            </w:r>
          </w:p>
        </w:tc>
      </w:tr>
    </w:tbl>
    <w:p w14:paraId="4AE280CA" w14:textId="77777777" w:rsidR="00B5050A" w:rsidRPr="004759DE" w:rsidRDefault="00B5050A" w:rsidP="00B5050A">
      <w:pPr>
        <w:rPr>
          <w:rFonts w:ascii="Verdana" w:hAnsi="Verdana"/>
        </w:rPr>
      </w:pPr>
    </w:p>
    <w:p w14:paraId="6E73ACA2" w14:textId="77777777" w:rsidR="00B5050A" w:rsidRPr="004759DE" w:rsidRDefault="00B5050A" w:rsidP="00B5050A">
      <w:pPr>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544"/>
        <w:gridCol w:w="3124"/>
      </w:tblGrid>
      <w:tr w:rsidR="00B5050A" w:rsidRPr="00866B55" w14:paraId="3E263C2D" w14:textId="77777777" w:rsidTr="005E14D8">
        <w:trPr>
          <w:trHeight w:val="270"/>
          <w:jc w:val="center"/>
        </w:trPr>
        <w:tc>
          <w:tcPr>
            <w:tcW w:w="2972" w:type="dxa"/>
            <w:shd w:val="clear" w:color="auto" w:fill="F2DCDB"/>
            <w:vAlign w:val="center"/>
          </w:tcPr>
          <w:p w14:paraId="66B2A83A" w14:textId="77777777" w:rsidR="00B5050A" w:rsidRPr="00866B55" w:rsidRDefault="00B5050A" w:rsidP="005168A6">
            <w:pPr>
              <w:jc w:val="center"/>
              <w:rPr>
                <w:rFonts w:ascii="Verdana" w:hAnsi="Verdana"/>
                <w:b/>
                <w:bCs/>
                <w:sz w:val="18"/>
                <w:szCs w:val="18"/>
              </w:rPr>
            </w:pPr>
            <w:r w:rsidRPr="00866B55">
              <w:rPr>
                <w:rFonts w:ascii="Verdana" w:hAnsi="Verdana"/>
                <w:b/>
                <w:bCs/>
                <w:sz w:val="18"/>
                <w:szCs w:val="18"/>
              </w:rPr>
              <w:t>Elaboró</w:t>
            </w:r>
          </w:p>
        </w:tc>
        <w:tc>
          <w:tcPr>
            <w:tcW w:w="3544" w:type="dxa"/>
            <w:shd w:val="clear" w:color="auto" w:fill="F2DCDB"/>
            <w:vAlign w:val="center"/>
          </w:tcPr>
          <w:p w14:paraId="6EECB021" w14:textId="77777777" w:rsidR="00B5050A" w:rsidRPr="00866B55" w:rsidRDefault="00B5050A" w:rsidP="005168A6">
            <w:pPr>
              <w:jc w:val="center"/>
              <w:rPr>
                <w:rFonts w:ascii="Verdana" w:hAnsi="Verdana"/>
                <w:b/>
                <w:bCs/>
                <w:sz w:val="18"/>
                <w:szCs w:val="18"/>
              </w:rPr>
            </w:pPr>
            <w:r w:rsidRPr="00866B55">
              <w:rPr>
                <w:rFonts w:ascii="Verdana" w:hAnsi="Verdana"/>
                <w:b/>
                <w:bCs/>
                <w:sz w:val="18"/>
                <w:szCs w:val="18"/>
              </w:rPr>
              <w:t>Revisó</w:t>
            </w:r>
          </w:p>
        </w:tc>
        <w:tc>
          <w:tcPr>
            <w:tcW w:w="3124" w:type="dxa"/>
            <w:shd w:val="clear" w:color="auto" w:fill="F2DCDB"/>
            <w:vAlign w:val="center"/>
          </w:tcPr>
          <w:p w14:paraId="092DD3E2" w14:textId="2A71F3E7" w:rsidR="00B5050A" w:rsidRPr="00866B55" w:rsidRDefault="00B5050A" w:rsidP="005168A6">
            <w:pPr>
              <w:jc w:val="center"/>
              <w:rPr>
                <w:rFonts w:ascii="Verdana" w:hAnsi="Verdana"/>
                <w:b/>
                <w:bCs/>
                <w:sz w:val="18"/>
                <w:szCs w:val="18"/>
              </w:rPr>
            </w:pPr>
            <w:r w:rsidRPr="00866B55">
              <w:rPr>
                <w:rFonts w:ascii="Verdana" w:hAnsi="Verdana"/>
                <w:b/>
                <w:bCs/>
                <w:sz w:val="18"/>
                <w:szCs w:val="18"/>
              </w:rPr>
              <w:t xml:space="preserve">Aprobó </w:t>
            </w:r>
          </w:p>
        </w:tc>
      </w:tr>
      <w:tr w:rsidR="00B5050A" w:rsidRPr="00866B55" w14:paraId="5F85ABFC" w14:textId="77777777" w:rsidTr="005E14D8">
        <w:trPr>
          <w:trHeight w:val="270"/>
          <w:jc w:val="center"/>
        </w:trPr>
        <w:tc>
          <w:tcPr>
            <w:tcW w:w="2972" w:type="dxa"/>
          </w:tcPr>
          <w:p w14:paraId="5BDF513A" w14:textId="4BEAFCB0"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sidR="001C293C">
              <w:rPr>
                <w:rFonts w:ascii="Verdana" w:hAnsi="Verdana" w:cs="Arial"/>
                <w:sz w:val="18"/>
                <w:szCs w:val="18"/>
              </w:rPr>
              <w:t xml:space="preserve"> Paola Andrea Ramírez Jiménez.</w:t>
            </w:r>
          </w:p>
          <w:p w14:paraId="213C17D5" w14:textId="395D11BC" w:rsidR="00B5050A"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r w:rsidR="001C293C">
              <w:rPr>
                <w:rFonts w:ascii="Verdana" w:hAnsi="Verdana" w:cs="Arial"/>
                <w:sz w:val="18"/>
                <w:szCs w:val="18"/>
              </w:rPr>
              <w:t>Contratista 205-2025</w:t>
            </w:r>
          </w:p>
          <w:p w14:paraId="5ACD9838" w14:textId="3BFC5B42" w:rsidR="001E76A9" w:rsidRPr="00866B55" w:rsidRDefault="001E76A9" w:rsidP="00FE770A">
            <w:pPr>
              <w:tabs>
                <w:tab w:val="left" w:pos="1620"/>
              </w:tabs>
              <w:spacing w:after="0" w:line="240" w:lineRule="auto"/>
              <w:ind w:right="142"/>
              <w:rPr>
                <w:rFonts w:ascii="Verdana" w:hAnsi="Verdana" w:cs="Arial"/>
                <w:sz w:val="18"/>
                <w:szCs w:val="18"/>
              </w:rPr>
            </w:pPr>
            <w:r>
              <w:rPr>
                <w:rFonts w:ascii="Verdana" w:hAnsi="Verdana" w:cs="Arial"/>
                <w:sz w:val="18"/>
                <w:szCs w:val="18"/>
              </w:rPr>
              <w:t>Grupo REC</w:t>
            </w:r>
          </w:p>
          <w:p w14:paraId="196B003A" w14:textId="40A1986D"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Fecha: </w:t>
            </w:r>
            <w:r w:rsidR="00641172">
              <w:rPr>
                <w:rFonts w:ascii="Verdana" w:hAnsi="Verdana" w:cs="Arial"/>
                <w:sz w:val="18"/>
                <w:szCs w:val="18"/>
              </w:rPr>
              <w:t>14/10/2025</w:t>
            </w:r>
          </w:p>
        </w:tc>
        <w:tc>
          <w:tcPr>
            <w:tcW w:w="3544" w:type="dxa"/>
          </w:tcPr>
          <w:p w14:paraId="38F46D3D" w14:textId="5BEF3D27"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sidR="00C3475E">
              <w:rPr>
                <w:rFonts w:ascii="Verdana" w:hAnsi="Verdana" w:cs="Arial"/>
                <w:sz w:val="18"/>
                <w:szCs w:val="18"/>
              </w:rPr>
              <w:t xml:space="preserve"> Ana Josefina Lozano</w:t>
            </w:r>
            <w:r w:rsidR="00641172">
              <w:rPr>
                <w:rFonts w:ascii="Verdana" w:hAnsi="Verdana" w:cs="Arial"/>
                <w:sz w:val="18"/>
                <w:szCs w:val="18"/>
              </w:rPr>
              <w:t xml:space="preserve"> y Marleny Natalia Malaver Ro</w:t>
            </w:r>
            <w:r w:rsidR="005E14D8">
              <w:rPr>
                <w:rFonts w:ascii="Verdana" w:hAnsi="Verdana" w:cs="Arial"/>
                <w:sz w:val="18"/>
                <w:szCs w:val="18"/>
              </w:rPr>
              <w:t>jas</w:t>
            </w:r>
          </w:p>
          <w:p w14:paraId="1FC17279" w14:textId="309E113B" w:rsidR="00C3475E" w:rsidRPr="00866B55" w:rsidRDefault="00C3475E" w:rsidP="005E14D8">
            <w:pPr>
              <w:tabs>
                <w:tab w:val="left" w:pos="1620"/>
              </w:tabs>
              <w:spacing w:after="0" w:line="240" w:lineRule="auto"/>
              <w:ind w:right="68"/>
              <w:rPr>
                <w:rFonts w:ascii="Verdana" w:hAnsi="Verdana" w:cs="Arial"/>
                <w:sz w:val="18"/>
                <w:szCs w:val="18"/>
              </w:rPr>
            </w:pPr>
            <w:r w:rsidRPr="00866B55">
              <w:rPr>
                <w:rFonts w:ascii="Verdana" w:hAnsi="Verdana" w:cs="Arial"/>
                <w:sz w:val="18"/>
                <w:szCs w:val="18"/>
              </w:rPr>
              <w:t xml:space="preserve">Cargo: </w:t>
            </w:r>
            <w:r w:rsidR="005E14D8">
              <w:rPr>
                <w:rFonts w:ascii="Verdana" w:hAnsi="Verdana" w:cs="Arial"/>
                <w:sz w:val="18"/>
                <w:szCs w:val="18"/>
              </w:rPr>
              <w:t>Servidor/</w:t>
            </w:r>
            <w:r w:rsidR="00641172">
              <w:rPr>
                <w:rFonts w:ascii="Verdana" w:hAnsi="Verdana" w:cs="Arial"/>
                <w:sz w:val="18"/>
                <w:szCs w:val="18"/>
              </w:rPr>
              <w:t xml:space="preserve">Coordinadora Grupo Relación Estado </w:t>
            </w:r>
            <w:r w:rsidR="005E14D8">
              <w:rPr>
                <w:rFonts w:ascii="Verdana" w:hAnsi="Verdana" w:cs="Arial"/>
                <w:sz w:val="18"/>
                <w:szCs w:val="18"/>
              </w:rPr>
              <w:t>C</w:t>
            </w:r>
            <w:r w:rsidR="00641172">
              <w:rPr>
                <w:rFonts w:ascii="Verdana" w:hAnsi="Verdana" w:cs="Arial"/>
                <w:sz w:val="18"/>
                <w:szCs w:val="18"/>
              </w:rPr>
              <w:t>iudadano</w:t>
            </w:r>
          </w:p>
          <w:p w14:paraId="344ED61D" w14:textId="5194B2EA" w:rsidR="00B5050A" w:rsidRPr="00866B55" w:rsidRDefault="00C3475E" w:rsidP="00C3475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Pr>
                <w:rFonts w:ascii="Verdana" w:hAnsi="Verdana" w:cs="Arial"/>
                <w:sz w:val="18"/>
                <w:szCs w:val="18"/>
              </w:rPr>
              <w:t xml:space="preserve"> </w:t>
            </w:r>
            <w:r w:rsidR="00641172">
              <w:rPr>
                <w:rFonts w:ascii="Verdana" w:hAnsi="Verdana" w:cs="Arial"/>
                <w:sz w:val="18"/>
                <w:szCs w:val="18"/>
              </w:rPr>
              <w:t>14/10/2025</w:t>
            </w:r>
          </w:p>
        </w:tc>
        <w:tc>
          <w:tcPr>
            <w:tcW w:w="3124" w:type="dxa"/>
          </w:tcPr>
          <w:p w14:paraId="4F78E9DB" w14:textId="6950A198"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sidR="00F236D7">
              <w:rPr>
                <w:rFonts w:ascii="Verdana" w:hAnsi="Verdana" w:cs="Arial"/>
                <w:sz w:val="18"/>
                <w:szCs w:val="18"/>
              </w:rPr>
              <w:t xml:space="preserve"> </w:t>
            </w:r>
            <w:r w:rsidR="00641172">
              <w:rPr>
                <w:rFonts w:ascii="Verdana" w:hAnsi="Verdana" w:cs="Arial"/>
                <w:sz w:val="18"/>
                <w:szCs w:val="18"/>
              </w:rPr>
              <w:t>Nini Johanna Castañeda</w:t>
            </w:r>
          </w:p>
          <w:p w14:paraId="6CB04FCC" w14:textId="4779B317"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r w:rsidR="00641172">
              <w:rPr>
                <w:rFonts w:ascii="Verdana" w:hAnsi="Verdana" w:cs="Arial"/>
                <w:sz w:val="18"/>
                <w:szCs w:val="18"/>
              </w:rPr>
              <w:t>Secretaria General</w:t>
            </w:r>
          </w:p>
          <w:p w14:paraId="1C9644B7" w14:textId="77777777" w:rsidR="001E76A9" w:rsidRDefault="001E76A9" w:rsidP="00FE770A">
            <w:pPr>
              <w:tabs>
                <w:tab w:val="left" w:pos="1620"/>
              </w:tabs>
              <w:spacing w:after="0" w:line="240" w:lineRule="auto"/>
              <w:ind w:right="142"/>
              <w:rPr>
                <w:rFonts w:ascii="Verdana" w:hAnsi="Verdana" w:cs="Arial"/>
                <w:sz w:val="18"/>
                <w:szCs w:val="18"/>
              </w:rPr>
            </w:pPr>
          </w:p>
          <w:p w14:paraId="42F22BC3" w14:textId="5B45B74F" w:rsidR="00B5050A" w:rsidRPr="00866B55" w:rsidRDefault="00B5050A" w:rsidP="00FE770A">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sidR="00641172">
              <w:rPr>
                <w:rFonts w:ascii="Verdana" w:hAnsi="Verdana" w:cs="Arial"/>
                <w:sz w:val="18"/>
                <w:szCs w:val="18"/>
              </w:rPr>
              <w:t xml:space="preserve">  </w:t>
            </w:r>
            <w:r w:rsidR="005E14D8">
              <w:rPr>
                <w:rFonts w:ascii="Verdana" w:hAnsi="Verdana" w:cs="Arial"/>
                <w:sz w:val="18"/>
                <w:szCs w:val="18"/>
              </w:rPr>
              <w:t>30</w:t>
            </w:r>
            <w:r w:rsidR="00641172">
              <w:rPr>
                <w:rFonts w:ascii="Verdana" w:hAnsi="Verdana" w:cs="Arial"/>
                <w:sz w:val="18"/>
                <w:szCs w:val="18"/>
              </w:rPr>
              <w:t>/10/2025</w:t>
            </w:r>
          </w:p>
        </w:tc>
      </w:tr>
    </w:tbl>
    <w:p w14:paraId="2623BBB7" w14:textId="77777777" w:rsidR="00B5050A" w:rsidRPr="004759DE" w:rsidRDefault="00B5050A" w:rsidP="00B5050A">
      <w:pPr>
        <w:rPr>
          <w:rFonts w:ascii="Verdana" w:hAnsi="Verdana" w:cs="Arial"/>
          <w:b/>
        </w:rPr>
      </w:pPr>
    </w:p>
    <w:p w14:paraId="67C7AFED" w14:textId="77777777" w:rsidR="00B5050A" w:rsidRPr="004759DE" w:rsidRDefault="00B5050A" w:rsidP="00974ADB">
      <w:pPr>
        <w:rPr>
          <w:rFonts w:ascii="Verdana" w:hAnsi="Verdana"/>
          <w:b/>
          <w:bCs/>
        </w:rPr>
      </w:pPr>
    </w:p>
    <w:p w14:paraId="0C1FEAFF" w14:textId="77777777" w:rsidR="00B5050A" w:rsidRPr="004759DE" w:rsidRDefault="00B5050A" w:rsidP="00974ADB">
      <w:pPr>
        <w:rPr>
          <w:rFonts w:ascii="Verdana" w:hAnsi="Verdana" w:cs="Arial"/>
          <w:b/>
        </w:rPr>
      </w:pPr>
    </w:p>
    <w:p w14:paraId="410D2BD9" w14:textId="77777777" w:rsidR="000B1ABB" w:rsidRPr="004759DE" w:rsidRDefault="000B1ABB" w:rsidP="00974ADB">
      <w:pPr>
        <w:rPr>
          <w:rFonts w:ascii="Verdana" w:hAnsi="Verdana" w:cs="Arial"/>
          <w:b/>
        </w:rPr>
      </w:pPr>
    </w:p>
    <w:p w14:paraId="18EF9EB2" w14:textId="3BA7C039" w:rsidR="0002244C" w:rsidRPr="004759DE" w:rsidRDefault="0002244C" w:rsidP="0002244C">
      <w:pPr>
        <w:tabs>
          <w:tab w:val="left" w:pos="3990"/>
        </w:tabs>
        <w:rPr>
          <w:rFonts w:ascii="Verdana" w:hAnsi="Verdana"/>
        </w:rPr>
      </w:pPr>
      <w:r w:rsidRPr="004759DE">
        <w:rPr>
          <w:rFonts w:ascii="Verdana" w:hAnsi="Verdana"/>
        </w:rPr>
        <w:tab/>
      </w:r>
    </w:p>
    <w:sectPr w:rsidR="0002244C" w:rsidRPr="004759DE" w:rsidSect="0002244C">
      <w:headerReference w:type="default" r:id="rId17"/>
      <w:footerReference w:type="default" r:id="rId18"/>
      <w:pgSz w:w="12242" w:h="15842" w:code="119"/>
      <w:pgMar w:top="720" w:right="1469" w:bottom="993" w:left="1418" w:header="70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155E" w14:textId="77777777" w:rsidR="00383E44" w:rsidRDefault="00383E44" w:rsidP="00E833B8">
      <w:pPr>
        <w:spacing w:after="0" w:line="240" w:lineRule="auto"/>
      </w:pPr>
      <w:r>
        <w:separator/>
      </w:r>
    </w:p>
  </w:endnote>
  <w:endnote w:type="continuationSeparator" w:id="0">
    <w:p w14:paraId="4292E859" w14:textId="77777777" w:rsidR="00383E44" w:rsidRDefault="00383E44"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19F23E0" w14:textId="27FA58C9" w:rsidR="002E1762" w:rsidRPr="002E1762" w:rsidRDefault="002E1762" w:rsidP="002E1762">
            <w:pPr>
              <w:pStyle w:val="Piedepgina"/>
              <w:jc w:val="center"/>
              <w:rPr>
                <w:sz w:val="16"/>
                <w:szCs w:val="16"/>
              </w:rPr>
            </w:pPr>
            <w:r w:rsidRPr="002E1762">
              <w:rPr>
                <w:sz w:val="16"/>
                <w:szCs w:val="16"/>
              </w:rPr>
              <w:t>Proceso: Gestión Integral, Código: GIN–FM–0</w:t>
            </w:r>
            <w:r w:rsidR="00B5050A">
              <w:rPr>
                <w:sz w:val="16"/>
                <w:szCs w:val="16"/>
              </w:rPr>
              <w:t>36</w:t>
            </w:r>
            <w:r w:rsidRPr="002E1762">
              <w:rPr>
                <w:sz w:val="16"/>
                <w:szCs w:val="16"/>
              </w:rPr>
              <w:t>, Versión: 001, Vigencia: 26/02/2025</w:t>
            </w:r>
          </w:p>
          <w:p w14:paraId="512FF51B" w14:textId="77777777" w:rsidR="002E1762" w:rsidRPr="002E1762" w:rsidRDefault="002E1762" w:rsidP="002E1762">
            <w:pPr>
              <w:pStyle w:val="Piedepgina"/>
              <w:jc w:val="center"/>
              <w:rPr>
                <w:sz w:val="16"/>
                <w:szCs w:val="16"/>
              </w:rPr>
            </w:pPr>
            <w:r w:rsidRPr="002E1762">
              <w:rPr>
                <w:sz w:val="16"/>
                <w:szCs w:val="16"/>
              </w:rPr>
              <w:t>Verifique que este documento corresponda a la versión vigente antes de su uso</w:t>
            </w:r>
          </w:p>
          <w:p w14:paraId="37DAF782" w14:textId="77777777" w:rsidR="002E1762" w:rsidRPr="002E1762" w:rsidRDefault="002E1762" w:rsidP="002E1762">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sidRPr="002E1762">
              <w:rPr>
                <w:sz w:val="16"/>
                <w:szCs w:val="16"/>
              </w:rPr>
              <w:t>2</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sidRPr="002E1762">
              <w:rPr>
                <w:sz w:val="16"/>
                <w:szCs w:val="16"/>
              </w:rPr>
              <w:t>3</w:t>
            </w:r>
            <w:r w:rsidRPr="002E1762">
              <w:rPr>
                <w:sz w:val="16"/>
                <w:szCs w:val="16"/>
              </w:rPr>
              <w:fldChar w:fldCharType="end"/>
            </w:r>
          </w:p>
        </w:sdtContent>
      </w:sdt>
    </w:sdtContent>
  </w:sdt>
  <w:p w14:paraId="16314578" w14:textId="087F92D9" w:rsidR="00974ADB" w:rsidRPr="00603E26" w:rsidRDefault="00974ADB" w:rsidP="00D2381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8D18" w14:textId="77777777" w:rsidR="00383E44" w:rsidRDefault="00383E44" w:rsidP="00E833B8">
      <w:pPr>
        <w:spacing w:after="0" w:line="240" w:lineRule="auto"/>
      </w:pPr>
      <w:r>
        <w:separator/>
      </w:r>
    </w:p>
  </w:footnote>
  <w:footnote w:type="continuationSeparator" w:id="0">
    <w:p w14:paraId="6A3722B0" w14:textId="77777777" w:rsidR="00383E44" w:rsidRDefault="00383E44" w:rsidP="00E8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77777777" w:rsidR="00DB5A59" w:rsidRPr="00E833B8" w:rsidRDefault="00DB5A59" w:rsidP="00DB5A59">
          <w:pPr>
            <w:ind w:right="360"/>
            <w:jc w:val="center"/>
            <w:rPr>
              <w:rFonts w:cs="Arial"/>
              <w:sz w:val="18"/>
              <w:szCs w:val="18"/>
              <w:lang w:val="es-MX"/>
            </w:rPr>
          </w:pPr>
          <w:r w:rsidRPr="00E833B8">
            <w:rPr>
              <w:noProof/>
              <w:sz w:val="18"/>
              <w:szCs w:val="18"/>
              <w:lang w:eastAsia="es-CO"/>
            </w:rPr>
            <w:drawing>
              <wp:anchor distT="0" distB="0" distL="114300" distR="114300" simplePos="0" relativeHeight="251667456" behindDoc="1" locked="0" layoutInCell="1" allowOverlap="1" wp14:anchorId="7B3C38AD" wp14:editId="4CD4DB25">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2644C94" w14:textId="16BB481C" w:rsidR="00DB5A59" w:rsidRPr="00181443" w:rsidRDefault="00DB5A59" w:rsidP="00DB5A59">
          <w:pPr>
            <w:spacing w:after="0" w:line="240" w:lineRule="auto"/>
            <w:jc w:val="center"/>
            <w:rPr>
              <w:rFonts w:ascii="Verdana" w:hAnsi="Verdana" w:cs="Arial"/>
              <w:b/>
              <w:bCs/>
              <w:sz w:val="16"/>
              <w:szCs w:val="16"/>
              <w:lang w:val="es-MX"/>
            </w:rPr>
          </w:pPr>
          <w:r w:rsidRPr="00181443">
            <w:rPr>
              <w:rFonts w:ascii="Verdana" w:hAnsi="Verdana" w:cs="Arial"/>
              <w:b/>
              <w:bCs/>
              <w:sz w:val="16"/>
              <w:szCs w:val="16"/>
              <w:lang w:val="es-MX"/>
            </w:rPr>
            <w:t xml:space="preserve">PROCESO: </w:t>
          </w:r>
          <w:r w:rsidR="00B45CDC" w:rsidRPr="00181443">
            <w:rPr>
              <w:rFonts w:ascii="Verdana" w:hAnsi="Verdana" w:cs="Arial"/>
              <w:b/>
              <w:bCs/>
              <w:sz w:val="16"/>
              <w:szCs w:val="16"/>
              <w:lang w:val="es-MX"/>
            </w:rPr>
            <w:t>ATENCIÓN AL CIUDADANO</w:t>
          </w:r>
        </w:p>
      </w:tc>
      <w:tc>
        <w:tcPr>
          <w:tcW w:w="1560" w:type="dxa"/>
          <w:vAlign w:val="center"/>
        </w:tcPr>
        <w:p w14:paraId="1CDA9D03" w14:textId="77777777" w:rsidR="00DB5A59" w:rsidRPr="00181443" w:rsidRDefault="00DB5A59" w:rsidP="00DB5A59">
          <w:pPr>
            <w:spacing w:after="0" w:line="240" w:lineRule="auto"/>
            <w:jc w:val="center"/>
            <w:rPr>
              <w:rFonts w:ascii="Verdana" w:hAnsi="Verdana" w:cs="Arial"/>
              <w:sz w:val="16"/>
              <w:szCs w:val="16"/>
              <w:lang w:val="es-MX"/>
            </w:rPr>
          </w:pPr>
          <w:r w:rsidRPr="00181443">
            <w:rPr>
              <w:rFonts w:ascii="Verdana" w:hAnsi="Verdana" w:cs="Arial"/>
              <w:sz w:val="16"/>
              <w:szCs w:val="16"/>
              <w:lang w:val="es-MX"/>
            </w:rPr>
            <w:t>Código</w:t>
          </w:r>
        </w:p>
      </w:tc>
      <w:tc>
        <w:tcPr>
          <w:tcW w:w="1853" w:type="dxa"/>
          <w:vAlign w:val="center"/>
        </w:tcPr>
        <w:p w14:paraId="09C64E5D" w14:textId="376282F4" w:rsidR="00DB5A59" w:rsidRPr="00EE0283" w:rsidRDefault="00B45CDC" w:rsidP="00DB5A59">
          <w:pPr>
            <w:spacing w:after="0" w:line="240" w:lineRule="auto"/>
            <w:jc w:val="center"/>
            <w:rPr>
              <w:rFonts w:ascii="Verdana" w:hAnsi="Verdana" w:cs="Arial"/>
              <w:sz w:val="16"/>
              <w:szCs w:val="16"/>
              <w:lang w:val="es-MX"/>
            </w:rPr>
          </w:pPr>
          <w:r w:rsidRPr="00EE0283">
            <w:rPr>
              <w:rFonts w:ascii="Verdana" w:hAnsi="Verdana" w:cs="Arial"/>
              <w:sz w:val="16"/>
              <w:szCs w:val="16"/>
              <w:lang w:val="es-MX"/>
            </w:rPr>
            <w:t>ATC-M</w:t>
          </w:r>
          <w:r w:rsidR="00E95722" w:rsidRPr="00EE0283">
            <w:rPr>
              <w:rFonts w:ascii="Verdana" w:hAnsi="Verdana" w:cs="Arial"/>
              <w:sz w:val="16"/>
              <w:szCs w:val="16"/>
              <w:lang w:val="es-MX"/>
            </w:rPr>
            <w:t>A</w:t>
          </w:r>
          <w:r w:rsidRPr="00EE0283">
            <w:rPr>
              <w:rFonts w:ascii="Verdana" w:hAnsi="Verdana" w:cs="Arial"/>
              <w:sz w:val="16"/>
              <w:szCs w:val="16"/>
              <w:lang w:val="es-MX"/>
            </w:rPr>
            <w:t>-003</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vAlign w:val="center"/>
        </w:tcPr>
        <w:p w14:paraId="283D34C5" w14:textId="77777777" w:rsidR="00DB5A59" w:rsidRPr="00181443" w:rsidRDefault="00DB5A59" w:rsidP="00DB5A59">
          <w:pPr>
            <w:spacing w:after="0" w:line="240" w:lineRule="auto"/>
            <w:jc w:val="center"/>
            <w:rPr>
              <w:rFonts w:ascii="Verdana" w:hAnsi="Verdana" w:cs="Arial"/>
              <w:sz w:val="16"/>
              <w:szCs w:val="16"/>
              <w:lang w:val="es-MX"/>
            </w:rPr>
          </w:pPr>
        </w:p>
      </w:tc>
      <w:tc>
        <w:tcPr>
          <w:tcW w:w="1560" w:type="dxa"/>
          <w:tcBorders>
            <w:bottom w:val="single" w:sz="4" w:space="0" w:color="auto"/>
          </w:tcBorders>
          <w:vAlign w:val="center"/>
        </w:tcPr>
        <w:p w14:paraId="4F1E3FBC" w14:textId="77777777" w:rsidR="00DB5A59" w:rsidRPr="00181443" w:rsidRDefault="00DB5A59" w:rsidP="00DB5A59">
          <w:pPr>
            <w:spacing w:after="0" w:line="240" w:lineRule="auto"/>
            <w:jc w:val="center"/>
            <w:rPr>
              <w:rFonts w:ascii="Verdana" w:hAnsi="Verdana" w:cs="Arial"/>
              <w:sz w:val="16"/>
              <w:szCs w:val="16"/>
              <w:lang w:val="es-MX"/>
            </w:rPr>
          </w:pPr>
          <w:r w:rsidRPr="00181443">
            <w:rPr>
              <w:rFonts w:ascii="Verdana" w:hAnsi="Verdana" w:cs="Arial"/>
              <w:sz w:val="16"/>
              <w:szCs w:val="16"/>
              <w:lang w:val="es-MX"/>
            </w:rPr>
            <w:t>Versión</w:t>
          </w:r>
        </w:p>
      </w:tc>
      <w:tc>
        <w:tcPr>
          <w:tcW w:w="1853" w:type="dxa"/>
          <w:tcBorders>
            <w:bottom w:val="single" w:sz="4" w:space="0" w:color="auto"/>
          </w:tcBorders>
          <w:vAlign w:val="center"/>
        </w:tcPr>
        <w:p w14:paraId="567FE4CA" w14:textId="1E45D822" w:rsidR="00DB5A59" w:rsidRPr="00EE0283" w:rsidRDefault="00B45CDC" w:rsidP="00DB5A59">
          <w:pPr>
            <w:spacing w:after="0" w:line="240" w:lineRule="auto"/>
            <w:jc w:val="center"/>
            <w:rPr>
              <w:rFonts w:ascii="Verdana" w:hAnsi="Verdana" w:cs="Arial"/>
              <w:sz w:val="16"/>
              <w:szCs w:val="16"/>
              <w:lang w:val="es-MX"/>
            </w:rPr>
          </w:pPr>
          <w:r w:rsidRPr="00EE0283">
            <w:rPr>
              <w:rFonts w:ascii="Verdana" w:hAnsi="Verdana" w:cs="Arial"/>
              <w:sz w:val="16"/>
              <w:szCs w:val="16"/>
              <w:lang w:val="es-MX"/>
            </w:rPr>
            <w:t>003</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vAlign w:val="center"/>
        </w:tcPr>
        <w:p w14:paraId="015EF587" w14:textId="50877A17" w:rsidR="00DB5A59" w:rsidRPr="00181443" w:rsidRDefault="00DB5A59" w:rsidP="00DB5A59">
          <w:pPr>
            <w:spacing w:after="0" w:line="240" w:lineRule="auto"/>
            <w:jc w:val="center"/>
            <w:rPr>
              <w:rFonts w:ascii="Verdana" w:hAnsi="Verdana" w:cs="Arial"/>
              <w:b/>
              <w:bCs/>
              <w:sz w:val="16"/>
              <w:szCs w:val="16"/>
              <w:lang w:val="es-MX"/>
            </w:rPr>
          </w:pPr>
          <w:r w:rsidRPr="00181443">
            <w:rPr>
              <w:rFonts w:ascii="Verdana" w:hAnsi="Verdana" w:cs="Arial"/>
              <w:b/>
              <w:bCs/>
              <w:sz w:val="16"/>
              <w:szCs w:val="16"/>
              <w:lang w:val="es-MX"/>
            </w:rPr>
            <w:t xml:space="preserve">MANUAL: </w:t>
          </w:r>
          <w:r w:rsidR="00B45CDC" w:rsidRPr="00181443">
            <w:rPr>
              <w:rFonts w:ascii="Verdana" w:hAnsi="Verdana" w:cs="Arial"/>
              <w:b/>
              <w:bCs/>
              <w:sz w:val="16"/>
              <w:szCs w:val="16"/>
              <w:lang w:val="es-MX"/>
            </w:rPr>
            <w:t>PARTICIPACIÓN CIUDADANA EN LA GESTIÓN PÚBLICA</w:t>
          </w:r>
        </w:p>
      </w:tc>
      <w:tc>
        <w:tcPr>
          <w:tcW w:w="1560" w:type="dxa"/>
          <w:vAlign w:val="center"/>
        </w:tcPr>
        <w:p w14:paraId="32FDEDDF" w14:textId="77777777" w:rsidR="00DB5A59" w:rsidRPr="00181443" w:rsidRDefault="00DB5A59" w:rsidP="00DB5A59">
          <w:pPr>
            <w:spacing w:after="0" w:line="240" w:lineRule="auto"/>
            <w:jc w:val="center"/>
            <w:rPr>
              <w:rFonts w:ascii="Verdana" w:hAnsi="Verdana" w:cs="Arial"/>
              <w:sz w:val="16"/>
              <w:szCs w:val="16"/>
              <w:lang w:val="es-MX"/>
            </w:rPr>
          </w:pPr>
          <w:r w:rsidRPr="00181443">
            <w:rPr>
              <w:rFonts w:ascii="Verdana" w:hAnsi="Verdana" w:cs="Arial"/>
              <w:sz w:val="16"/>
              <w:szCs w:val="16"/>
              <w:lang w:val="es-MX"/>
            </w:rPr>
            <w:t>Fecha</w:t>
          </w:r>
        </w:p>
      </w:tc>
      <w:tc>
        <w:tcPr>
          <w:tcW w:w="1853" w:type="dxa"/>
          <w:vAlign w:val="center"/>
        </w:tcPr>
        <w:p w14:paraId="529B55D5" w14:textId="2F221C61" w:rsidR="00DB5A59" w:rsidRPr="00EE0283" w:rsidRDefault="00EE0283" w:rsidP="00DB5A59">
          <w:pPr>
            <w:spacing w:after="0" w:line="240" w:lineRule="auto"/>
            <w:jc w:val="center"/>
            <w:rPr>
              <w:rFonts w:ascii="Verdana" w:hAnsi="Verdana" w:cs="Arial"/>
              <w:sz w:val="16"/>
              <w:szCs w:val="16"/>
              <w:lang w:val="es-MX"/>
            </w:rPr>
          </w:pPr>
          <w:r w:rsidRPr="00EE0283">
            <w:rPr>
              <w:rFonts w:ascii="Verdana" w:hAnsi="Verdana" w:cs="Arial"/>
              <w:sz w:val="16"/>
              <w:szCs w:val="16"/>
              <w:lang w:val="es-MX"/>
            </w:rPr>
            <w:t>30/10/2025</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vAlign w:val="center"/>
        </w:tcPr>
        <w:p w14:paraId="258AC951" w14:textId="77777777" w:rsidR="00DB5A59" w:rsidRPr="00181443" w:rsidRDefault="00DB5A59" w:rsidP="00DB5A59">
          <w:pPr>
            <w:jc w:val="center"/>
            <w:rPr>
              <w:rFonts w:ascii="Verdana" w:hAnsi="Verdana" w:cs="Arial"/>
              <w:b/>
              <w:bCs/>
              <w:sz w:val="16"/>
              <w:szCs w:val="16"/>
              <w:lang w:val="es-MX"/>
            </w:rPr>
          </w:pPr>
        </w:p>
      </w:tc>
      <w:tc>
        <w:tcPr>
          <w:tcW w:w="1560" w:type="dxa"/>
          <w:vAlign w:val="center"/>
        </w:tcPr>
        <w:p w14:paraId="5859EB43" w14:textId="77777777" w:rsidR="00DB5A59" w:rsidRPr="00181443" w:rsidRDefault="00DB5A59" w:rsidP="00DB5A59">
          <w:pPr>
            <w:spacing w:after="0" w:line="240" w:lineRule="auto"/>
            <w:jc w:val="center"/>
            <w:rPr>
              <w:rFonts w:ascii="Verdana" w:hAnsi="Verdana" w:cs="Arial"/>
              <w:sz w:val="16"/>
              <w:szCs w:val="16"/>
              <w:lang w:val="es-MX"/>
            </w:rPr>
          </w:pPr>
          <w:r w:rsidRPr="00181443">
            <w:rPr>
              <w:rFonts w:ascii="Verdana" w:hAnsi="Verdana" w:cs="Arial"/>
              <w:sz w:val="16"/>
              <w:szCs w:val="16"/>
              <w:lang w:val="es-MX"/>
            </w:rPr>
            <w:t>Clasificación de la información</w:t>
          </w:r>
        </w:p>
      </w:tc>
      <w:tc>
        <w:tcPr>
          <w:tcW w:w="1853" w:type="dxa"/>
          <w:vAlign w:val="center"/>
        </w:tcPr>
        <w:p w14:paraId="0CA34415" w14:textId="14475458" w:rsidR="00DB5A59" w:rsidRPr="00EE0283" w:rsidRDefault="00DB5A59" w:rsidP="00DB5A59">
          <w:pPr>
            <w:spacing w:after="0" w:line="240" w:lineRule="auto"/>
            <w:jc w:val="center"/>
            <w:rPr>
              <w:rFonts w:ascii="Verdana" w:hAnsi="Verdana" w:cs="Arial"/>
              <w:sz w:val="16"/>
              <w:szCs w:val="16"/>
              <w:lang w:val="es-MX"/>
            </w:rPr>
          </w:pPr>
          <w:r w:rsidRPr="00EE0283">
            <w:rPr>
              <w:rFonts w:ascii="Verdana" w:hAnsi="Verdana" w:cs="Arial"/>
              <w:sz w:val="16"/>
              <w:szCs w:val="16"/>
              <w:lang w:val="es-MX"/>
            </w:rPr>
            <w:t>Pública</w:t>
          </w:r>
        </w:p>
      </w:tc>
    </w:tr>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D18"/>
    <w:multiLevelType w:val="hybridMultilevel"/>
    <w:tmpl w:val="21D668B4"/>
    <w:lvl w:ilvl="0" w:tplc="E6AE390C">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50459E"/>
    <w:multiLevelType w:val="multilevel"/>
    <w:tmpl w:val="6A86FEC2"/>
    <w:lvl w:ilvl="0">
      <w:start w:val="1"/>
      <w:numFmt w:val="decimal"/>
      <w:pStyle w:val="Ttulo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191905E4"/>
    <w:multiLevelType w:val="multilevel"/>
    <w:tmpl w:val="E1BCA0EC"/>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C534AAD"/>
    <w:multiLevelType w:val="multilevel"/>
    <w:tmpl w:val="E1BCA0EC"/>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CA51F94"/>
    <w:multiLevelType w:val="hybridMultilevel"/>
    <w:tmpl w:val="A1C0E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AD2C4F"/>
    <w:multiLevelType w:val="hybridMultilevel"/>
    <w:tmpl w:val="411411B8"/>
    <w:lvl w:ilvl="0" w:tplc="E6AE390C">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220C6"/>
    <w:multiLevelType w:val="hybridMultilevel"/>
    <w:tmpl w:val="F3D4C0B4"/>
    <w:lvl w:ilvl="0" w:tplc="E6AE390C">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31568D"/>
    <w:multiLevelType w:val="multilevel"/>
    <w:tmpl w:val="2952AEDC"/>
    <w:lvl w:ilvl="0">
      <w:start w:val="5"/>
      <w:numFmt w:val="bullet"/>
      <w:lvlText w:val="-"/>
      <w:lvlJc w:val="left"/>
      <w:pPr>
        <w:ind w:left="405" w:hanging="405"/>
      </w:pPr>
      <w:rPr>
        <w:rFonts w:ascii="Verdana" w:eastAsiaTheme="minorHAnsi" w:hAnsi="Verdana" w:cs="Aria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DBD59E4"/>
    <w:multiLevelType w:val="multilevel"/>
    <w:tmpl w:val="E1BCA0EC"/>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EF284C"/>
    <w:multiLevelType w:val="hybridMultilevel"/>
    <w:tmpl w:val="59824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FB62FE"/>
    <w:multiLevelType w:val="hybridMultilevel"/>
    <w:tmpl w:val="1CE840A2"/>
    <w:lvl w:ilvl="0" w:tplc="E6AE390C">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2B5422"/>
    <w:multiLevelType w:val="multilevel"/>
    <w:tmpl w:val="BB6499F0"/>
    <w:lvl w:ilvl="0">
      <w:start w:val="5"/>
      <w:numFmt w:val="decimal"/>
      <w:lvlText w:val="%1"/>
      <w:lvlJc w:val="left"/>
      <w:pPr>
        <w:ind w:left="645" w:hanging="64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13"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4C76D0"/>
    <w:multiLevelType w:val="multilevel"/>
    <w:tmpl w:val="DB142CE4"/>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B6139B8"/>
    <w:multiLevelType w:val="hybridMultilevel"/>
    <w:tmpl w:val="20746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4C634B"/>
    <w:multiLevelType w:val="hybridMultilevel"/>
    <w:tmpl w:val="DF86C876"/>
    <w:lvl w:ilvl="0" w:tplc="2222EAB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F2D6801"/>
    <w:multiLevelType w:val="hybridMultilevel"/>
    <w:tmpl w:val="4A8E9CA0"/>
    <w:lvl w:ilvl="0" w:tplc="2222EAB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8547C9"/>
    <w:multiLevelType w:val="hybridMultilevel"/>
    <w:tmpl w:val="A5A4F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F679AD"/>
    <w:multiLevelType w:val="multilevel"/>
    <w:tmpl w:val="87C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26664">
    <w:abstractNumId w:val="1"/>
  </w:num>
  <w:num w:numId="2" w16cid:durableId="836263334">
    <w:abstractNumId w:val="9"/>
  </w:num>
  <w:num w:numId="3" w16cid:durableId="953943106">
    <w:abstractNumId w:val="13"/>
  </w:num>
  <w:num w:numId="4" w16cid:durableId="189926472">
    <w:abstractNumId w:val="4"/>
  </w:num>
  <w:num w:numId="5" w16cid:durableId="256014374">
    <w:abstractNumId w:val="17"/>
  </w:num>
  <w:num w:numId="6" w16cid:durableId="1438672820">
    <w:abstractNumId w:val="16"/>
  </w:num>
  <w:num w:numId="7" w16cid:durableId="1101992765">
    <w:abstractNumId w:val="6"/>
  </w:num>
  <w:num w:numId="8" w16cid:durableId="199123628">
    <w:abstractNumId w:val="18"/>
  </w:num>
  <w:num w:numId="9" w16cid:durableId="1698195148">
    <w:abstractNumId w:val="12"/>
  </w:num>
  <w:num w:numId="10" w16cid:durableId="1059132879">
    <w:abstractNumId w:val="2"/>
  </w:num>
  <w:num w:numId="11" w16cid:durableId="1541895992">
    <w:abstractNumId w:val="15"/>
  </w:num>
  <w:num w:numId="12" w16cid:durableId="2135168823">
    <w:abstractNumId w:val="3"/>
  </w:num>
  <w:num w:numId="13" w16cid:durableId="1831673413">
    <w:abstractNumId w:val="1"/>
  </w:num>
  <w:num w:numId="14" w16cid:durableId="1372533883">
    <w:abstractNumId w:val="1"/>
  </w:num>
  <w:num w:numId="15" w16cid:durableId="1505123711">
    <w:abstractNumId w:val="1"/>
  </w:num>
  <w:num w:numId="16" w16cid:durableId="350567909">
    <w:abstractNumId w:val="1"/>
  </w:num>
  <w:num w:numId="17" w16cid:durableId="2095124125">
    <w:abstractNumId w:val="1"/>
  </w:num>
  <w:num w:numId="18" w16cid:durableId="1467317119">
    <w:abstractNumId w:val="1"/>
  </w:num>
  <w:num w:numId="19" w16cid:durableId="1591891473">
    <w:abstractNumId w:val="1"/>
  </w:num>
  <w:num w:numId="20" w16cid:durableId="1331443167">
    <w:abstractNumId w:val="13"/>
  </w:num>
  <w:num w:numId="21" w16cid:durableId="1281064050">
    <w:abstractNumId w:val="13"/>
  </w:num>
  <w:num w:numId="22" w16cid:durableId="297225801">
    <w:abstractNumId w:val="13"/>
  </w:num>
  <w:num w:numId="23" w16cid:durableId="975524736">
    <w:abstractNumId w:val="13"/>
  </w:num>
  <w:num w:numId="24" w16cid:durableId="179052105">
    <w:abstractNumId w:val="13"/>
  </w:num>
  <w:num w:numId="25" w16cid:durableId="481774493">
    <w:abstractNumId w:val="8"/>
  </w:num>
  <w:num w:numId="26" w16cid:durableId="1903521777">
    <w:abstractNumId w:val="7"/>
  </w:num>
  <w:num w:numId="27" w16cid:durableId="1211264453">
    <w:abstractNumId w:val="11"/>
  </w:num>
  <w:num w:numId="28" w16cid:durableId="932468573">
    <w:abstractNumId w:val="5"/>
  </w:num>
  <w:num w:numId="29" w16cid:durableId="364722955">
    <w:abstractNumId w:val="0"/>
  </w:num>
  <w:num w:numId="30" w16cid:durableId="1312127868">
    <w:abstractNumId w:val="19"/>
  </w:num>
  <w:num w:numId="31" w16cid:durableId="1090348093">
    <w:abstractNumId w:val="14"/>
  </w:num>
  <w:num w:numId="32" w16cid:durableId="491872618">
    <w:abstractNumId w:val="10"/>
  </w:num>
  <w:num w:numId="33" w16cid:durableId="531845668">
    <w:abstractNumId w:val="13"/>
  </w:num>
  <w:num w:numId="34" w16cid:durableId="674378563">
    <w:abstractNumId w:val="1"/>
  </w:num>
  <w:num w:numId="35" w16cid:durableId="834955025">
    <w:abstractNumId w:val="13"/>
  </w:num>
  <w:num w:numId="36" w16cid:durableId="52344546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22FB"/>
    <w:rsid w:val="000052E2"/>
    <w:rsid w:val="00005ABE"/>
    <w:rsid w:val="00006704"/>
    <w:rsid w:val="0001107F"/>
    <w:rsid w:val="00015523"/>
    <w:rsid w:val="0002244C"/>
    <w:rsid w:val="000246F6"/>
    <w:rsid w:val="00027852"/>
    <w:rsid w:val="000344AC"/>
    <w:rsid w:val="000379C6"/>
    <w:rsid w:val="00037C8A"/>
    <w:rsid w:val="0004164D"/>
    <w:rsid w:val="000455BA"/>
    <w:rsid w:val="00053763"/>
    <w:rsid w:val="000555C1"/>
    <w:rsid w:val="00056480"/>
    <w:rsid w:val="00061720"/>
    <w:rsid w:val="00063586"/>
    <w:rsid w:val="000648C1"/>
    <w:rsid w:val="000712A4"/>
    <w:rsid w:val="000752A0"/>
    <w:rsid w:val="00075C05"/>
    <w:rsid w:val="00081BF9"/>
    <w:rsid w:val="0008271D"/>
    <w:rsid w:val="00085335"/>
    <w:rsid w:val="00095DBD"/>
    <w:rsid w:val="00096F7B"/>
    <w:rsid w:val="000A356A"/>
    <w:rsid w:val="000A48B0"/>
    <w:rsid w:val="000A48EF"/>
    <w:rsid w:val="000A6E7E"/>
    <w:rsid w:val="000B1ABB"/>
    <w:rsid w:val="000B559D"/>
    <w:rsid w:val="000C1BE4"/>
    <w:rsid w:val="000C4A2A"/>
    <w:rsid w:val="000C6685"/>
    <w:rsid w:val="000C7582"/>
    <w:rsid w:val="000D254B"/>
    <w:rsid w:val="000F24E1"/>
    <w:rsid w:val="000F3CC4"/>
    <w:rsid w:val="000F4958"/>
    <w:rsid w:val="000F6252"/>
    <w:rsid w:val="000F753D"/>
    <w:rsid w:val="0010197E"/>
    <w:rsid w:val="00102631"/>
    <w:rsid w:val="0010452B"/>
    <w:rsid w:val="001057E3"/>
    <w:rsid w:val="0010612A"/>
    <w:rsid w:val="00107107"/>
    <w:rsid w:val="001073CF"/>
    <w:rsid w:val="001106DB"/>
    <w:rsid w:val="00115402"/>
    <w:rsid w:val="00116CDE"/>
    <w:rsid w:val="00120CD4"/>
    <w:rsid w:val="001219E7"/>
    <w:rsid w:val="0012626C"/>
    <w:rsid w:val="00126AF3"/>
    <w:rsid w:val="001279C0"/>
    <w:rsid w:val="001307A1"/>
    <w:rsid w:val="001356C4"/>
    <w:rsid w:val="001370DE"/>
    <w:rsid w:val="001479BD"/>
    <w:rsid w:val="00150A56"/>
    <w:rsid w:val="0015315B"/>
    <w:rsid w:val="00157381"/>
    <w:rsid w:val="00166E14"/>
    <w:rsid w:val="001677C9"/>
    <w:rsid w:val="001732A1"/>
    <w:rsid w:val="00174DED"/>
    <w:rsid w:val="00181443"/>
    <w:rsid w:val="00181F17"/>
    <w:rsid w:val="00182F99"/>
    <w:rsid w:val="00183081"/>
    <w:rsid w:val="00186A70"/>
    <w:rsid w:val="00191B29"/>
    <w:rsid w:val="00194626"/>
    <w:rsid w:val="001A0F0A"/>
    <w:rsid w:val="001A7CD3"/>
    <w:rsid w:val="001B5335"/>
    <w:rsid w:val="001C02F3"/>
    <w:rsid w:val="001C1743"/>
    <w:rsid w:val="001C1DDC"/>
    <w:rsid w:val="001C293C"/>
    <w:rsid w:val="001C31B0"/>
    <w:rsid w:val="001C4B1F"/>
    <w:rsid w:val="001C5976"/>
    <w:rsid w:val="001D09D6"/>
    <w:rsid w:val="001D29D0"/>
    <w:rsid w:val="001D2F6E"/>
    <w:rsid w:val="001D33BC"/>
    <w:rsid w:val="001D3856"/>
    <w:rsid w:val="001D6A8A"/>
    <w:rsid w:val="001D7FE5"/>
    <w:rsid w:val="001E0A2D"/>
    <w:rsid w:val="001E3886"/>
    <w:rsid w:val="001E3EE9"/>
    <w:rsid w:val="001E4C78"/>
    <w:rsid w:val="001E76A9"/>
    <w:rsid w:val="001F1B07"/>
    <w:rsid w:val="001F2B2F"/>
    <w:rsid w:val="001F5ABF"/>
    <w:rsid w:val="001F72B4"/>
    <w:rsid w:val="0020017C"/>
    <w:rsid w:val="002030A6"/>
    <w:rsid w:val="00206B1D"/>
    <w:rsid w:val="002132A6"/>
    <w:rsid w:val="00215692"/>
    <w:rsid w:val="002164C9"/>
    <w:rsid w:val="002201BB"/>
    <w:rsid w:val="0022271A"/>
    <w:rsid w:val="002230DC"/>
    <w:rsid w:val="0022318C"/>
    <w:rsid w:val="00223F7C"/>
    <w:rsid w:val="00233FD7"/>
    <w:rsid w:val="00234808"/>
    <w:rsid w:val="00235EEB"/>
    <w:rsid w:val="00237184"/>
    <w:rsid w:val="00237A49"/>
    <w:rsid w:val="00240673"/>
    <w:rsid w:val="00244993"/>
    <w:rsid w:val="002457A0"/>
    <w:rsid w:val="0024676B"/>
    <w:rsid w:val="00250EAC"/>
    <w:rsid w:val="00251051"/>
    <w:rsid w:val="00256B50"/>
    <w:rsid w:val="00257EFF"/>
    <w:rsid w:val="0026059C"/>
    <w:rsid w:val="00267B27"/>
    <w:rsid w:val="00277218"/>
    <w:rsid w:val="00280FAC"/>
    <w:rsid w:val="0028664D"/>
    <w:rsid w:val="002923BA"/>
    <w:rsid w:val="00293214"/>
    <w:rsid w:val="00293D56"/>
    <w:rsid w:val="00294673"/>
    <w:rsid w:val="00296783"/>
    <w:rsid w:val="00297EC5"/>
    <w:rsid w:val="002B1F60"/>
    <w:rsid w:val="002B55B7"/>
    <w:rsid w:val="002D154C"/>
    <w:rsid w:val="002D42BB"/>
    <w:rsid w:val="002D6ECB"/>
    <w:rsid w:val="002D7DB6"/>
    <w:rsid w:val="002E0B2E"/>
    <w:rsid w:val="002E1762"/>
    <w:rsid w:val="002E3CF2"/>
    <w:rsid w:val="002E674D"/>
    <w:rsid w:val="002F1984"/>
    <w:rsid w:val="002F4BC5"/>
    <w:rsid w:val="00300896"/>
    <w:rsid w:val="00302B09"/>
    <w:rsid w:val="003031E4"/>
    <w:rsid w:val="0030544B"/>
    <w:rsid w:val="00307033"/>
    <w:rsid w:val="003075FB"/>
    <w:rsid w:val="00317769"/>
    <w:rsid w:val="00317B74"/>
    <w:rsid w:val="00320018"/>
    <w:rsid w:val="00322ACF"/>
    <w:rsid w:val="00323CBE"/>
    <w:rsid w:val="00325494"/>
    <w:rsid w:val="003260ED"/>
    <w:rsid w:val="0033012C"/>
    <w:rsid w:val="003314BE"/>
    <w:rsid w:val="00331805"/>
    <w:rsid w:val="0033319B"/>
    <w:rsid w:val="003332A5"/>
    <w:rsid w:val="0033666F"/>
    <w:rsid w:val="00350544"/>
    <w:rsid w:val="00353DA4"/>
    <w:rsid w:val="00354DBE"/>
    <w:rsid w:val="00356E78"/>
    <w:rsid w:val="00356F3D"/>
    <w:rsid w:val="00357853"/>
    <w:rsid w:val="003578F8"/>
    <w:rsid w:val="0036296F"/>
    <w:rsid w:val="00363D10"/>
    <w:rsid w:val="00365A08"/>
    <w:rsid w:val="00371C40"/>
    <w:rsid w:val="003756D3"/>
    <w:rsid w:val="00375981"/>
    <w:rsid w:val="003766A0"/>
    <w:rsid w:val="00383873"/>
    <w:rsid w:val="00383E44"/>
    <w:rsid w:val="00385E4A"/>
    <w:rsid w:val="003B238A"/>
    <w:rsid w:val="003C080B"/>
    <w:rsid w:val="003C1A14"/>
    <w:rsid w:val="003C323B"/>
    <w:rsid w:val="003C3947"/>
    <w:rsid w:val="003C4FCA"/>
    <w:rsid w:val="003C5E42"/>
    <w:rsid w:val="003D53D9"/>
    <w:rsid w:val="003D7DE9"/>
    <w:rsid w:val="003E0168"/>
    <w:rsid w:val="003E3152"/>
    <w:rsid w:val="003E5816"/>
    <w:rsid w:val="003E6ABA"/>
    <w:rsid w:val="003E6EB5"/>
    <w:rsid w:val="003F57A5"/>
    <w:rsid w:val="003F7863"/>
    <w:rsid w:val="00400467"/>
    <w:rsid w:val="00412BA2"/>
    <w:rsid w:val="00413F46"/>
    <w:rsid w:val="00420DCD"/>
    <w:rsid w:val="00422A8E"/>
    <w:rsid w:val="004237FB"/>
    <w:rsid w:val="00423902"/>
    <w:rsid w:val="0042409C"/>
    <w:rsid w:val="00426F8E"/>
    <w:rsid w:val="004271E4"/>
    <w:rsid w:val="00435924"/>
    <w:rsid w:val="00435BED"/>
    <w:rsid w:val="0043701F"/>
    <w:rsid w:val="00440554"/>
    <w:rsid w:val="00446AE4"/>
    <w:rsid w:val="004512A1"/>
    <w:rsid w:val="00463795"/>
    <w:rsid w:val="00463F25"/>
    <w:rsid w:val="00467684"/>
    <w:rsid w:val="00473F9C"/>
    <w:rsid w:val="004759DE"/>
    <w:rsid w:val="00481E6F"/>
    <w:rsid w:val="00482075"/>
    <w:rsid w:val="004828BF"/>
    <w:rsid w:val="00486540"/>
    <w:rsid w:val="00486B2E"/>
    <w:rsid w:val="00490913"/>
    <w:rsid w:val="0049523D"/>
    <w:rsid w:val="004A0000"/>
    <w:rsid w:val="004A3589"/>
    <w:rsid w:val="004A41F1"/>
    <w:rsid w:val="004A58BE"/>
    <w:rsid w:val="004B4FA7"/>
    <w:rsid w:val="004B798B"/>
    <w:rsid w:val="004C0F3A"/>
    <w:rsid w:val="004D1948"/>
    <w:rsid w:val="004D1956"/>
    <w:rsid w:val="004D5188"/>
    <w:rsid w:val="004D696C"/>
    <w:rsid w:val="004D7EEE"/>
    <w:rsid w:val="004F0324"/>
    <w:rsid w:val="004F2CA0"/>
    <w:rsid w:val="004F4EED"/>
    <w:rsid w:val="004F645D"/>
    <w:rsid w:val="00501AB1"/>
    <w:rsid w:val="00504BFE"/>
    <w:rsid w:val="00505CBB"/>
    <w:rsid w:val="00507454"/>
    <w:rsid w:val="005131C0"/>
    <w:rsid w:val="0051377F"/>
    <w:rsid w:val="00513D82"/>
    <w:rsid w:val="00523138"/>
    <w:rsid w:val="005231A7"/>
    <w:rsid w:val="005259CF"/>
    <w:rsid w:val="00526F06"/>
    <w:rsid w:val="00532647"/>
    <w:rsid w:val="00541001"/>
    <w:rsid w:val="00541273"/>
    <w:rsid w:val="00546551"/>
    <w:rsid w:val="005510F4"/>
    <w:rsid w:val="00551F82"/>
    <w:rsid w:val="00554A6F"/>
    <w:rsid w:val="00557410"/>
    <w:rsid w:val="00560E08"/>
    <w:rsid w:val="005614BC"/>
    <w:rsid w:val="00565478"/>
    <w:rsid w:val="00565598"/>
    <w:rsid w:val="00582B91"/>
    <w:rsid w:val="00583DC1"/>
    <w:rsid w:val="00586FBC"/>
    <w:rsid w:val="00591AA6"/>
    <w:rsid w:val="0059314F"/>
    <w:rsid w:val="00594D84"/>
    <w:rsid w:val="00596162"/>
    <w:rsid w:val="005A1DA4"/>
    <w:rsid w:val="005B788C"/>
    <w:rsid w:val="005B7A75"/>
    <w:rsid w:val="005C36B8"/>
    <w:rsid w:val="005D26EA"/>
    <w:rsid w:val="005D2DEA"/>
    <w:rsid w:val="005D3263"/>
    <w:rsid w:val="005D768A"/>
    <w:rsid w:val="005E14D8"/>
    <w:rsid w:val="005E3266"/>
    <w:rsid w:val="005F1EED"/>
    <w:rsid w:val="005F3FDF"/>
    <w:rsid w:val="005F5F5F"/>
    <w:rsid w:val="005F69C3"/>
    <w:rsid w:val="006005C1"/>
    <w:rsid w:val="00600721"/>
    <w:rsid w:val="006007C2"/>
    <w:rsid w:val="00603E26"/>
    <w:rsid w:val="0060585A"/>
    <w:rsid w:val="00605D37"/>
    <w:rsid w:val="00607795"/>
    <w:rsid w:val="00622E4C"/>
    <w:rsid w:val="0062362F"/>
    <w:rsid w:val="00625A16"/>
    <w:rsid w:val="006351FA"/>
    <w:rsid w:val="00640A8A"/>
    <w:rsid w:val="00641172"/>
    <w:rsid w:val="0064414F"/>
    <w:rsid w:val="0065112A"/>
    <w:rsid w:val="006539D5"/>
    <w:rsid w:val="006601B1"/>
    <w:rsid w:val="006740A3"/>
    <w:rsid w:val="00675292"/>
    <w:rsid w:val="006757F2"/>
    <w:rsid w:val="006822BD"/>
    <w:rsid w:val="00685B6C"/>
    <w:rsid w:val="006860D7"/>
    <w:rsid w:val="00687064"/>
    <w:rsid w:val="00695AAF"/>
    <w:rsid w:val="006A3546"/>
    <w:rsid w:val="006B0FB9"/>
    <w:rsid w:val="006B6214"/>
    <w:rsid w:val="006B6BD2"/>
    <w:rsid w:val="006D0D3F"/>
    <w:rsid w:val="006D50B0"/>
    <w:rsid w:val="006D5207"/>
    <w:rsid w:val="006D75EB"/>
    <w:rsid w:val="006F1192"/>
    <w:rsid w:val="006F223F"/>
    <w:rsid w:val="006F4477"/>
    <w:rsid w:val="006F6B09"/>
    <w:rsid w:val="006F72B2"/>
    <w:rsid w:val="007062CC"/>
    <w:rsid w:val="007126C2"/>
    <w:rsid w:val="007164AE"/>
    <w:rsid w:val="00717437"/>
    <w:rsid w:val="007208EB"/>
    <w:rsid w:val="00722761"/>
    <w:rsid w:val="00723266"/>
    <w:rsid w:val="0072793D"/>
    <w:rsid w:val="00731A9E"/>
    <w:rsid w:val="00732C85"/>
    <w:rsid w:val="007338BF"/>
    <w:rsid w:val="0074004F"/>
    <w:rsid w:val="00745264"/>
    <w:rsid w:val="0074529F"/>
    <w:rsid w:val="00756F7E"/>
    <w:rsid w:val="007605FE"/>
    <w:rsid w:val="00761A44"/>
    <w:rsid w:val="00764EE7"/>
    <w:rsid w:val="00766BE5"/>
    <w:rsid w:val="007705F2"/>
    <w:rsid w:val="007721C2"/>
    <w:rsid w:val="00772655"/>
    <w:rsid w:val="007726BF"/>
    <w:rsid w:val="0078235D"/>
    <w:rsid w:val="00787C78"/>
    <w:rsid w:val="00790F4B"/>
    <w:rsid w:val="00791BE6"/>
    <w:rsid w:val="00791D10"/>
    <w:rsid w:val="00795D5E"/>
    <w:rsid w:val="0079643B"/>
    <w:rsid w:val="007978D7"/>
    <w:rsid w:val="007A04BA"/>
    <w:rsid w:val="007A2D9E"/>
    <w:rsid w:val="007A5284"/>
    <w:rsid w:val="007A7E8E"/>
    <w:rsid w:val="007B1ACB"/>
    <w:rsid w:val="007C4CD7"/>
    <w:rsid w:val="007C5234"/>
    <w:rsid w:val="007C6489"/>
    <w:rsid w:val="007D420D"/>
    <w:rsid w:val="007D642D"/>
    <w:rsid w:val="007D689B"/>
    <w:rsid w:val="007E09BC"/>
    <w:rsid w:val="007E54DC"/>
    <w:rsid w:val="007F0F2B"/>
    <w:rsid w:val="007F2485"/>
    <w:rsid w:val="007F2873"/>
    <w:rsid w:val="007F4638"/>
    <w:rsid w:val="008014EB"/>
    <w:rsid w:val="00804A58"/>
    <w:rsid w:val="00814369"/>
    <w:rsid w:val="00817721"/>
    <w:rsid w:val="00817BCB"/>
    <w:rsid w:val="008217B9"/>
    <w:rsid w:val="008226D0"/>
    <w:rsid w:val="008253B1"/>
    <w:rsid w:val="00826FB5"/>
    <w:rsid w:val="008300BF"/>
    <w:rsid w:val="008338EA"/>
    <w:rsid w:val="00834A5C"/>
    <w:rsid w:val="00842343"/>
    <w:rsid w:val="00845302"/>
    <w:rsid w:val="00845509"/>
    <w:rsid w:val="00847EF3"/>
    <w:rsid w:val="00850DAB"/>
    <w:rsid w:val="008512E9"/>
    <w:rsid w:val="00851620"/>
    <w:rsid w:val="008518F2"/>
    <w:rsid w:val="0085387D"/>
    <w:rsid w:val="00854260"/>
    <w:rsid w:val="00855E6F"/>
    <w:rsid w:val="0086041C"/>
    <w:rsid w:val="00860EA2"/>
    <w:rsid w:val="00863459"/>
    <w:rsid w:val="00866B55"/>
    <w:rsid w:val="00873BC7"/>
    <w:rsid w:val="008742F4"/>
    <w:rsid w:val="00875F29"/>
    <w:rsid w:val="0087692F"/>
    <w:rsid w:val="00877811"/>
    <w:rsid w:val="0088012B"/>
    <w:rsid w:val="00881B27"/>
    <w:rsid w:val="008824FD"/>
    <w:rsid w:val="00884E8F"/>
    <w:rsid w:val="00885655"/>
    <w:rsid w:val="008928EE"/>
    <w:rsid w:val="008948CD"/>
    <w:rsid w:val="0089634D"/>
    <w:rsid w:val="0089646C"/>
    <w:rsid w:val="00896BA3"/>
    <w:rsid w:val="008A0E6E"/>
    <w:rsid w:val="008A258E"/>
    <w:rsid w:val="008A4766"/>
    <w:rsid w:val="008A5793"/>
    <w:rsid w:val="008B05E5"/>
    <w:rsid w:val="008B2ECE"/>
    <w:rsid w:val="008B4C62"/>
    <w:rsid w:val="008D1920"/>
    <w:rsid w:val="008D58E4"/>
    <w:rsid w:val="008D5E4A"/>
    <w:rsid w:val="008D7B3B"/>
    <w:rsid w:val="008E11E8"/>
    <w:rsid w:val="008E65C4"/>
    <w:rsid w:val="008F6A0B"/>
    <w:rsid w:val="00901E4D"/>
    <w:rsid w:val="00903AFB"/>
    <w:rsid w:val="00903D49"/>
    <w:rsid w:val="00907022"/>
    <w:rsid w:val="009071F4"/>
    <w:rsid w:val="00910CB6"/>
    <w:rsid w:val="00912869"/>
    <w:rsid w:val="00915B1A"/>
    <w:rsid w:val="0092091B"/>
    <w:rsid w:val="00925C06"/>
    <w:rsid w:val="0092668A"/>
    <w:rsid w:val="0092762E"/>
    <w:rsid w:val="00932F5F"/>
    <w:rsid w:val="00941757"/>
    <w:rsid w:val="00942E21"/>
    <w:rsid w:val="00944D0C"/>
    <w:rsid w:val="00946B38"/>
    <w:rsid w:val="0095177B"/>
    <w:rsid w:val="00953E03"/>
    <w:rsid w:val="00954C59"/>
    <w:rsid w:val="0096003F"/>
    <w:rsid w:val="009606AA"/>
    <w:rsid w:val="00963A3D"/>
    <w:rsid w:val="00972016"/>
    <w:rsid w:val="00972230"/>
    <w:rsid w:val="00972674"/>
    <w:rsid w:val="0097285D"/>
    <w:rsid w:val="009732C8"/>
    <w:rsid w:val="00974ADB"/>
    <w:rsid w:val="00975058"/>
    <w:rsid w:val="009800C2"/>
    <w:rsid w:val="00981856"/>
    <w:rsid w:val="0098699E"/>
    <w:rsid w:val="00987C97"/>
    <w:rsid w:val="009A0F1A"/>
    <w:rsid w:val="009A12B5"/>
    <w:rsid w:val="009A447B"/>
    <w:rsid w:val="009B1755"/>
    <w:rsid w:val="009B34D6"/>
    <w:rsid w:val="009B68AA"/>
    <w:rsid w:val="009C1663"/>
    <w:rsid w:val="009C1C18"/>
    <w:rsid w:val="009C54DF"/>
    <w:rsid w:val="009D01AD"/>
    <w:rsid w:val="009D2131"/>
    <w:rsid w:val="009D2A6E"/>
    <w:rsid w:val="009D39D6"/>
    <w:rsid w:val="009D4994"/>
    <w:rsid w:val="009D7A60"/>
    <w:rsid w:val="009E044D"/>
    <w:rsid w:val="009E11B9"/>
    <w:rsid w:val="009E7D9B"/>
    <w:rsid w:val="009F1BD3"/>
    <w:rsid w:val="009F4A7F"/>
    <w:rsid w:val="00A1443D"/>
    <w:rsid w:val="00A157F7"/>
    <w:rsid w:val="00A16241"/>
    <w:rsid w:val="00A1774B"/>
    <w:rsid w:val="00A17DE4"/>
    <w:rsid w:val="00A17EC1"/>
    <w:rsid w:val="00A21D90"/>
    <w:rsid w:val="00A2253F"/>
    <w:rsid w:val="00A22C40"/>
    <w:rsid w:val="00A24539"/>
    <w:rsid w:val="00A27930"/>
    <w:rsid w:val="00A27FA8"/>
    <w:rsid w:val="00A32396"/>
    <w:rsid w:val="00A344EB"/>
    <w:rsid w:val="00A374BA"/>
    <w:rsid w:val="00A42098"/>
    <w:rsid w:val="00A44B97"/>
    <w:rsid w:val="00A454F2"/>
    <w:rsid w:val="00A50AA0"/>
    <w:rsid w:val="00A5226A"/>
    <w:rsid w:val="00A5272C"/>
    <w:rsid w:val="00A52D65"/>
    <w:rsid w:val="00A5448D"/>
    <w:rsid w:val="00A62849"/>
    <w:rsid w:val="00A64309"/>
    <w:rsid w:val="00A711E6"/>
    <w:rsid w:val="00A829EA"/>
    <w:rsid w:val="00A83F5D"/>
    <w:rsid w:val="00A879C7"/>
    <w:rsid w:val="00A94930"/>
    <w:rsid w:val="00AA0753"/>
    <w:rsid w:val="00AA178A"/>
    <w:rsid w:val="00AA253E"/>
    <w:rsid w:val="00AA63FD"/>
    <w:rsid w:val="00AB07E8"/>
    <w:rsid w:val="00AC219B"/>
    <w:rsid w:val="00AC2F92"/>
    <w:rsid w:val="00AC4867"/>
    <w:rsid w:val="00AD26DE"/>
    <w:rsid w:val="00AD4774"/>
    <w:rsid w:val="00AD4EE6"/>
    <w:rsid w:val="00AD5340"/>
    <w:rsid w:val="00AD76DA"/>
    <w:rsid w:val="00AE62C9"/>
    <w:rsid w:val="00AF120F"/>
    <w:rsid w:val="00AF62DB"/>
    <w:rsid w:val="00B00E2F"/>
    <w:rsid w:val="00B01B9F"/>
    <w:rsid w:val="00B0327F"/>
    <w:rsid w:val="00B054C2"/>
    <w:rsid w:val="00B0768A"/>
    <w:rsid w:val="00B14C20"/>
    <w:rsid w:val="00B16105"/>
    <w:rsid w:val="00B22849"/>
    <w:rsid w:val="00B229E3"/>
    <w:rsid w:val="00B23186"/>
    <w:rsid w:val="00B2612F"/>
    <w:rsid w:val="00B31070"/>
    <w:rsid w:val="00B4226C"/>
    <w:rsid w:val="00B435E5"/>
    <w:rsid w:val="00B45CDC"/>
    <w:rsid w:val="00B47BC3"/>
    <w:rsid w:val="00B5050A"/>
    <w:rsid w:val="00B53F6F"/>
    <w:rsid w:val="00B554B1"/>
    <w:rsid w:val="00B62470"/>
    <w:rsid w:val="00B66110"/>
    <w:rsid w:val="00B6671B"/>
    <w:rsid w:val="00B67F0C"/>
    <w:rsid w:val="00B709CA"/>
    <w:rsid w:val="00B735E9"/>
    <w:rsid w:val="00B73AC8"/>
    <w:rsid w:val="00B741ED"/>
    <w:rsid w:val="00B7483C"/>
    <w:rsid w:val="00B8578A"/>
    <w:rsid w:val="00B94CD2"/>
    <w:rsid w:val="00B9502E"/>
    <w:rsid w:val="00B968D4"/>
    <w:rsid w:val="00BA2330"/>
    <w:rsid w:val="00BB0849"/>
    <w:rsid w:val="00BB1171"/>
    <w:rsid w:val="00BB17B1"/>
    <w:rsid w:val="00BC58C4"/>
    <w:rsid w:val="00BC58C5"/>
    <w:rsid w:val="00BC6F59"/>
    <w:rsid w:val="00BD40F1"/>
    <w:rsid w:val="00BD6C62"/>
    <w:rsid w:val="00BE0D50"/>
    <w:rsid w:val="00BE1631"/>
    <w:rsid w:val="00BE2190"/>
    <w:rsid w:val="00BE3200"/>
    <w:rsid w:val="00BF0EC3"/>
    <w:rsid w:val="00BF19AF"/>
    <w:rsid w:val="00BF2657"/>
    <w:rsid w:val="00BF75A6"/>
    <w:rsid w:val="00BF7B61"/>
    <w:rsid w:val="00C02F2B"/>
    <w:rsid w:val="00C03EDD"/>
    <w:rsid w:val="00C05C30"/>
    <w:rsid w:val="00C06324"/>
    <w:rsid w:val="00C10EE3"/>
    <w:rsid w:val="00C254DC"/>
    <w:rsid w:val="00C25DC6"/>
    <w:rsid w:val="00C266B1"/>
    <w:rsid w:val="00C2707D"/>
    <w:rsid w:val="00C30461"/>
    <w:rsid w:val="00C31475"/>
    <w:rsid w:val="00C32202"/>
    <w:rsid w:val="00C33A5A"/>
    <w:rsid w:val="00C3475E"/>
    <w:rsid w:val="00C406DF"/>
    <w:rsid w:val="00C40A0D"/>
    <w:rsid w:val="00C41793"/>
    <w:rsid w:val="00C46BD0"/>
    <w:rsid w:val="00C55F2B"/>
    <w:rsid w:val="00C6060D"/>
    <w:rsid w:val="00C61240"/>
    <w:rsid w:val="00C765E8"/>
    <w:rsid w:val="00C779C6"/>
    <w:rsid w:val="00C83CC9"/>
    <w:rsid w:val="00C83EC0"/>
    <w:rsid w:val="00C85D61"/>
    <w:rsid w:val="00C94B9B"/>
    <w:rsid w:val="00C96A65"/>
    <w:rsid w:val="00C96C3D"/>
    <w:rsid w:val="00C975CF"/>
    <w:rsid w:val="00CA1AC5"/>
    <w:rsid w:val="00CB363A"/>
    <w:rsid w:val="00CB464A"/>
    <w:rsid w:val="00CB4AB1"/>
    <w:rsid w:val="00CB5511"/>
    <w:rsid w:val="00CB64DB"/>
    <w:rsid w:val="00CB69CA"/>
    <w:rsid w:val="00CC223F"/>
    <w:rsid w:val="00CC2A28"/>
    <w:rsid w:val="00CC2DE6"/>
    <w:rsid w:val="00CD035A"/>
    <w:rsid w:val="00CD13D1"/>
    <w:rsid w:val="00CD1F0F"/>
    <w:rsid w:val="00CD4B1A"/>
    <w:rsid w:val="00CD5A8B"/>
    <w:rsid w:val="00CD63C9"/>
    <w:rsid w:val="00CE0F25"/>
    <w:rsid w:val="00CE37BE"/>
    <w:rsid w:val="00CE4260"/>
    <w:rsid w:val="00CF1B63"/>
    <w:rsid w:val="00D01457"/>
    <w:rsid w:val="00D016AA"/>
    <w:rsid w:val="00D03AA1"/>
    <w:rsid w:val="00D04544"/>
    <w:rsid w:val="00D04B1C"/>
    <w:rsid w:val="00D04BA7"/>
    <w:rsid w:val="00D05B22"/>
    <w:rsid w:val="00D069DC"/>
    <w:rsid w:val="00D07683"/>
    <w:rsid w:val="00D13323"/>
    <w:rsid w:val="00D15BEC"/>
    <w:rsid w:val="00D22F4D"/>
    <w:rsid w:val="00D23818"/>
    <w:rsid w:val="00D24110"/>
    <w:rsid w:val="00D248CA"/>
    <w:rsid w:val="00D2675D"/>
    <w:rsid w:val="00D27E16"/>
    <w:rsid w:val="00D322BF"/>
    <w:rsid w:val="00D369D4"/>
    <w:rsid w:val="00D37FE0"/>
    <w:rsid w:val="00D4025F"/>
    <w:rsid w:val="00D43367"/>
    <w:rsid w:val="00D521F9"/>
    <w:rsid w:val="00D550FE"/>
    <w:rsid w:val="00D560AA"/>
    <w:rsid w:val="00D57C2D"/>
    <w:rsid w:val="00D609BD"/>
    <w:rsid w:val="00D71427"/>
    <w:rsid w:val="00D742B0"/>
    <w:rsid w:val="00D75150"/>
    <w:rsid w:val="00D763A7"/>
    <w:rsid w:val="00D77625"/>
    <w:rsid w:val="00D864A2"/>
    <w:rsid w:val="00D871F9"/>
    <w:rsid w:val="00D90628"/>
    <w:rsid w:val="00D91371"/>
    <w:rsid w:val="00D93235"/>
    <w:rsid w:val="00D940B9"/>
    <w:rsid w:val="00D943F9"/>
    <w:rsid w:val="00D94E79"/>
    <w:rsid w:val="00DA0547"/>
    <w:rsid w:val="00DA1222"/>
    <w:rsid w:val="00DB041A"/>
    <w:rsid w:val="00DB06A9"/>
    <w:rsid w:val="00DB4524"/>
    <w:rsid w:val="00DB45B9"/>
    <w:rsid w:val="00DB5A59"/>
    <w:rsid w:val="00DB78DC"/>
    <w:rsid w:val="00DF4667"/>
    <w:rsid w:val="00E020F2"/>
    <w:rsid w:val="00E03CA9"/>
    <w:rsid w:val="00E05C00"/>
    <w:rsid w:val="00E077AA"/>
    <w:rsid w:val="00E14EDA"/>
    <w:rsid w:val="00E15010"/>
    <w:rsid w:val="00E167E7"/>
    <w:rsid w:val="00E2500C"/>
    <w:rsid w:val="00E308C8"/>
    <w:rsid w:val="00E31CD8"/>
    <w:rsid w:val="00E3273B"/>
    <w:rsid w:val="00E37B0A"/>
    <w:rsid w:val="00E40421"/>
    <w:rsid w:val="00E414FB"/>
    <w:rsid w:val="00E44438"/>
    <w:rsid w:val="00E53C8F"/>
    <w:rsid w:val="00E55451"/>
    <w:rsid w:val="00E559FB"/>
    <w:rsid w:val="00E55DD8"/>
    <w:rsid w:val="00E60A24"/>
    <w:rsid w:val="00E7222B"/>
    <w:rsid w:val="00E80126"/>
    <w:rsid w:val="00E831AB"/>
    <w:rsid w:val="00E833B8"/>
    <w:rsid w:val="00E84C36"/>
    <w:rsid w:val="00E84F71"/>
    <w:rsid w:val="00E8600E"/>
    <w:rsid w:val="00E95722"/>
    <w:rsid w:val="00E95E2D"/>
    <w:rsid w:val="00EA1A63"/>
    <w:rsid w:val="00EB1C93"/>
    <w:rsid w:val="00EB66BC"/>
    <w:rsid w:val="00EB691D"/>
    <w:rsid w:val="00EC2A27"/>
    <w:rsid w:val="00EC3789"/>
    <w:rsid w:val="00EC7090"/>
    <w:rsid w:val="00ED228B"/>
    <w:rsid w:val="00ED629D"/>
    <w:rsid w:val="00EE0283"/>
    <w:rsid w:val="00EE3E0C"/>
    <w:rsid w:val="00EE6CE2"/>
    <w:rsid w:val="00EF0FE5"/>
    <w:rsid w:val="00EF438B"/>
    <w:rsid w:val="00EF763B"/>
    <w:rsid w:val="00F148DB"/>
    <w:rsid w:val="00F14E0A"/>
    <w:rsid w:val="00F16A4C"/>
    <w:rsid w:val="00F2343B"/>
    <w:rsid w:val="00F236D7"/>
    <w:rsid w:val="00F2531A"/>
    <w:rsid w:val="00F27B05"/>
    <w:rsid w:val="00F320F7"/>
    <w:rsid w:val="00F3409E"/>
    <w:rsid w:val="00F346EE"/>
    <w:rsid w:val="00F35874"/>
    <w:rsid w:val="00F36263"/>
    <w:rsid w:val="00F46181"/>
    <w:rsid w:val="00F50996"/>
    <w:rsid w:val="00F616DD"/>
    <w:rsid w:val="00F61B4C"/>
    <w:rsid w:val="00F62419"/>
    <w:rsid w:val="00F63B2B"/>
    <w:rsid w:val="00F70ED0"/>
    <w:rsid w:val="00F71EAD"/>
    <w:rsid w:val="00F82580"/>
    <w:rsid w:val="00F84593"/>
    <w:rsid w:val="00F907C9"/>
    <w:rsid w:val="00F938B1"/>
    <w:rsid w:val="00F9728F"/>
    <w:rsid w:val="00FA288B"/>
    <w:rsid w:val="00FA37C5"/>
    <w:rsid w:val="00FA489D"/>
    <w:rsid w:val="00FA6AC2"/>
    <w:rsid w:val="00FB22C0"/>
    <w:rsid w:val="00FB2963"/>
    <w:rsid w:val="00FB348B"/>
    <w:rsid w:val="00FB5517"/>
    <w:rsid w:val="00FC5035"/>
    <w:rsid w:val="00FE2459"/>
    <w:rsid w:val="00FE2893"/>
    <w:rsid w:val="00FE3D21"/>
    <w:rsid w:val="00FE5167"/>
    <w:rsid w:val="00FE6346"/>
    <w:rsid w:val="00FE6994"/>
    <w:rsid w:val="00FE770A"/>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07"/>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uiPriority w:val="34"/>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0F24E1"/>
    <w:pPr>
      <w:spacing w:after="100" w:line="240" w:lineRule="auto"/>
      <w:jc w:val="both"/>
    </w:pPr>
    <w:rPr>
      <w:rFonts w:ascii="Arial" w:eastAsia="Times New Roman" w:hAnsi="Arial" w:cs="Times New Roman"/>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NormalWeb">
    <w:name w:val="Normal (Web)"/>
    <w:basedOn w:val="Normal"/>
    <w:uiPriority w:val="99"/>
    <w:rsid w:val="003E0168"/>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3E0168"/>
    <w:pPr>
      <w:numPr>
        <w:ilvl w:val="1"/>
      </w:numPr>
      <w:spacing w:after="240" w:line="240" w:lineRule="auto"/>
    </w:pPr>
    <w:rPr>
      <w:rFonts w:ascii="Calibri Light" w:eastAsia="SimSun" w:hAnsi="Calibri Light" w:cs="Times New Roman"/>
      <w:color w:val="5B9BD5"/>
      <w:sz w:val="28"/>
      <w:szCs w:val="28"/>
      <w:lang w:eastAsia="es-CO"/>
    </w:rPr>
  </w:style>
  <w:style w:type="character" w:customStyle="1" w:styleId="SubttuloCar">
    <w:name w:val="Subtítulo Car"/>
    <w:basedOn w:val="Fuentedeprrafopredeter"/>
    <w:link w:val="Subttulo"/>
    <w:uiPriority w:val="11"/>
    <w:rsid w:val="003E0168"/>
    <w:rPr>
      <w:rFonts w:ascii="Calibri Light" w:eastAsia="SimSun" w:hAnsi="Calibri Light" w:cs="Times New Roman"/>
      <w:color w:val="5B9BD5"/>
      <w:sz w:val="28"/>
      <w:szCs w:val="28"/>
      <w:lang w:eastAsia="es-CO"/>
    </w:rPr>
  </w:style>
  <w:style w:type="character" w:styleId="Textoennegrita">
    <w:name w:val="Strong"/>
    <w:uiPriority w:val="22"/>
    <w:qFormat/>
    <w:rsid w:val="003E0168"/>
    <w:rPr>
      <w:b/>
      <w:bCs/>
    </w:rPr>
  </w:style>
  <w:style w:type="character" w:styleId="Refdecomentario">
    <w:name w:val="annotation reference"/>
    <w:basedOn w:val="Fuentedeprrafopredeter"/>
    <w:uiPriority w:val="99"/>
    <w:semiHidden/>
    <w:unhideWhenUsed/>
    <w:rsid w:val="00385E4A"/>
    <w:rPr>
      <w:sz w:val="16"/>
      <w:szCs w:val="16"/>
    </w:rPr>
  </w:style>
  <w:style w:type="paragraph" w:styleId="Textocomentario">
    <w:name w:val="annotation text"/>
    <w:basedOn w:val="Normal"/>
    <w:link w:val="TextocomentarioCar"/>
    <w:uiPriority w:val="99"/>
    <w:unhideWhenUsed/>
    <w:rsid w:val="00385E4A"/>
    <w:pPr>
      <w:spacing w:line="240" w:lineRule="auto"/>
    </w:pPr>
    <w:rPr>
      <w:sz w:val="20"/>
      <w:szCs w:val="20"/>
    </w:rPr>
  </w:style>
  <w:style w:type="character" w:customStyle="1" w:styleId="TextocomentarioCar">
    <w:name w:val="Texto comentario Car"/>
    <w:basedOn w:val="Fuentedeprrafopredeter"/>
    <w:link w:val="Textocomentario"/>
    <w:uiPriority w:val="99"/>
    <w:rsid w:val="00385E4A"/>
    <w:rPr>
      <w:sz w:val="20"/>
      <w:szCs w:val="20"/>
    </w:rPr>
  </w:style>
  <w:style w:type="paragraph" w:styleId="Asuntodelcomentario">
    <w:name w:val="annotation subject"/>
    <w:basedOn w:val="Textocomentario"/>
    <w:next w:val="Textocomentario"/>
    <w:link w:val="AsuntodelcomentarioCar"/>
    <w:uiPriority w:val="99"/>
    <w:semiHidden/>
    <w:unhideWhenUsed/>
    <w:rsid w:val="00385E4A"/>
    <w:rPr>
      <w:b/>
      <w:bCs/>
    </w:rPr>
  </w:style>
  <w:style w:type="character" w:customStyle="1" w:styleId="AsuntodelcomentarioCar">
    <w:name w:val="Asunto del comentario Car"/>
    <w:basedOn w:val="TextocomentarioCar"/>
    <w:link w:val="Asuntodelcomentario"/>
    <w:uiPriority w:val="99"/>
    <w:semiHidden/>
    <w:rsid w:val="00385E4A"/>
    <w:rPr>
      <w:b/>
      <w:bCs/>
      <w:sz w:val="20"/>
      <w:szCs w:val="20"/>
    </w:rPr>
  </w:style>
  <w:style w:type="paragraph" w:styleId="Revisin">
    <w:name w:val="Revision"/>
    <w:hidden/>
    <w:uiPriority w:val="99"/>
    <w:semiHidden/>
    <w:rsid w:val="00C85D61"/>
    <w:pPr>
      <w:spacing w:after="0" w:line="240" w:lineRule="auto"/>
    </w:pPr>
  </w:style>
  <w:style w:type="table" w:styleId="Tablanormal2">
    <w:name w:val="Plain Table 2"/>
    <w:basedOn w:val="Tablanormal"/>
    <w:uiPriority w:val="42"/>
    <w:rsid w:val="00A17D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A17D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2">
    <w:name w:val="toc 2"/>
    <w:basedOn w:val="Normal"/>
    <w:next w:val="Normal"/>
    <w:autoRedefine/>
    <w:uiPriority w:val="39"/>
    <w:unhideWhenUsed/>
    <w:rsid w:val="000A48EF"/>
    <w:pPr>
      <w:spacing w:after="100"/>
      <w:ind w:left="220"/>
    </w:pPr>
  </w:style>
  <w:style w:type="paragraph" w:styleId="Textoindependiente">
    <w:name w:val="Body Text"/>
    <w:basedOn w:val="Normal"/>
    <w:link w:val="TextoindependienteCar"/>
    <w:qFormat/>
    <w:rsid w:val="00B01B9F"/>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rsid w:val="00B01B9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1006247337">
      <w:bodyDiv w:val="1"/>
      <w:marLeft w:val="0"/>
      <w:marRight w:val="0"/>
      <w:marTop w:val="0"/>
      <w:marBottom w:val="0"/>
      <w:divBdr>
        <w:top w:val="none" w:sz="0" w:space="0" w:color="auto"/>
        <w:left w:val="none" w:sz="0" w:space="0" w:color="auto"/>
        <w:bottom w:val="none" w:sz="0" w:space="0" w:color="auto"/>
        <w:right w:val="none" w:sz="0" w:space="0" w:color="auto"/>
      </w:divBdr>
    </w:div>
    <w:div w:id="1331180122">
      <w:bodyDiv w:val="1"/>
      <w:marLeft w:val="0"/>
      <w:marRight w:val="0"/>
      <w:marTop w:val="0"/>
      <w:marBottom w:val="0"/>
      <w:divBdr>
        <w:top w:val="none" w:sz="0" w:space="0" w:color="auto"/>
        <w:left w:val="none" w:sz="0" w:space="0" w:color="auto"/>
        <w:bottom w:val="none" w:sz="0" w:space="0" w:color="auto"/>
        <w:right w:val="none" w:sz="0" w:space="0" w:color="auto"/>
      </w:divBdr>
    </w:div>
    <w:div w:id="1623533671">
      <w:bodyDiv w:val="1"/>
      <w:marLeft w:val="0"/>
      <w:marRight w:val="0"/>
      <w:marTop w:val="0"/>
      <w:marBottom w:val="0"/>
      <w:divBdr>
        <w:top w:val="none" w:sz="0" w:space="0" w:color="auto"/>
        <w:left w:val="none" w:sz="0" w:space="0" w:color="auto"/>
        <w:bottom w:val="none" w:sz="0" w:space="0" w:color="auto"/>
        <w:right w:val="none" w:sz="0" w:space="0" w:color="auto"/>
      </w:divBdr>
    </w:div>
    <w:div w:id="1913082861">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persociedades.gov.co/web/nuestra-entidad/presupuesto-gener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persociedades.gov.co/web/nuestra-entidad/programas-y-proyectos-en-ejecuc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upersociedades.gov.co/web/guest/tramites-opa-y-consulta-de-informac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sociedades.gov.co/web/nuestra-entidad/planes-de-accion-estrategicos" TargetMode="External"/><Relationship Id="rId5" Type="http://schemas.openxmlformats.org/officeDocument/2006/relationships/webSettings" Target="webSettings.xml"/><Relationship Id="rId15" Type="http://schemas.openxmlformats.org/officeDocument/2006/relationships/hyperlink" Target="https://www.supersociedades.gov.co/web/nuestra-entidad/talento-humano" TargetMode="External"/><Relationship Id="rId10" Type="http://schemas.openxmlformats.org/officeDocument/2006/relationships/hyperlink" Target="https://www.supersociedades.gov.co/es/web/nuestra-entidad/planeacion-estrategica-y-dof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persociedades.gov.co/es/web/nuestra-entidad/contratacion" TargetMode="External"/><Relationship Id="rId14" Type="http://schemas.openxmlformats.org/officeDocument/2006/relationships/hyperlink" Target="https://www.supersociedades.gov.co/web/nuestra-entidad/directorio-de-servidores-publicos-y-contratis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6520</Words>
  <Characters>38081</Characters>
  <Application>Microsoft Office Word</Application>
  <DocSecurity>0</DocSecurity>
  <Lines>1002</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Bibiana Coy Paez</cp:lastModifiedBy>
  <cp:revision>3</cp:revision>
  <cp:lastPrinted>2025-11-01T13:50:00Z</cp:lastPrinted>
  <dcterms:created xsi:type="dcterms:W3CDTF">2025-11-01T13:50:00Z</dcterms:created>
  <dcterms:modified xsi:type="dcterms:W3CDTF">2025-11-01T13:50:00Z</dcterms:modified>
</cp:coreProperties>
</file>