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ABB139" w14:textId="77777777" w:rsidR="00644940" w:rsidRDefault="00644940" w:rsidP="007520CC">
      <w:pPr>
        <w:ind w:left="360" w:hanging="360"/>
        <w:jc w:val="both"/>
      </w:pPr>
      <w:bookmarkStart w:id="0" w:name="_Toc183181506"/>
    </w:p>
    <w:p w14:paraId="4602A193" w14:textId="1B68DC36" w:rsidR="008409B1" w:rsidRDefault="008409B1" w:rsidP="007520CC">
      <w:pPr>
        <w:pStyle w:val="Ttulo1"/>
        <w:numPr>
          <w:ilvl w:val="0"/>
          <w:numId w:val="40"/>
        </w:numPr>
        <w:spacing w:line="240" w:lineRule="auto"/>
        <w:jc w:val="both"/>
        <w:rPr>
          <w:rFonts w:ascii="Verdana" w:hAnsi="Verdana"/>
          <w:sz w:val="22"/>
          <w:szCs w:val="22"/>
        </w:rPr>
      </w:pPr>
      <w:r w:rsidRPr="009F7F0D">
        <w:rPr>
          <w:rFonts w:ascii="Verdana" w:hAnsi="Verdana"/>
          <w:sz w:val="22"/>
          <w:szCs w:val="22"/>
        </w:rPr>
        <w:t>OBJETIVO</w:t>
      </w:r>
      <w:bookmarkEnd w:id="0"/>
    </w:p>
    <w:p w14:paraId="5A3AC372" w14:textId="77777777" w:rsidR="007520CC" w:rsidRPr="007520CC" w:rsidRDefault="007520CC" w:rsidP="007520CC">
      <w:pPr>
        <w:rPr>
          <w:lang w:val="es-MX"/>
        </w:rPr>
      </w:pPr>
    </w:p>
    <w:p w14:paraId="12D31AE2" w14:textId="77777777" w:rsidR="0067341A" w:rsidRPr="00DA019D" w:rsidRDefault="0067341A" w:rsidP="00DA019D">
      <w:pPr>
        <w:autoSpaceDE w:val="0"/>
        <w:autoSpaceDN w:val="0"/>
        <w:adjustRightInd w:val="0"/>
        <w:spacing w:line="360" w:lineRule="auto"/>
        <w:jc w:val="both"/>
        <w:rPr>
          <w:rFonts w:ascii="Verdana" w:hAnsi="Verdana" w:cs="Arial"/>
          <w:spacing w:val="4"/>
          <w:sz w:val="22"/>
          <w:szCs w:val="22"/>
        </w:rPr>
      </w:pPr>
      <w:bookmarkStart w:id="1" w:name="_Toc183181507"/>
      <w:r w:rsidRPr="00DA019D">
        <w:rPr>
          <w:rFonts w:ascii="Verdana" w:hAnsi="Verdana" w:cs="Arial"/>
          <w:spacing w:val="4"/>
          <w:sz w:val="22"/>
          <w:szCs w:val="22"/>
        </w:rPr>
        <w:t xml:space="preserve">La Guía de Litigio Societario fue preparada con el objeto de ilustrar a los usuarios de la Superintendencia de Sociedades acerca de algunas de las actividades a cargo de la Delegatura de Procedimientos Mercantiles. Las diferentes secciones de </w:t>
      </w:r>
      <w:smartTag w:uri="urn:schemas-microsoft-com:office:smarttags" w:element="PersonName">
        <w:smartTagPr>
          <w:attr w:name="ProductID" w:val="la Guía"/>
        </w:smartTagPr>
        <w:r w:rsidRPr="00DA019D">
          <w:rPr>
            <w:rFonts w:ascii="Verdana" w:hAnsi="Verdana" w:cs="Arial"/>
            <w:spacing w:val="4"/>
            <w:sz w:val="22"/>
            <w:szCs w:val="22"/>
          </w:rPr>
          <w:t>la Guía</w:t>
        </w:r>
      </w:smartTag>
      <w:r w:rsidRPr="00DA019D">
        <w:rPr>
          <w:rFonts w:ascii="Verdana" w:hAnsi="Verdana" w:cs="Arial"/>
          <w:spacing w:val="4"/>
          <w:sz w:val="22"/>
          <w:szCs w:val="22"/>
        </w:rPr>
        <w:t xml:space="preserve"> se actualizan periódicamente, de manera que nuestros usuarios puedan contar con información que les sea útil para participar en los procesos judiciales de naturaleza societaria a cargo de esta entidad. Con todo, debe hacerse énfasis en que esta Guía no contiene pronunciamientos oficiales de </w:t>
      </w:r>
      <w:smartTag w:uri="urn:schemas-microsoft-com:office:smarttags" w:element="PersonName">
        <w:smartTagPr>
          <w:attr w:name="ProductID" w:val="la Superintendencia"/>
        </w:smartTagPr>
        <w:r w:rsidRPr="00DA019D">
          <w:rPr>
            <w:rFonts w:ascii="Verdana" w:hAnsi="Verdana" w:cs="Arial"/>
            <w:spacing w:val="4"/>
            <w:sz w:val="22"/>
            <w:szCs w:val="22"/>
          </w:rPr>
          <w:t>la Superintendencia</w:t>
        </w:r>
      </w:smartTag>
      <w:r w:rsidRPr="00DA019D">
        <w:rPr>
          <w:rFonts w:ascii="Verdana" w:hAnsi="Verdana" w:cs="Arial"/>
          <w:spacing w:val="4"/>
          <w:sz w:val="22"/>
          <w:szCs w:val="22"/>
        </w:rPr>
        <w:t xml:space="preserve">, sino simplemente orientación general acerca de </w:t>
      </w:r>
      <w:smartTag w:uri="urn:schemas-microsoft-com:office:smarttags" w:element="PersonName">
        <w:smartTagPr>
          <w:attr w:name="ProductID" w:val="la Delegatura"/>
        </w:smartTagPr>
        <w:r w:rsidRPr="00DA019D">
          <w:rPr>
            <w:rFonts w:ascii="Verdana" w:hAnsi="Verdana" w:cs="Arial"/>
            <w:spacing w:val="4"/>
            <w:sz w:val="22"/>
            <w:szCs w:val="22"/>
          </w:rPr>
          <w:t>la Delegatura</w:t>
        </w:r>
      </w:smartTag>
      <w:r w:rsidRPr="00DA019D">
        <w:rPr>
          <w:rFonts w:ascii="Verdana" w:hAnsi="Verdana" w:cs="Arial"/>
          <w:spacing w:val="4"/>
          <w:sz w:val="22"/>
          <w:szCs w:val="22"/>
        </w:rPr>
        <w:t xml:space="preserve"> de Procedimientos Mercantiles.</w:t>
      </w:r>
    </w:p>
    <w:p w14:paraId="54822583" w14:textId="77777777" w:rsidR="00AC389F" w:rsidRDefault="00AC389F" w:rsidP="00AC389F">
      <w:pPr>
        <w:rPr>
          <w:sz w:val="22"/>
          <w:szCs w:val="22"/>
          <w:lang w:val="es-ES_tradnl"/>
        </w:rPr>
      </w:pPr>
    </w:p>
    <w:p w14:paraId="323747F0" w14:textId="77777777" w:rsidR="00644940" w:rsidRPr="009F7F0D" w:rsidRDefault="00644940" w:rsidP="00AC389F">
      <w:pPr>
        <w:rPr>
          <w:sz w:val="22"/>
          <w:szCs w:val="22"/>
          <w:lang w:val="es-ES_tradnl"/>
        </w:rPr>
      </w:pPr>
    </w:p>
    <w:p w14:paraId="5C1510D2" w14:textId="1D1E9EEA" w:rsidR="008409B1"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2. </w:t>
      </w:r>
      <w:r w:rsidR="008409B1" w:rsidRPr="009F7F0D">
        <w:rPr>
          <w:rFonts w:ascii="Verdana" w:hAnsi="Verdana"/>
          <w:sz w:val="22"/>
          <w:szCs w:val="22"/>
        </w:rPr>
        <w:t>ALCANCE</w:t>
      </w:r>
      <w:bookmarkEnd w:id="1"/>
    </w:p>
    <w:p w14:paraId="6808BB93" w14:textId="77777777" w:rsidR="00641100" w:rsidRDefault="00641100" w:rsidP="00641100">
      <w:pPr>
        <w:rPr>
          <w:lang w:val="es-ES_tradnl"/>
        </w:rPr>
      </w:pPr>
    </w:p>
    <w:p w14:paraId="3D9409FF" w14:textId="0936FA2C" w:rsidR="00641100" w:rsidRPr="00DA019D" w:rsidRDefault="00641100" w:rsidP="00DA019D">
      <w:pPr>
        <w:autoSpaceDE w:val="0"/>
        <w:autoSpaceDN w:val="0"/>
        <w:adjustRightInd w:val="0"/>
        <w:spacing w:line="360" w:lineRule="auto"/>
        <w:jc w:val="both"/>
        <w:rPr>
          <w:rFonts w:ascii="Verdana" w:hAnsi="Verdana" w:cs="Arial"/>
          <w:spacing w:val="4"/>
          <w:sz w:val="22"/>
          <w:szCs w:val="22"/>
        </w:rPr>
      </w:pPr>
      <w:r w:rsidRPr="00DA019D">
        <w:rPr>
          <w:rFonts w:ascii="Verdana" w:hAnsi="Verdana" w:cs="Arial"/>
          <w:spacing w:val="4"/>
          <w:sz w:val="22"/>
          <w:szCs w:val="22"/>
        </w:rPr>
        <w:t xml:space="preserve">La Guía de Litigio Societario será de utilidad a los usuarios interesados en adelantar procesos jurisdiccionales ante la Delegatura de Procedimientos Mercantiles, por ende, no es aplicable a las demás funciones jurisdiccionales atribuidas o a los procedimientos adelantados en cumplimiento de las funciones de inspección, vigilancia y control que ejerce la Superintendencia de Sociedades. </w:t>
      </w:r>
    </w:p>
    <w:p w14:paraId="17F1C1BE" w14:textId="77777777" w:rsidR="0067341A" w:rsidRDefault="0067341A" w:rsidP="0007378A">
      <w:pPr>
        <w:jc w:val="both"/>
        <w:rPr>
          <w:rFonts w:ascii="Verdana" w:hAnsi="Verdana" w:cs="Arial"/>
          <w:color w:val="FF0000"/>
          <w:sz w:val="22"/>
          <w:szCs w:val="22"/>
          <w:lang w:val="es-ES_tradnl"/>
        </w:rPr>
      </w:pPr>
    </w:p>
    <w:p w14:paraId="2DC3E882" w14:textId="77777777" w:rsidR="003A23AC" w:rsidRPr="009F7F0D" w:rsidRDefault="003A23AC" w:rsidP="0007378A">
      <w:pPr>
        <w:jc w:val="both"/>
        <w:rPr>
          <w:rFonts w:ascii="Verdana" w:hAnsi="Verdana" w:cs="Arial"/>
          <w:color w:val="FF0000"/>
          <w:sz w:val="22"/>
          <w:szCs w:val="22"/>
          <w:lang w:val="es-ES_tradnl"/>
        </w:rPr>
      </w:pPr>
    </w:p>
    <w:p w14:paraId="7C8AFDF3" w14:textId="7851E16B" w:rsidR="0007378A" w:rsidRDefault="0007378A" w:rsidP="00644940">
      <w:pPr>
        <w:pStyle w:val="Ttulo1"/>
        <w:numPr>
          <w:ilvl w:val="0"/>
          <w:numId w:val="41"/>
        </w:numPr>
        <w:spacing w:line="240" w:lineRule="auto"/>
        <w:jc w:val="both"/>
        <w:rPr>
          <w:rFonts w:ascii="Verdana" w:hAnsi="Verdana"/>
          <w:sz w:val="22"/>
          <w:szCs w:val="22"/>
        </w:rPr>
      </w:pPr>
      <w:r w:rsidRPr="009F7F0D">
        <w:rPr>
          <w:rFonts w:ascii="Verdana" w:hAnsi="Verdana"/>
          <w:sz w:val="22"/>
          <w:szCs w:val="22"/>
        </w:rPr>
        <w:t>RESPONSABLE</w:t>
      </w:r>
    </w:p>
    <w:p w14:paraId="4AE566A7" w14:textId="77777777" w:rsidR="0007378A" w:rsidRDefault="0007378A" w:rsidP="0007378A">
      <w:pPr>
        <w:rPr>
          <w:sz w:val="22"/>
          <w:szCs w:val="22"/>
          <w:lang w:val="es-MX"/>
        </w:rPr>
      </w:pPr>
    </w:p>
    <w:p w14:paraId="26AC7602" w14:textId="11E744E7" w:rsidR="00644940" w:rsidRPr="00644940" w:rsidRDefault="00644940" w:rsidP="0007378A">
      <w:pPr>
        <w:rPr>
          <w:rFonts w:ascii="Verdana" w:hAnsi="Verdana" w:cs="Arial"/>
          <w:spacing w:val="4"/>
          <w:sz w:val="22"/>
          <w:szCs w:val="22"/>
        </w:rPr>
      </w:pPr>
      <w:r w:rsidRPr="00644940">
        <w:rPr>
          <w:rFonts w:ascii="Verdana" w:hAnsi="Verdana" w:cs="Arial"/>
          <w:spacing w:val="4"/>
          <w:sz w:val="22"/>
          <w:szCs w:val="22"/>
        </w:rPr>
        <w:t>Los funcionarios responsables de producir y actualizar la presente guía son:</w:t>
      </w:r>
    </w:p>
    <w:p w14:paraId="0CF4B902" w14:textId="77777777" w:rsidR="00644940" w:rsidRDefault="00644940" w:rsidP="0007378A">
      <w:pPr>
        <w:rPr>
          <w:sz w:val="22"/>
          <w:szCs w:val="22"/>
          <w:lang w:val="es-MX"/>
        </w:rPr>
      </w:pPr>
    </w:p>
    <w:p w14:paraId="00A7B2FA" w14:textId="77777777" w:rsidR="00644940" w:rsidRPr="009F7F0D" w:rsidRDefault="00644940" w:rsidP="0007378A">
      <w:pPr>
        <w:rPr>
          <w:sz w:val="22"/>
          <w:szCs w:val="22"/>
          <w:lang w:val="es-MX"/>
        </w:rPr>
      </w:pPr>
    </w:p>
    <w:tbl>
      <w:tblPr>
        <w:tblW w:w="6504" w:type="dxa"/>
        <w:jc w:val="center"/>
        <w:tblCellMar>
          <w:left w:w="70" w:type="dxa"/>
          <w:right w:w="70" w:type="dxa"/>
        </w:tblCellMar>
        <w:tblLook w:val="04A0" w:firstRow="1" w:lastRow="0" w:firstColumn="1" w:lastColumn="0" w:noHBand="0" w:noVBand="1"/>
      </w:tblPr>
      <w:tblGrid>
        <w:gridCol w:w="5529"/>
        <w:gridCol w:w="975"/>
      </w:tblGrid>
      <w:tr w:rsidR="00644940" w14:paraId="1517B036" w14:textId="77777777" w:rsidTr="00644940">
        <w:trPr>
          <w:trHeight w:val="315"/>
          <w:jc w:val="center"/>
        </w:trPr>
        <w:tc>
          <w:tcPr>
            <w:tcW w:w="552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28BD82" w14:textId="77777777" w:rsidR="00644940" w:rsidRPr="005C5C8B" w:rsidRDefault="00644940">
            <w:pPr>
              <w:jc w:val="center"/>
              <w:rPr>
                <w:rFonts w:ascii="Verdana" w:hAnsi="Verdana"/>
                <w:b/>
                <w:bCs/>
                <w:color w:val="000000"/>
                <w:sz w:val="22"/>
                <w:szCs w:val="22"/>
                <w:lang w:val="es-CO" w:eastAsia="es-CO"/>
              </w:rPr>
            </w:pPr>
            <w:bookmarkStart w:id="2" w:name="_Toc183181508"/>
            <w:r w:rsidRPr="005C5C8B">
              <w:rPr>
                <w:rFonts w:ascii="Verdana" w:hAnsi="Verdana"/>
                <w:b/>
                <w:bCs/>
                <w:color w:val="000000"/>
                <w:sz w:val="22"/>
                <w:szCs w:val="22"/>
              </w:rPr>
              <w:t>Cargo</w:t>
            </w:r>
          </w:p>
        </w:tc>
        <w:tc>
          <w:tcPr>
            <w:tcW w:w="975" w:type="dxa"/>
            <w:tcBorders>
              <w:top w:val="single" w:sz="8" w:space="0" w:color="auto"/>
              <w:left w:val="nil"/>
              <w:bottom w:val="single" w:sz="8" w:space="0" w:color="auto"/>
              <w:right w:val="single" w:sz="8" w:space="0" w:color="auto"/>
            </w:tcBorders>
            <w:shd w:val="clear" w:color="auto" w:fill="auto"/>
            <w:noWrap/>
            <w:vAlign w:val="bottom"/>
            <w:hideMark/>
          </w:tcPr>
          <w:p w14:paraId="55FAE45D" w14:textId="77777777" w:rsidR="00644940" w:rsidRPr="005C5C8B" w:rsidRDefault="00644940">
            <w:pPr>
              <w:jc w:val="center"/>
              <w:rPr>
                <w:rFonts w:ascii="Verdana" w:hAnsi="Verdana"/>
                <w:b/>
                <w:bCs/>
                <w:color w:val="000000"/>
                <w:sz w:val="22"/>
                <w:szCs w:val="22"/>
              </w:rPr>
            </w:pPr>
            <w:r w:rsidRPr="005C5C8B">
              <w:rPr>
                <w:rFonts w:ascii="Verdana" w:hAnsi="Verdana"/>
                <w:b/>
                <w:bCs/>
                <w:color w:val="000000"/>
                <w:sz w:val="22"/>
                <w:szCs w:val="22"/>
              </w:rPr>
              <w:t>Grado</w:t>
            </w:r>
          </w:p>
        </w:tc>
      </w:tr>
      <w:tr w:rsidR="00644940" w14:paraId="4F960203" w14:textId="77777777" w:rsidTr="00644940">
        <w:trPr>
          <w:trHeight w:val="315"/>
          <w:jc w:val="center"/>
        </w:trPr>
        <w:tc>
          <w:tcPr>
            <w:tcW w:w="5529" w:type="dxa"/>
            <w:tcBorders>
              <w:top w:val="nil"/>
              <w:left w:val="single" w:sz="8" w:space="0" w:color="auto"/>
              <w:bottom w:val="single" w:sz="8" w:space="0" w:color="auto"/>
              <w:right w:val="single" w:sz="8" w:space="0" w:color="auto"/>
            </w:tcBorders>
            <w:shd w:val="clear" w:color="auto" w:fill="auto"/>
            <w:noWrap/>
            <w:vAlign w:val="bottom"/>
            <w:hideMark/>
          </w:tcPr>
          <w:p w14:paraId="48CFB4B9" w14:textId="77777777" w:rsidR="00644940" w:rsidRPr="00644940" w:rsidRDefault="00644940">
            <w:pPr>
              <w:rPr>
                <w:rFonts w:ascii="Verdana" w:hAnsi="Verdana"/>
                <w:color w:val="000000"/>
                <w:sz w:val="22"/>
                <w:szCs w:val="22"/>
              </w:rPr>
            </w:pPr>
            <w:r w:rsidRPr="00644940">
              <w:rPr>
                <w:rFonts w:ascii="Verdana" w:hAnsi="Verdana"/>
                <w:color w:val="000000"/>
                <w:sz w:val="22"/>
                <w:szCs w:val="22"/>
              </w:rPr>
              <w:t>Delegado para Procedimientos Mercantiles</w:t>
            </w:r>
          </w:p>
        </w:tc>
        <w:tc>
          <w:tcPr>
            <w:tcW w:w="975" w:type="dxa"/>
            <w:tcBorders>
              <w:top w:val="nil"/>
              <w:left w:val="nil"/>
              <w:bottom w:val="single" w:sz="8" w:space="0" w:color="auto"/>
              <w:right w:val="single" w:sz="8" w:space="0" w:color="auto"/>
            </w:tcBorders>
            <w:shd w:val="clear" w:color="auto" w:fill="auto"/>
            <w:noWrap/>
            <w:vAlign w:val="bottom"/>
            <w:hideMark/>
          </w:tcPr>
          <w:p w14:paraId="63550462" w14:textId="77777777" w:rsidR="00644940" w:rsidRPr="00644940" w:rsidRDefault="00644940">
            <w:pPr>
              <w:jc w:val="center"/>
              <w:rPr>
                <w:rFonts w:ascii="Verdana" w:hAnsi="Verdana"/>
                <w:color w:val="000000"/>
                <w:sz w:val="22"/>
                <w:szCs w:val="22"/>
              </w:rPr>
            </w:pPr>
            <w:r w:rsidRPr="00644940">
              <w:rPr>
                <w:rFonts w:ascii="Verdana" w:hAnsi="Verdana"/>
                <w:color w:val="000000"/>
                <w:sz w:val="22"/>
                <w:szCs w:val="22"/>
              </w:rPr>
              <w:t>11023</w:t>
            </w:r>
          </w:p>
        </w:tc>
      </w:tr>
      <w:tr w:rsidR="00644940" w14:paraId="0B6D932E" w14:textId="77777777" w:rsidTr="00644940">
        <w:trPr>
          <w:trHeight w:val="315"/>
          <w:jc w:val="center"/>
        </w:trPr>
        <w:tc>
          <w:tcPr>
            <w:tcW w:w="5529" w:type="dxa"/>
            <w:tcBorders>
              <w:top w:val="nil"/>
              <w:left w:val="single" w:sz="8" w:space="0" w:color="auto"/>
              <w:bottom w:val="single" w:sz="8" w:space="0" w:color="auto"/>
              <w:right w:val="single" w:sz="8" w:space="0" w:color="auto"/>
            </w:tcBorders>
            <w:shd w:val="clear" w:color="auto" w:fill="auto"/>
            <w:noWrap/>
            <w:vAlign w:val="bottom"/>
            <w:hideMark/>
          </w:tcPr>
          <w:p w14:paraId="48D801D5" w14:textId="77777777" w:rsidR="00644940" w:rsidRPr="00644940" w:rsidRDefault="00644940">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w:t>
            </w:r>
          </w:p>
        </w:tc>
        <w:tc>
          <w:tcPr>
            <w:tcW w:w="975" w:type="dxa"/>
            <w:tcBorders>
              <w:top w:val="nil"/>
              <w:left w:val="nil"/>
              <w:bottom w:val="single" w:sz="8" w:space="0" w:color="auto"/>
              <w:right w:val="single" w:sz="8" w:space="0" w:color="auto"/>
            </w:tcBorders>
            <w:shd w:val="clear" w:color="auto" w:fill="auto"/>
            <w:noWrap/>
            <w:vAlign w:val="bottom"/>
            <w:hideMark/>
          </w:tcPr>
          <w:p w14:paraId="21CB32EE" w14:textId="77777777" w:rsidR="00644940" w:rsidRPr="00644940" w:rsidRDefault="00644940">
            <w:pPr>
              <w:jc w:val="center"/>
              <w:rPr>
                <w:rFonts w:ascii="Verdana" w:hAnsi="Verdana"/>
                <w:color w:val="000000"/>
                <w:sz w:val="22"/>
                <w:szCs w:val="22"/>
              </w:rPr>
            </w:pPr>
            <w:r w:rsidRPr="00644940">
              <w:rPr>
                <w:rFonts w:ascii="Verdana" w:hAnsi="Verdana"/>
                <w:color w:val="000000"/>
                <w:sz w:val="22"/>
                <w:szCs w:val="22"/>
              </w:rPr>
              <w:t>10519</w:t>
            </w:r>
          </w:p>
        </w:tc>
      </w:tr>
      <w:tr w:rsidR="00644940" w14:paraId="5B0B61B4" w14:textId="77777777" w:rsidTr="00644940">
        <w:trPr>
          <w:trHeight w:val="315"/>
          <w:jc w:val="center"/>
        </w:trPr>
        <w:tc>
          <w:tcPr>
            <w:tcW w:w="5529" w:type="dxa"/>
            <w:tcBorders>
              <w:top w:val="nil"/>
              <w:left w:val="single" w:sz="8" w:space="0" w:color="auto"/>
              <w:bottom w:val="single" w:sz="8" w:space="0" w:color="auto"/>
              <w:right w:val="single" w:sz="8" w:space="0" w:color="auto"/>
            </w:tcBorders>
            <w:shd w:val="clear" w:color="auto" w:fill="auto"/>
            <w:noWrap/>
            <w:vAlign w:val="bottom"/>
            <w:hideMark/>
          </w:tcPr>
          <w:p w14:paraId="05B40077" w14:textId="77777777" w:rsidR="00644940" w:rsidRPr="00644940" w:rsidRDefault="00644940">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II</w:t>
            </w:r>
          </w:p>
        </w:tc>
        <w:tc>
          <w:tcPr>
            <w:tcW w:w="975" w:type="dxa"/>
            <w:tcBorders>
              <w:top w:val="nil"/>
              <w:left w:val="nil"/>
              <w:bottom w:val="single" w:sz="8" w:space="0" w:color="auto"/>
              <w:right w:val="single" w:sz="8" w:space="0" w:color="auto"/>
            </w:tcBorders>
            <w:shd w:val="clear" w:color="auto" w:fill="auto"/>
            <w:noWrap/>
            <w:vAlign w:val="bottom"/>
            <w:hideMark/>
          </w:tcPr>
          <w:p w14:paraId="658283E9" w14:textId="77777777" w:rsidR="00644940" w:rsidRPr="00644940" w:rsidRDefault="00644940">
            <w:pPr>
              <w:jc w:val="center"/>
              <w:rPr>
                <w:rFonts w:ascii="Verdana" w:hAnsi="Verdana"/>
                <w:color w:val="000000"/>
                <w:sz w:val="22"/>
                <w:szCs w:val="22"/>
              </w:rPr>
            </w:pPr>
            <w:r w:rsidRPr="00644940">
              <w:rPr>
                <w:rFonts w:ascii="Verdana" w:hAnsi="Verdana"/>
                <w:color w:val="000000"/>
                <w:sz w:val="22"/>
                <w:szCs w:val="22"/>
              </w:rPr>
              <w:t>10519</w:t>
            </w:r>
          </w:p>
        </w:tc>
      </w:tr>
      <w:tr w:rsidR="00644940" w14:paraId="45D0E5DA" w14:textId="77777777" w:rsidTr="00644940">
        <w:trPr>
          <w:trHeight w:val="315"/>
          <w:jc w:val="center"/>
        </w:trPr>
        <w:tc>
          <w:tcPr>
            <w:tcW w:w="5529" w:type="dxa"/>
            <w:tcBorders>
              <w:top w:val="nil"/>
              <w:left w:val="single" w:sz="8" w:space="0" w:color="auto"/>
              <w:bottom w:val="single" w:sz="8" w:space="0" w:color="auto"/>
              <w:right w:val="single" w:sz="8" w:space="0" w:color="auto"/>
            </w:tcBorders>
            <w:shd w:val="clear" w:color="auto" w:fill="auto"/>
            <w:noWrap/>
            <w:vAlign w:val="bottom"/>
            <w:hideMark/>
          </w:tcPr>
          <w:p w14:paraId="5EB00AFC" w14:textId="77777777" w:rsidR="00644940" w:rsidRPr="00644940" w:rsidRDefault="00644940">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III</w:t>
            </w:r>
          </w:p>
        </w:tc>
        <w:tc>
          <w:tcPr>
            <w:tcW w:w="975" w:type="dxa"/>
            <w:tcBorders>
              <w:top w:val="nil"/>
              <w:left w:val="nil"/>
              <w:bottom w:val="single" w:sz="8" w:space="0" w:color="auto"/>
              <w:right w:val="single" w:sz="8" w:space="0" w:color="auto"/>
            </w:tcBorders>
            <w:shd w:val="clear" w:color="auto" w:fill="auto"/>
            <w:noWrap/>
            <w:vAlign w:val="bottom"/>
            <w:hideMark/>
          </w:tcPr>
          <w:p w14:paraId="22A24229" w14:textId="77777777" w:rsidR="00644940" w:rsidRPr="00644940" w:rsidRDefault="00644940">
            <w:pPr>
              <w:jc w:val="center"/>
              <w:rPr>
                <w:rFonts w:ascii="Verdana" w:hAnsi="Verdana"/>
                <w:color w:val="000000"/>
                <w:sz w:val="22"/>
                <w:szCs w:val="22"/>
              </w:rPr>
            </w:pPr>
            <w:r w:rsidRPr="00644940">
              <w:rPr>
                <w:rFonts w:ascii="Verdana" w:hAnsi="Verdana"/>
                <w:color w:val="000000"/>
                <w:sz w:val="22"/>
                <w:szCs w:val="22"/>
              </w:rPr>
              <w:t>10519</w:t>
            </w:r>
          </w:p>
        </w:tc>
      </w:tr>
    </w:tbl>
    <w:p w14:paraId="2573EECA" w14:textId="77777777" w:rsidR="00B77848" w:rsidRDefault="00B77848" w:rsidP="0007378A">
      <w:pPr>
        <w:jc w:val="both"/>
        <w:rPr>
          <w:rFonts w:ascii="Verdana" w:hAnsi="Verdana" w:cs="Arial"/>
          <w:color w:val="FF0000"/>
          <w:sz w:val="22"/>
          <w:szCs w:val="22"/>
          <w:lang w:val="es-ES_tradnl"/>
        </w:rPr>
      </w:pPr>
    </w:p>
    <w:p w14:paraId="75876468" w14:textId="77777777" w:rsidR="00644940" w:rsidRDefault="00644940" w:rsidP="0007378A">
      <w:pPr>
        <w:jc w:val="both"/>
        <w:rPr>
          <w:rFonts w:ascii="Verdana" w:hAnsi="Verdana" w:cs="Arial"/>
          <w:color w:val="FF0000"/>
          <w:sz w:val="22"/>
          <w:szCs w:val="22"/>
          <w:lang w:val="es-ES_tradnl"/>
        </w:rPr>
      </w:pPr>
    </w:p>
    <w:p w14:paraId="2C129BBA" w14:textId="77777777" w:rsidR="00644940" w:rsidRDefault="00644940" w:rsidP="0007378A">
      <w:pPr>
        <w:jc w:val="both"/>
        <w:rPr>
          <w:rFonts w:ascii="Verdana" w:hAnsi="Verdana" w:cs="Arial"/>
          <w:color w:val="FF0000"/>
          <w:sz w:val="22"/>
          <w:szCs w:val="22"/>
          <w:lang w:val="es-ES_tradnl"/>
        </w:rPr>
      </w:pPr>
    </w:p>
    <w:p w14:paraId="4BDDCFAF" w14:textId="77777777" w:rsidR="00644940" w:rsidRPr="009F7F0D" w:rsidRDefault="00644940" w:rsidP="0007378A">
      <w:pPr>
        <w:jc w:val="both"/>
        <w:rPr>
          <w:rFonts w:ascii="Verdana" w:hAnsi="Verdana" w:cs="Arial"/>
          <w:color w:val="FF0000"/>
          <w:sz w:val="22"/>
          <w:szCs w:val="22"/>
          <w:lang w:val="es-ES_tradnl"/>
        </w:rPr>
      </w:pPr>
    </w:p>
    <w:p w14:paraId="3C531C56" w14:textId="22D3FF43"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4. </w:t>
      </w:r>
      <w:r w:rsidR="008409B1" w:rsidRPr="009F7F0D">
        <w:rPr>
          <w:rFonts w:ascii="Verdana" w:hAnsi="Verdana"/>
          <w:sz w:val="22"/>
          <w:szCs w:val="22"/>
        </w:rPr>
        <w:t>DEFINICIONES</w:t>
      </w:r>
      <w:bookmarkEnd w:id="2"/>
    </w:p>
    <w:p w14:paraId="618544C2" w14:textId="77777777" w:rsidR="00B77848" w:rsidRDefault="00B77848" w:rsidP="00F23033">
      <w:pPr>
        <w:jc w:val="both"/>
        <w:rPr>
          <w:rFonts w:ascii="Verdana" w:hAnsi="Verdana" w:cs="Arial"/>
          <w:color w:val="FF0000"/>
          <w:sz w:val="22"/>
          <w:szCs w:val="22"/>
          <w:lang w:val="es-ES_tradnl"/>
        </w:rPr>
      </w:pPr>
    </w:p>
    <w:p w14:paraId="05EE3EF3" w14:textId="230A5128" w:rsidR="00AC389F" w:rsidRPr="00DA019D" w:rsidRDefault="00641100" w:rsidP="00DA019D">
      <w:pPr>
        <w:autoSpaceDE w:val="0"/>
        <w:autoSpaceDN w:val="0"/>
        <w:adjustRightInd w:val="0"/>
        <w:spacing w:line="360" w:lineRule="auto"/>
        <w:jc w:val="both"/>
        <w:rPr>
          <w:rFonts w:ascii="Verdana" w:hAnsi="Verdana" w:cs="Arial"/>
          <w:spacing w:val="4"/>
          <w:sz w:val="22"/>
          <w:szCs w:val="22"/>
        </w:rPr>
      </w:pPr>
      <w:r w:rsidRPr="00DA019D">
        <w:rPr>
          <w:rFonts w:ascii="Verdana" w:hAnsi="Verdana" w:cs="Arial"/>
          <w:b/>
          <w:bCs/>
          <w:spacing w:val="4"/>
          <w:sz w:val="22"/>
          <w:szCs w:val="22"/>
        </w:rPr>
        <w:t>Administradores</w:t>
      </w:r>
      <w:r w:rsidRPr="00DA019D">
        <w:rPr>
          <w:rFonts w:ascii="Verdana" w:hAnsi="Verdana" w:cs="Arial"/>
          <w:spacing w:val="4"/>
          <w:sz w:val="22"/>
          <w:szCs w:val="22"/>
        </w:rPr>
        <w:t>: personas naturales o jurídicas que, de acuerdo con los estatutos y la ley, tienen la facultad de ejercer la gestión y dirección de la empresa. Los administradores están legalmente definidos en el artículo 22 de la Ley 222 de 1995.</w:t>
      </w:r>
    </w:p>
    <w:p w14:paraId="188A4257" w14:textId="77777777" w:rsidR="00641100" w:rsidRPr="00DA019D" w:rsidRDefault="00641100" w:rsidP="00DA019D">
      <w:pPr>
        <w:autoSpaceDE w:val="0"/>
        <w:autoSpaceDN w:val="0"/>
        <w:adjustRightInd w:val="0"/>
        <w:spacing w:line="360" w:lineRule="auto"/>
        <w:jc w:val="both"/>
        <w:rPr>
          <w:rFonts w:ascii="Verdana" w:hAnsi="Verdana" w:cs="Arial"/>
          <w:spacing w:val="4"/>
          <w:sz w:val="22"/>
          <w:szCs w:val="22"/>
        </w:rPr>
      </w:pPr>
    </w:p>
    <w:p w14:paraId="7EE2ECBA" w14:textId="1B18DB3F" w:rsidR="00641100" w:rsidRDefault="00641100" w:rsidP="00DA019D">
      <w:pPr>
        <w:autoSpaceDE w:val="0"/>
        <w:autoSpaceDN w:val="0"/>
        <w:adjustRightInd w:val="0"/>
        <w:spacing w:line="360" w:lineRule="auto"/>
        <w:jc w:val="both"/>
        <w:rPr>
          <w:rFonts w:ascii="Verdana" w:hAnsi="Verdana" w:cs="Arial"/>
          <w:spacing w:val="4"/>
          <w:sz w:val="22"/>
          <w:szCs w:val="22"/>
        </w:rPr>
      </w:pPr>
      <w:r w:rsidRPr="00DA019D">
        <w:rPr>
          <w:rFonts w:ascii="Verdana" w:hAnsi="Verdana" w:cs="Arial"/>
          <w:b/>
          <w:bCs/>
          <w:spacing w:val="4"/>
          <w:sz w:val="22"/>
          <w:szCs w:val="22"/>
        </w:rPr>
        <w:t>Conflicto de intereses</w:t>
      </w:r>
      <w:r w:rsidRPr="00DA019D">
        <w:rPr>
          <w:rFonts w:ascii="Verdana" w:hAnsi="Verdana" w:cs="Arial"/>
          <w:spacing w:val="4"/>
          <w:sz w:val="22"/>
          <w:szCs w:val="22"/>
        </w:rPr>
        <w:t>: de acuerdo con el Decreto 046 de 2024, el conflicto de interés se da cuando existe por parte del administrador un interés directo o indirecto que pueda comprometer su criterio o independencia en la toma de decisiones en el mejor interés de la sociedad, en lo relativo a uno o varios actos, en los que sea parte o esté involucrada la sociedad en la que dicho administrador ejerce sus funciones.</w:t>
      </w:r>
    </w:p>
    <w:p w14:paraId="1679B185" w14:textId="77777777" w:rsidR="00410347" w:rsidRDefault="00410347" w:rsidP="00DA019D">
      <w:pPr>
        <w:autoSpaceDE w:val="0"/>
        <w:autoSpaceDN w:val="0"/>
        <w:adjustRightInd w:val="0"/>
        <w:spacing w:line="360" w:lineRule="auto"/>
        <w:jc w:val="both"/>
        <w:rPr>
          <w:rFonts w:ascii="Verdana" w:hAnsi="Verdana" w:cs="Arial"/>
          <w:b/>
          <w:bCs/>
          <w:sz w:val="22"/>
          <w:szCs w:val="22"/>
        </w:rPr>
      </w:pPr>
    </w:p>
    <w:p w14:paraId="5D2FD691" w14:textId="7BBF6138" w:rsidR="007520CC" w:rsidRDefault="00410347" w:rsidP="00DA019D">
      <w:pPr>
        <w:autoSpaceDE w:val="0"/>
        <w:autoSpaceDN w:val="0"/>
        <w:adjustRightInd w:val="0"/>
        <w:spacing w:line="360" w:lineRule="auto"/>
        <w:jc w:val="both"/>
        <w:rPr>
          <w:rFonts w:ascii="Verdana" w:hAnsi="Verdana" w:cs="Arial"/>
          <w:b/>
          <w:bCs/>
          <w:sz w:val="22"/>
          <w:szCs w:val="22"/>
        </w:rPr>
      </w:pPr>
      <w:r>
        <w:rPr>
          <w:rFonts w:ascii="Verdana" w:hAnsi="Verdana" w:cs="Arial"/>
          <w:b/>
          <w:bCs/>
          <w:sz w:val="22"/>
          <w:szCs w:val="22"/>
        </w:rPr>
        <w:t xml:space="preserve">Ineficacia: </w:t>
      </w:r>
      <w:r w:rsidR="00952541" w:rsidRPr="00952541">
        <w:rPr>
          <w:rFonts w:ascii="Verdana" w:hAnsi="Verdana" w:cs="Arial"/>
          <w:sz w:val="22"/>
          <w:szCs w:val="22"/>
        </w:rPr>
        <w:t>sanción jurídica</w:t>
      </w:r>
      <w:r w:rsidR="00952541">
        <w:rPr>
          <w:rFonts w:ascii="Verdana" w:hAnsi="Verdana" w:cs="Arial"/>
          <w:sz w:val="22"/>
          <w:szCs w:val="22"/>
        </w:rPr>
        <w:t xml:space="preserve"> que </w:t>
      </w:r>
      <w:r w:rsidR="000726D5">
        <w:rPr>
          <w:rFonts w:ascii="Verdana" w:hAnsi="Verdana" w:cs="Arial"/>
          <w:sz w:val="22"/>
          <w:szCs w:val="22"/>
        </w:rPr>
        <w:t xml:space="preserve">se refiere a la falta de producción de efectos jurídicos de un acto o negocio </w:t>
      </w:r>
      <w:proofErr w:type="spellStart"/>
      <w:r w:rsidR="000726D5">
        <w:rPr>
          <w:rFonts w:ascii="Verdana" w:hAnsi="Verdana" w:cs="Arial"/>
          <w:sz w:val="22"/>
          <w:szCs w:val="22"/>
        </w:rPr>
        <w:t>juridico</w:t>
      </w:r>
      <w:proofErr w:type="spellEnd"/>
      <w:r w:rsidR="000726D5">
        <w:rPr>
          <w:rFonts w:ascii="Verdana" w:hAnsi="Verdana" w:cs="Arial"/>
          <w:sz w:val="22"/>
          <w:szCs w:val="22"/>
        </w:rPr>
        <w:t>.</w:t>
      </w:r>
    </w:p>
    <w:p w14:paraId="2AD27592" w14:textId="77777777" w:rsidR="00410347" w:rsidRDefault="00410347" w:rsidP="00DA019D">
      <w:pPr>
        <w:autoSpaceDE w:val="0"/>
        <w:autoSpaceDN w:val="0"/>
        <w:adjustRightInd w:val="0"/>
        <w:spacing w:line="360" w:lineRule="auto"/>
        <w:jc w:val="both"/>
        <w:rPr>
          <w:rFonts w:ascii="Verdana" w:hAnsi="Verdana" w:cs="Arial"/>
          <w:b/>
          <w:bCs/>
          <w:sz w:val="22"/>
          <w:szCs w:val="22"/>
        </w:rPr>
      </w:pPr>
    </w:p>
    <w:p w14:paraId="66D66C1A" w14:textId="6970FB5E" w:rsidR="00F57CF2" w:rsidRDefault="00F57CF2" w:rsidP="00DA019D">
      <w:pPr>
        <w:autoSpaceDE w:val="0"/>
        <w:autoSpaceDN w:val="0"/>
        <w:adjustRightInd w:val="0"/>
        <w:spacing w:line="360" w:lineRule="auto"/>
        <w:jc w:val="both"/>
        <w:rPr>
          <w:rFonts w:ascii="Verdana" w:hAnsi="Verdana" w:cs="Arial"/>
          <w:b/>
          <w:bCs/>
          <w:sz w:val="22"/>
          <w:szCs w:val="22"/>
        </w:rPr>
      </w:pPr>
      <w:r>
        <w:rPr>
          <w:rFonts w:ascii="Verdana" w:hAnsi="Verdana" w:cs="Arial"/>
          <w:b/>
          <w:bCs/>
          <w:sz w:val="22"/>
          <w:szCs w:val="22"/>
        </w:rPr>
        <w:t xml:space="preserve">Inexistencia: </w:t>
      </w:r>
      <w:r w:rsidRPr="00952541">
        <w:rPr>
          <w:rFonts w:ascii="Verdana" w:hAnsi="Verdana" w:cs="Arial"/>
          <w:sz w:val="22"/>
          <w:szCs w:val="22"/>
        </w:rPr>
        <w:t>sanción jurídica</w:t>
      </w:r>
      <w:r>
        <w:rPr>
          <w:rFonts w:ascii="Verdana" w:hAnsi="Verdana" w:cs="Arial"/>
          <w:sz w:val="22"/>
          <w:szCs w:val="22"/>
        </w:rPr>
        <w:t xml:space="preserve"> que se refiere a la </w:t>
      </w:r>
      <w:r w:rsidR="00FC005C">
        <w:rPr>
          <w:rFonts w:ascii="Verdana" w:hAnsi="Verdana" w:cs="Arial"/>
          <w:sz w:val="22"/>
          <w:szCs w:val="22"/>
        </w:rPr>
        <w:t>falta de existencia de un acto o negocio jurídico.</w:t>
      </w:r>
    </w:p>
    <w:p w14:paraId="6CA49421" w14:textId="77777777" w:rsidR="00FC005C" w:rsidRDefault="00FC005C" w:rsidP="00DA019D">
      <w:pPr>
        <w:autoSpaceDE w:val="0"/>
        <w:autoSpaceDN w:val="0"/>
        <w:adjustRightInd w:val="0"/>
        <w:spacing w:line="360" w:lineRule="auto"/>
        <w:jc w:val="both"/>
        <w:rPr>
          <w:rFonts w:ascii="Verdana" w:hAnsi="Verdana" w:cs="Arial"/>
          <w:b/>
          <w:bCs/>
          <w:sz w:val="22"/>
          <w:szCs w:val="22"/>
        </w:rPr>
      </w:pPr>
    </w:p>
    <w:p w14:paraId="3D1A238A" w14:textId="4C55B17D" w:rsidR="000726D5" w:rsidRDefault="000726D5" w:rsidP="00DA019D">
      <w:pPr>
        <w:autoSpaceDE w:val="0"/>
        <w:autoSpaceDN w:val="0"/>
        <w:adjustRightInd w:val="0"/>
        <w:spacing w:line="360" w:lineRule="auto"/>
        <w:jc w:val="both"/>
        <w:rPr>
          <w:rFonts w:ascii="Verdana" w:hAnsi="Verdana" w:cs="Arial"/>
          <w:b/>
          <w:bCs/>
          <w:sz w:val="22"/>
          <w:szCs w:val="22"/>
        </w:rPr>
      </w:pPr>
      <w:r>
        <w:rPr>
          <w:rFonts w:ascii="Verdana" w:hAnsi="Verdana" w:cs="Arial"/>
          <w:b/>
          <w:bCs/>
          <w:sz w:val="22"/>
          <w:szCs w:val="22"/>
        </w:rPr>
        <w:t>Nulidad:</w:t>
      </w:r>
      <w:r w:rsidR="00A718F6">
        <w:rPr>
          <w:rFonts w:ascii="Verdana" w:hAnsi="Verdana" w:cs="Arial"/>
          <w:b/>
          <w:bCs/>
          <w:sz w:val="22"/>
          <w:szCs w:val="22"/>
        </w:rPr>
        <w:t xml:space="preserve"> </w:t>
      </w:r>
      <w:r w:rsidR="00A718F6" w:rsidRPr="00952541">
        <w:rPr>
          <w:rFonts w:ascii="Verdana" w:hAnsi="Verdana" w:cs="Arial"/>
          <w:sz w:val="22"/>
          <w:szCs w:val="22"/>
        </w:rPr>
        <w:t>sanción jurídica</w:t>
      </w:r>
      <w:r w:rsidR="00A718F6">
        <w:rPr>
          <w:rFonts w:ascii="Verdana" w:hAnsi="Verdana" w:cs="Arial"/>
          <w:sz w:val="22"/>
          <w:szCs w:val="22"/>
        </w:rPr>
        <w:t xml:space="preserve"> que se refiere a la invalidez de un acto o negocio </w:t>
      </w:r>
      <w:proofErr w:type="spellStart"/>
      <w:r w:rsidR="00A718F6">
        <w:rPr>
          <w:rFonts w:ascii="Verdana" w:hAnsi="Verdana" w:cs="Arial"/>
          <w:sz w:val="22"/>
          <w:szCs w:val="22"/>
        </w:rPr>
        <w:t>juridico</w:t>
      </w:r>
      <w:proofErr w:type="spellEnd"/>
      <w:r w:rsidR="00A718F6">
        <w:rPr>
          <w:rFonts w:ascii="Verdana" w:hAnsi="Verdana" w:cs="Arial"/>
          <w:sz w:val="22"/>
          <w:szCs w:val="22"/>
        </w:rPr>
        <w:t xml:space="preserve"> </w:t>
      </w:r>
      <w:r w:rsidR="00D85439">
        <w:rPr>
          <w:rFonts w:ascii="Verdana" w:hAnsi="Verdana" w:cs="Arial"/>
          <w:sz w:val="22"/>
          <w:szCs w:val="22"/>
        </w:rPr>
        <w:t>por violación a la ley</w:t>
      </w:r>
      <w:r w:rsidR="00A718F6">
        <w:rPr>
          <w:rFonts w:ascii="Verdana" w:hAnsi="Verdana" w:cs="Arial"/>
          <w:sz w:val="22"/>
          <w:szCs w:val="22"/>
        </w:rPr>
        <w:t>.</w:t>
      </w:r>
    </w:p>
    <w:p w14:paraId="6DE214BE" w14:textId="77777777" w:rsidR="000726D5" w:rsidRDefault="000726D5" w:rsidP="00DA019D">
      <w:pPr>
        <w:autoSpaceDE w:val="0"/>
        <w:autoSpaceDN w:val="0"/>
        <w:adjustRightInd w:val="0"/>
        <w:spacing w:line="360" w:lineRule="auto"/>
        <w:jc w:val="both"/>
        <w:rPr>
          <w:rFonts w:ascii="Verdana" w:hAnsi="Verdana" w:cs="Arial"/>
          <w:b/>
          <w:bCs/>
          <w:sz w:val="22"/>
          <w:szCs w:val="22"/>
        </w:rPr>
      </w:pPr>
    </w:p>
    <w:p w14:paraId="451D5581" w14:textId="37EC2697" w:rsidR="00DA019D" w:rsidRDefault="00DA019D" w:rsidP="00DA019D">
      <w:pPr>
        <w:autoSpaceDE w:val="0"/>
        <w:autoSpaceDN w:val="0"/>
        <w:adjustRightInd w:val="0"/>
        <w:spacing w:line="360" w:lineRule="auto"/>
        <w:jc w:val="both"/>
        <w:rPr>
          <w:rFonts w:ascii="Verdana" w:hAnsi="Verdana" w:cs="Arial"/>
          <w:b/>
          <w:bCs/>
          <w:sz w:val="22"/>
          <w:szCs w:val="22"/>
        </w:rPr>
      </w:pPr>
      <w:r w:rsidRPr="00DA019D">
        <w:rPr>
          <w:rFonts w:ascii="Verdana" w:hAnsi="Verdana" w:cs="Arial"/>
          <w:b/>
          <w:bCs/>
          <w:sz w:val="22"/>
          <w:szCs w:val="22"/>
        </w:rPr>
        <w:t>Legitimación</w:t>
      </w:r>
      <w:r>
        <w:rPr>
          <w:rFonts w:ascii="Verdana" w:hAnsi="Verdana" w:cs="Arial"/>
          <w:b/>
          <w:bCs/>
          <w:sz w:val="22"/>
          <w:szCs w:val="22"/>
        </w:rPr>
        <w:t>:</w:t>
      </w:r>
      <w:r w:rsidR="007520CC">
        <w:rPr>
          <w:rFonts w:ascii="Verdana" w:hAnsi="Verdana" w:cs="Arial"/>
          <w:b/>
          <w:bCs/>
          <w:sz w:val="22"/>
          <w:szCs w:val="22"/>
        </w:rPr>
        <w:t xml:space="preserve"> </w:t>
      </w:r>
      <w:r w:rsidR="006071D4">
        <w:rPr>
          <w:rFonts w:ascii="Verdana" w:hAnsi="Verdana" w:cs="Arial"/>
          <w:sz w:val="22"/>
          <w:szCs w:val="22"/>
        </w:rPr>
        <w:t>alude a la capacidad legal que tiene una persona para iniciar una acción judicial.</w:t>
      </w:r>
      <w:r w:rsidR="00697CBB">
        <w:rPr>
          <w:rFonts w:ascii="Verdana" w:hAnsi="Verdana" w:cs="Arial"/>
          <w:b/>
          <w:bCs/>
          <w:sz w:val="22"/>
          <w:szCs w:val="22"/>
        </w:rPr>
        <w:t xml:space="preserve"> </w:t>
      </w:r>
    </w:p>
    <w:p w14:paraId="5FA41F66" w14:textId="77777777" w:rsidR="00DA019D" w:rsidRPr="00DA019D" w:rsidRDefault="00DA019D" w:rsidP="00DA019D">
      <w:pPr>
        <w:autoSpaceDE w:val="0"/>
        <w:autoSpaceDN w:val="0"/>
        <w:adjustRightInd w:val="0"/>
        <w:spacing w:line="360" w:lineRule="auto"/>
        <w:jc w:val="both"/>
        <w:rPr>
          <w:rFonts w:ascii="Verdana" w:hAnsi="Verdana" w:cs="Arial"/>
          <w:b/>
          <w:bCs/>
          <w:spacing w:val="4"/>
          <w:sz w:val="22"/>
          <w:szCs w:val="22"/>
        </w:rPr>
      </w:pPr>
    </w:p>
    <w:p w14:paraId="3C206683" w14:textId="4730C941" w:rsidR="00641100" w:rsidRDefault="00DA019D" w:rsidP="00DA019D">
      <w:pPr>
        <w:autoSpaceDE w:val="0"/>
        <w:autoSpaceDN w:val="0"/>
        <w:adjustRightInd w:val="0"/>
        <w:spacing w:line="360" w:lineRule="auto"/>
        <w:jc w:val="both"/>
        <w:rPr>
          <w:rFonts w:ascii="Verdana" w:hAnsi="Verdana" w:cs="Arial"/>
          <w:spacing w:val="4"/>
          <w:sz w:val="22"/>
          <w:szCs w:val="22"/>
        </w:rPr>
      </w:pPr>
      <w:r w:rsidRPr="00DA019D">
        <w:rPr>
          <w:rFonts w:ascii="Verdana" w:hAnsi="Verdana" w:cs="Arial"/>
          <w:b/>
          <w:bCs/>
          <w:spacing w:val="4"/>
          <w:sz w:val="22"/>
          <w:szCs w:val="22"/>
        </w:rPr>
        <w:t>Personificación o personalidad jurídica</w:t>
      </w:r>
      <w:r w:rsidRPr="00DA019D">
        <w:rPr>
          <w:rFonts w:ascii="Verdana" w:hAnsi="Verdana" w:cs="Arial"/>
          <w:spacing w:val="4"/>
          <w:sz w:val="22"/>
          <w:szCs w:val="22"/>
        </w:rPr>
        <w:t xml:space="preserve">: es la capacidad jurídica que se le otorga a una sociedad como titular de derechos y para contraer obligaciones. </w:t>
      </w:r>
    </w:p>
    <w:p w14:paraId="346FAF4F" w14:textId="77777777" w:rsidR="00DA019D" w:rsidRDefault="00DA019D" w:rsidP="00DA019D">
      <w:pPr>
        <w:autoSpaceDE w:val="0"/>
        <w:autoSpaceDN w:val="0"/>
        <w:adjustRightInd w:val="0"/>
        <w:spacing w:line="360" w:lineRule="auto"/>
        <w:jc w:val="both"/>
        <w:rPr>
          <w:rFonts w:ascii="Verdana" w:hAnsi="Verdana" w:cs="Arial"/>
          <w:spacing w:val="4"/>
          <w:sz w:val="22"/>
          <w:szCs w:val="22"/>
        </w:rPr>
      </w:pPr>
    </w:p>
    <w:p w14:paraId="7B0A4DEE" w14:textId="3AF55E00" w:rsidR="00EC5344" w:rsidRDefault="00B95AFE" w:rsidP="00DA019D">
      <w:pPr>
        <w:autoSpaceDE w:val="0"/>
        <w:autoSpaceDN w:val="0"/>
        <w:adjustRightInd w:val="0"/>
        <w:spacing w:line="360" w:lineRule="auto"/>
        <w:jc w:val="both"/>
        <w:rPr>
          <w:rFonts w:ascii="Verdana" w:hAnsi="Verdana" w:cs="Arial"/>
          <w:spacing w:val="4"/>
          <w:sz w:val="22"/>
          <w:szCs w:val="22"/>
        </w:rPr>
      </w:pPr>
      <w:r w:rsidRPr="00BE14AB">
        <w:rPr>
          <w:rFonts w:ascii="Verdana" w:hAnsi="Verdana" w:cs="Arial"/>
          <w:b/>
          <w:bCs/>
          <w:spacing w:val="4"/>
          <w:sz w:val="22"/>
          <w:szCs w:val="22"/>
        </w:rPr>
        <w:t>Responsabilidad</w:t>
      </w:r>
      <w:r>
        <w:rPr>
          <w:rFonts w:ascii="Verdana" w:hAnsi="Verdana" w:cs="Arial"/>
          <w:spacing w:val="4"/>
          <w:sz w:val="22"/>
          <w:szCs w:val="22"/>
        </w:rPr>
        <w:t xml:space="preserve">: </w:t>
      </w:r>
      <w:r w:rsidR="00DF7CC5">
        <w:rPr>
          <w:rFonts w:ascii="Verdana" w:hAnsi="Verdana" w:cs="Arial"/>
          <w:spacing w:val="4"/>
          <w:sz w:val="22"/>
          <w:szCs w:val="22"/>
        </w:rPr>
        <w:t xml:space="preserve">es la obligación que tiene una persona de reparar los daños ocasionados a otra. La responsabilidad está compuesta por </w:t>
      </w:r>
      <w:r w:rsidRPr="00B95AFE">
        <w:rPr>
          <w:rFonts w:ascii="Verdana" w:hAnsi="Verdana" w:cs="Arial"/>
          <w:spacing w:val="4"/>
          <w:sz w:val="22"/>
          <w:szCs w:val="22"/>
        </w:rPr>
        <w:t xml:space="preserve">un daño, un hecho </w:t>
      </w:r>
      <w:r w:rsidRPr="00B95AFE">
        <w:rPr>
          <w:rFonts w:ascii="Verdana" w:hAnsi="Verdana" w:cs="Arial"/>
          <w:spacing w:val="4"/>
          <w:sz w:val="22"/>
          <w:szCs w:val="22"/>
        </w:rPr>
        <w:lastRenderedPageBreak/>
        <w:t xml:space="preserve">generador del </w:t>
      </w:r>
      <w:r w:rsidR="00413AF9" w:rsidRPr="00B95AFE">
        <w:rPr>
          <w:rFonts w:ascii="Verdana" w:hAnsi="Verdana" w:cs="Arial"/>
          <w:spacing w:val="4"/>
          <w:sz w:val="22"/>
          <w:szCs w:val="22"/>
        </w:rPr>
        <w:t>daño</w:t>
      </w:r>
      <w:r w:rsidR="00EC5344">
        <w:rPr>
          <w:rFonts w:ascii="Verdana" w:hAnsi="Verdana" w:cs="Arial"/>
          <w:spacing w:val="4"/>
          <w:sz w:val="22"/>
          <w:szCs w:val="22"/>
        </w:rPr>
        <w:t xml:space="preserve"> bien sea por acción o por omisión</w:t>
      </w:r>
      <w:r w:rsidRPr="00B95AFE">
        <w:rPr>
          <w:rFonts w:ascii="Verdana" w:hAnsi="Verdana" w:cs="Arial"/>
          <w:spacing w:val="4"/>
          <w:sz w:val="22"/>
          <w:szCs w:val="22"/>
        </w:rPr>
        <w:t xml:space="preserve"> y un nexo causal entre el hecho y el daño. </w:t>
      </w:r>
    </w:p>
    <w:p w14:paraId="668B75C6" w14:textId="77777777" w:rsidR="00245D80" w:rsidRDefault="00245D80" w:rsidP="00DA019D">
      <w:pPr>
        <w:autoSpaceDE w:val="0"/>
        <w:autoSpaceDN w:val="0"/>
        <w:adjustRightInd w:val="0"/>
        <w:spacing w:line="360" w:lineRule="auto"/>
        <w:jc w:val="both"/>
        <w:rPr>
          <w:rFonts w:ascii="Verdana" w:hAnsi="Verdana" w:cs="Arial"/>
          <w:spacing w:val="4"/>
          <w:sz w:val="22"/>
          <w:szCs w:val="22"/>
        </w:rPr>
      </w:pPr>
    </w:p>
    <w:p w14:paraId="458335EA" w14:textId="080ECB70" w:rsidR="00410347" w:rsidRPr="00DA019D" w:rsidRDefault="00DA019D" w:rsidP="00DA019D">
      <w:pPr>
        <w:autoSpaceDE w:val="0"/>
        <w:autoSpaceDN w:val="0"/>
        <w:adjustRightInd w:val="0"/>
        <w:spacing w:line="360" w:lineRule="auto"/>
        <w:jc w:val="both"/>
        <w:rPr>
          <w:rFonts w:ascii="Verdana" w:hAnsi="Verdana" w:cs="Arial"/>
          <w:spacing w:val="4"/>
          <w:sz w:val="22"/>
          <w:szCs w:val="22"/>
        </w:rPr>
      </w:pPr>
      <w:r w:rsidRPr="00DA019D">
        <w:rPr>
          <w:rFonts w:ascii="Verdana" w:hAnsi="Verdana" w:cs="Arial"/>
          <w:b/>
          <w:bCs/>
          <w:spacing w:val="4"/>
          <w:sz w:val="22"/>
          <w:szCs w:val="22"/>
        </w:rPr>
        <w:t>Voto</w:t>
      </w:r>
      <w:r w:rsidRPr="00DA019D">
        <w:rPr>
          <w:rFonts w:ascii="Verdana" w:hAnsi="Verdana" w:cs="Arial"/>
          <w:spacing w:val="4"/>
          <w:sz w:val="22"/>
          <w:szCs w:val="22"/>
        </w:rPr>
        <w:t>: se refiere al ejercicio del derecho que tienen los asociados de una sociedad para tomar en la toma de decisiones.</w:t>
      </w:r>
    </w:p>
    <w:p w14:paraId="2E6CD46F" w14:textId="77777777" w:rsidR="00DA019D" w:rsidRPr="009F7F0D" w:rsidRDefault="00DA019D" w:rsidP="00F23033">
      <w:pPr>
        <w:jc w:val="both"/>
        <w:rPr>
          <w:rFonts w:ascii="Verdana" w:hAnsi="Verdana" w:cs="Arial"/>
          <w:color w:val="FF0000"/>
          <w:sz w:val="22"/>
          <w:szCs w:val="22"/>
          <w:lang w:val="es-ES_tradnl"/>
        </w:rPr>
      </w:pPr>
    </w:p>
    <w:p w14:paraId="3EB601B1" w14:textId="39EA88D0" w:rsidR="00FD7884"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5</w:t>
      </w:r>
      <w:r w:rsidR="00AC389F" w:rsidRPr="009F7F0D">
        <w:rPr>
          <w:rFonts w:ascii="Verdana" w:hAnsi="Verdana"/>
          <w:sz w:val="22"/>
          <w:szCs w:val="22"/>
        </w:rPr>
        <w:t xml:space="preserve">. </w:t>
      </w:r>
      <w:r w:rsidR="0007378A" w:rsidRPr="009F7F0D">
        <w:rPr>
          <w:rFonts w:ascii="Verdana" w:hAnsi="Verdana"/>
          <w:sz w:val="22"/>
          <w:szCs w:val="22"/>
        </w:rPr>
        <w:t>CONTENIDO</w:t>
      </w:r>
    </w:p>
    <w:p w14:paraId="27436289" w14:textId="77777777" w:rsidR="00A076EE" w:rsidRDefault="00A076EE" w:rsidP="00AC389F">
      <w:pPr>
        <w:jc w:val="both"/>
        <w:rPr>
          <w:rFonts w:ascii="Verdana" w:hAnsi="Verdana" w:cs="Arial"/>
          <w:color w:val="FF0000"/>
          <w:sz w:val="22"/>
          <w:szCs w:val="22"/>
        </w:rPr>
      </w:pPr>
    </w:p>
    <w:p w14:paraId="2B3F0B5E" w14:textId="0FDF06C0" w:rsidR="00100CB6" w:rsidRPr="00100CB6" w:rsidRDefault="00677C21" w:rsidP="00AC389F">
      <w:pPr>
        <w:jc w:val="both"/>
        <w:rPr>
          <w:rFonts w:ascii="Verdana" w:hAnsi="Verdana" w:cs="Arial"/>
          <w:b/>
          <w:bCs/>
          <w:sz w:val="22"/>
          <w:szCs w:val="22"/>
        </w:rPr>
      </w:pPr>
      <w:r w:rsidRPr="00677C21">
        <w:rPr>
          <w:rFonts w:ascii="Verdana" w:hAnsi="Verdana" w:cs="Arial"/>
          <w:b/>
          <w:bCs/>
          <w:sz w:val="22"/>
          <w:szCs w:val="22"/>
        </w:rPr>
        <w:t>5.1</w:t>
      </w:r>
      <w:r w:rsidR="00100CB6" w:rsidRPr="00677C21">
        <w:rPr>
          <w:rFonts w:ascii="Verdana" w:hAnsi="Verdana" w:cs="Arial"/>
          <w:b/>
          <w:bCs/>
          <w:sz w:val="22"/>
          <w:szCs w:val="22"/>
        </w:rPr>
        <w:t xml:space="preserve"> PRESENTACIÓN </w:t>
      </w:r>
      <w:r w:rsidR="00100CB6" w:rsidRPr="00100CB6">
        <w:rPr>
          <w:rFonts w:ascii="Verdana" w:hAnsi="Verdana" w:cs="Arial"/>
          <w:b/>
          <w:bCs/>
          <w:sz w:val="22"/>
          <w:szCs w:val="22"/>
        </w:rPr>
        <w:t xml:space="preserve">GENERAL: </w:t>
      </w:r>
    </w:p>
    <w:p w14:paraId="2904FF19" w14:textId="77777777" w:rsidR="00D81225" w:rsidRPr="00100CB6" w:rsidRDefault="00D81225" w:rsidP="00AC389F">
      <w:pPr>
        <w:jc w:val="both"/>
        <w:rPr>
          <w:rFonts w:ascii="Verdana" w:hAnsi="Verdana" w:cs="Arial"/>
          <w:b/>
          <w:bCs/>
          <w:sz w:val="22"/>
          <w:szCs w:val="22"/>
          <w:lang w:val="es-ES_tradnl"/>
        </w:rPr>
      </w:pPr>
    </w:p>
    <w:p w14:paraId="121904DE" w14:textId="4009EBEB" w:rsidR="0067341A" w:rsidRPr="00A868D7" w:rsidRDefault="0067341A" w:rsidP="0067341A">
      <w:pPr>
        <w:autoSpaceDE w:val="0"/>
        <w:autoSpaceDN w:val="0"/>
        <w:adjustRightInd w:val="0"/>
        <w:spacing w:line="360" w:lineRule="auto"/>
        <w:jc w:val="both"/>
        <w:rPr>
          <w:rFonts w:ascii="Verdana" w:hAnsi="Verdana" w:cs="Arial"/>
          <w:spacing w:val="4"/>
          <w:sz w:val="22"/>
          <w:szCs w:val="22"/>
        </w:rPr>
      </w:pPr>
      <w:r w:rsidRPr="00A868D7">
        <w:rPr>
          <w:rFonts w:ascii="Verdana" w:hAnsi="Verdana" w:cs="Arial"/>
          <w:spacing w:val="4"/>
          <w:sz w:val="22"/>
          <w:szCs w:val="22"/>
        </w:rPr>
        <w:t xml:space="preserve">A partir de lo dispuesto en el artículo 116 de la Constitución Política, el legislador colombiano se ha encargado de atribuir, en forma expresa y precisa, facultades jurisdiccionales a distintas autoridades administrativas. Es así como la Superintendencia de Sociedades, a través de la Delegatura </w:t>
      </w:r>
      <w:r w:rsidR="00641100">
        <w:rPr>
          <w:rFonts w:ascii="Verdana" w:hAnsi="Verdana" w:cs="Arial"/>
          <w:spacing w:val="4"/>
          <w:sz w:val="22"/>
          <w:szCs w:val="22"/>
        </w:rPr>
        <w:t>de</w:t>
      </w:r>
      <w:r w:rsidRPr="00A868D7">
        <w:rPr>
          <w:rFonts w:ascii="Verdana" w:hAnsi="Verdana" w:cs="Arial"/>
          <w:spacing w:val="4"/>
          <w:sz w:val="22"/>
          <w:szCs w:val="22"/>
        </w:rPr>
        <w:t xml:space="preserve"> Procedimientos Mercantiles, ha asumido un conjunto de competencias para tramitar distintas acciones judiciales de naturaleza societaria. En este sentido, la entidad cuenta con un importante y sofisticado foro de resolución de ‘conflictos societarios’, lo que comprende la posibilidad de conocer cualquier tipo de controversia que se presente entre sujetos que tengan la legitimación jurídica y el interés para hacer efectivas reglas de derecho societario colombiano en un proceso judicial.</w:t>
      </w:r>
    </w:p>
    <w:p w14:paraId="64DC6FB8" w14:textId="77777777" w:rsidR="0067341A" w:rsidRPr="00A868D7" w:rsidRDefault="0067341A" w:rsidP="0067341A">
      <w:pPr>
        <w:autoSpaceDE w:val="0"/>
        <w:autoSpaceDN w:val="0"/>
        <w:adjustRightInd w:val="0"/>
        <w:spacing w:line="360" w:lineRule="auto"/>
        <w:jc w:val="both"/>
        <w:rPr>
          <w:rFonts w:ascii="Verdana" w:hAnsi="Verdana" w:cs="Arial"/>
          <w:spacing w:val="4"/>
          <w:sz w:val="22"/>
          <w:szCs w:val="22"/>
        </w:rPr>
      </w:pPr>
    </w:p>
    <w:p w14:paraId="77B6D316" w14:textId="77777777" w:rsidR="0067341A" w:rsidRPr="00A868D7" w:rsidRDefault="0067341A" w:rsidP="0067341A">
      <w:pPr>
        <w:autoSpaceDE w:val="0"/>
        <w:autoSpaceDN w:val="0"/>
        <w:adjustRightInd w:val="0"/>
        <w:spacing w:line="360" w:lineRule="auto"/>
        <w:jc w:val="both"/>
        <w:rPr>
          <w:rFonts w:ascii="Verdana" w:hAnsi="Verdana" w:cs="Arial"/>
          <w:spacing w:val="4"/>
          <w:sz w:val="22"/>
          <w:szCs w:val="22"/>
        </w:rPr>
      </w:pPr>
      <w:r w:rsidRPr="00A868D7">
        <w:rPr>
          <w:rFonts w:ascii="Verdana" w:hAnsi="Verdana" w:cs="Arial"/>
          <w:spacing w:val="4"/>
          <w:sz w:val="22"/>
          <w:szCs w:val="22"/>
        </w:rPr>
        <w:t>Con el propósito de ilustrar en forma adecuada el importante espectro de facultades jurisdiccionales atribuidas a esta Superintendencia en materia societaria, la Delegatura para Procedimientos Mercantiles ha preparado la presente guía de litigio societario. A través de ella, los usuarios pueden consultar qué tipo de acciones judiciales pueden emprender según la controversia cuya resolución se requiere.</w:t>
      </w:r>
    </w:p>
    <w:p w14:paraId="3BCCECC0" w14:textId="77777777" w:rsidR="0067341A" w:rsidRDefault="0067341A" w:rsidP="0067341A">
      <w:pPr>
        <w:rPr>
          <w:rFonts w:ascii="Arial" w:hAnsi="Arial" w:cs="Arial"/>
          <w:lang w:val="es-MX" w:eastAsia="es-MX"/>
        </w:rPr>
      </w:pPr>
    </w:p>
    <w:p w14:paraId="51AAE314" w14:textId="77777777" w:rsidR="00AB549B" w:rsidRDefault="00AB549B" w:rsidP="0067341A">
      <w:pPr>
        <w:rPr>
          <w:rFonts w:ascii="Arial" w:hAnsi="Arial" w:cs="Arial"/>
          <w:lang w:val="es-MX" w:eastAsia="es-MX"/>
        </w:rPr>
      </w:pPr>
    </w:p>
    <w:p w14:paraId="701F49BA" w14:textId="77777777" w:rsidR="00AB549B" w:rsidRDefault="00AB549B" w:rsidP="0067341A">
      <w:pPr>
        <w:rPr>
          <w:rFonts w:ascii="Arial" w:hAnsi="Arial" w:cs="Arial"/>
          <w:lang w:val="es-MX" w:eastAsia="es-MX"/>
        </w:rPr>
      </w:pPr>
    </w:p>
    <w:p w14:paraId="551699CE" w14:textId="77777777" w:rsidR="00AB549B" w:rsidRDefault="00AB549B" w:rsidP="0067341A">
      <w:pPr>
        <w:rPr>
          <w:rFonts w:ascii="Arial" w:hAnsi="Arial" w:cs="Arial"/>
          <w:lang w:val="es-MX" w:eastAsia="es-MX"/>
        </w:rPr>
      </w:pPr>
    </w:p>
    <w:p w14:paraId="36DA2CC9" w14:textId="77777777" w:rsidR="00AB549B" w:rsidRPr="009D308D" w:rsidRDefault="00AB549B" w:rsidP="0067341A">
      <w:pPr>
        <w:rPr>
          <w:rFonts w:ascii="Arial" w:hAnsi="Arial" w:cs="Arial"/>
          <w:lang w:val="es-MX" w:eastAsia="es-MX"/>
        </w:rPr>
      </w:pPr>
    </w:p>
    <w:p w14:paraId="0E4D39AE" w14:textId="6C5D1CBA" w:rsidR="0067341A" w:rsidRPr="0048653D" w:rsidRDefault="001D1B3B" w:rsidP="001D1B3B">
      <w:pPr>
        <w:pStyle w:val="alignjustify"/>
        <w:outlineLvl w:val="0"/>
        <w:rPr>
          <w:rFonts w:ascii="Verdana" w:hAnsi="Verdana" w:cs="Arial"/>
          <w:b/>
          <w:bCs/>
          <w:smallCaps/>
          <w:sz w:val="22"/>
          <w:szCs w:val="22"/>
        </w:rPr>
      </w:pPr>
      <w:bookmarkStart w:id="3" w:name="_Toc47131460"/>
      <w:bookmarkStart w:id="4" w:name="_Toc47131466"/>
      <w:r w:rsidRPr="0048653D">
        <w:rPr>
          <w:rFonts w:ascii="Verdana" w:hAnsi="Verdana" w:cs="Arial"/>
          <w:b/>
          <w:bCs/>
          <w:smallCaps/>
          <w:sz w:val="22"/>
          <w:szCs w:val="22"/>
        </w:rPr>
        <w:lastRenderedPageBreak/>
        <w:t>5</w:t>
      </w:r>
      <w:r w:rsidR="00677C21" w:rsidRPr="0048653D">
        <w:rPr>
          <w:rFonts w:ascii="Verdana" w:hAnsi="Verdana" w:cs="Arial"/>
          <w:b/>
          <w:bCs/>
          <w:smallCaps/>
          <w:sz w:val="22"/>
          <w:szCs w:val="22"/>
        </w:rPr>
        <w:t>.2</w:t>
      </w:r>
      <w:r w:rsidRPr="0048653D">
        <w:rPr>
          <w:rFonts w:ascii="Verdana" w:hAnsi="Verdana" w:cs="Arial"/>
          <w:b/>
          <w:bCs/>
          <w:smallCaps/>
          <w:sz w:val="22"/>
          <w:szCs w:val="22"/>
        </w:rPr>
        <w:t xml:space="preserve"> </w:t>
      </w:r>
      <w:bookmarkEnd w:id="3"/>
      <w:bookmarkEnd w:id="4"/>
      <w:r w:rsidR="006D75B6" w:rsidRPr="00144B2A">
        <w:rPr>
          <w:rFonts w:ascii="Verdana" w:hAnsi="Verdana" w:cs="Arial"/>
          <w:b/>
          <w:bCs/>
          <w:smallCaps/>
        </w:rPr>
        <w:t>INVENTARIO DE ACCIONES JUDICIALES</w:t>
      </w:r>
    </w:p>
    <w:p w14:paraId="43AA8667" w14:textId="793B0E25" w:rsidR="0067341A" w:rsidRPr="00245D80" w:rsidRDefault="001456E5" w:rsidP="00257EA8">
      <w:pPr>
        <w:jc w:val="both"/>
        <w:rPr>
          <w:rFonts w:ascii="Arial" w:hAnsi="Arial" w:cs="Arial"/>
          <w:b/>
          <w:bCs/>
          <w:smallCaps/>
          <w:spacing w:val="4"/>
          <w:sz w:val="22"/>
          <w:szCs w:val="22"/>
        </w:rPr>
      </w:pPr>
      <w:r w:rsidRPr="006D75B6">
        <w:rPr>
          <w:rFonts w:ascii="Verdana" w:hAnsi="Verdana" w:cs="Arial"/>
          <w:b/>
          <w:bCs/>
          <w:smallCaps/>
          <w:sz w:val="22"/>
          <w:szCs w:val="22"/>
          <w:lang w:val="es-MX" w:eastAsia="es-MX"/>
        </w:rPr>
        <w:t>5.2.1</w:t>
      </w:r>
      <w:r>
        <w:rPr>
          <w:rFonts w:ascii="Arial" w:hAnsi="Arial" w:cs="Arial"/>
          <w:b/>
          <w:bCs/>
          <w:smallCaps/>
          <w:spacing w:val="4"/>
        </w:rPr>
        <w:t xml:space="preserve"> </w:t>
      </w:r>
      <w:r w:rsidR="006D75B6" w:rsidRPr="00245D80">
        <w:rPr>
          <w:rFonts w:ascii="Verdana" w:hAnsi="Verdana" w:cs="Arial"/>
          <w:b/>
          <w:bCs/>
          <w:smallCaps/>
          <w:spacing w:val="4"/>
          <w:sz w:val="22"/>
          <w:szCs w:val="22"/>
        </w:rPr>
        <w:t>ABUSO DEL DERECHO DE VOTO</w:t>
      </w:r>
      <w:r w:rsidR="006D75B6" w:rsidRPr="00245D80">
        <w:rPr>
          <w:rFonts w:ascii="Arial" w:hAnsi="Arial" w:cs="Arial"/>
          <w:b/>
          <w:bCs/>
          <w:smallCaps/>
          <w:spacing w:val="4"/>
          <w:sz w:val="22"/>
          <w:szCs w:val="22"/>
        </w:rPr>
        <w:t xml:space="preserve"> </w:t>
      </w:r>
    </w:p>
    <w:p w14:paraId="30B6B5BB" w14:textId="77777777" w:rsidR="00641100" w:rsidRPr="00245D80" w:rsidRDefault="00641100" w:rsidP="00257EA8">
      <w:pPr>
        <w:jc w:val="both"/>
        <w:rPr>
          <w:rFonts w:ascii="Arial" w:hAnsi="Arial" w:cs="Arial"/>
          <w:i/>
          <w:iCs/>
          <w:spacing w:val="4"/>
        </w:rPr>
      </w:pPr>
    </w:p>
    <w:p w14:paraId="33FCAE1A" w14:textId="77777777" w:rsidR="00641100" w:rsidRPr="009D308D" w:rsidRDefault="00641100" w:rsidP="00257EA8">
      <w:pPr>
        <w:jc w:val="both"/>
        <w:rPr>
          <w:rFonts w:ascii="Arial" w:hAnsi="Arial" w:cs="Arial"/>
          <w:i/>
          <w:iCs/>
          <w:spacing w:val="4"/>
        </w:rPr>
      </w:pPr>
    </w:p>
    <w:p w14:paraId="25A5C06E" w14:textId="15004E63" w:rsidR="0067341A" w:rsidRDefault="000F3A24" w:rsidP="00257EA8">
      <w:pPr>
        <w:jc w:val="both"/>
        <w:rPr>
          <w:rFonts w:ascii="Verdana" w:hAnsi="Verdana" w:cs="Arial"/>
          <w:b/>
          <w:bCs/>
          <w:spacing w:val="4"/>
          <w:sz w:val="22"/>
          <w:szCs w:val="22"/>
        </w:rPr>
      </w:pPr>
      <w:r w:rsidRPr="00257EA8">
        <w:rPr>
          <w:rFonts w:ascii="Verdana" w:hAnsi="Verdana" w:cs="Arial"/>
          <w:b/>
          <w:bCs/>
          <w:spacing w:val="4"/>
          <w:sz w:val="22"/>
          <w:szCs w:val="22"/>
        </w:rPr>
        <w:t xml:space="preserve">5.2.1.1 </w:t>
      </w:r>
      <w:r w:rsidR="0067341A" w:rsidRPr="00257EA8">
        <w:rPr>
          <w:rFonts w:ascii="Verdana" w:hAnsi="Verdana" w:cs="Arial"/>
          <w:b/>
          <w:bCs/>
          <w:spacing w:val="4"/>
          <w:sz w:val="22"/>
          <w:szCs w:val="22"/>
        </w:rPr>
        <w:t>Descripción general</w:t>
      </w:r>
    </w:p>
    <w:p w14:paraId="65E1435F" w14:textId="77777777" w:rsidR="00257EA8" w:rsidRPr="00257EA8" w:rsidRDefault="00257EA8" w:rsidP="00257EA8">
      <w:pPr>
        <w:jc w:val="both"/>
        <w:rPr>
          <w:rFonts w:ascii="Verdana" w:hAnsi="Verdana" w:cs="Arial"/>
          <w:b/>
          <w:bCs/>
          <w:spacing w:val="4"/>
          <w:sz w:val="22"/>
          <w:szCs w:val="22"/>
        </w:rPr>
      </w:pPr>
    </w:p>
    <w:p w14:paraId="62D3F308" w14:textId="77777777" w:rsidR="0067341A" w:rsidRPr="00257EA8" w:rsidRDefault="0067341A" w:rsidP="00224415">
      <w:pPr>
        <w:spacing w:line="360" w:lineRule="auto"/>
        <w:jc w:val="both"/>
        <w:rPr>
          <w:rFonts w:ascii="Verdana" w:hAnsi="Verdana" w:cs="Arial"/>
          <w:sz w:val="22"/>
          <w:szCs w:val="22"/>
        </w:rPr>
      </w:pPr>
      <w:r w:rsidRPr="00257EA8">
        <w:rPr>
          <w:rFonts w:ascii="Verdana" w:hAnsi="Verdana" w:cs="Arial"/>
          <w:sz w:val="22"/>
          <w:szCs w:val="22"/>
        </w:rPr>
        <w:t xml:space="preserve">Mediante esta acción, la Superintendencia de Sociedades puede conocer procesos en los que se debate el ejercicio abusivo del derecho de voto por parte de algún asociado. Para tal efecto, </w:t>
      </w:r>
      <w:r w:rsidRPr="00257EA8">
        <w:rPr>
          <w:rFonts w:ascii="Verdana" w:hAnsi="Verdana" w:cs="Arial"/>
          <w:color w:val="000000"/>
          <w:sz w:val="22"/>
          <w:szCs w:val="22"/>
        </w:rPr>
        <w:t>debe acreditarse que el ejercicio de esa prerrogativa le causó perjuicios a la compañía o alguno de los asociados, así como el propósito ilegítimo de causar tales</w:t>
      </w:r>
      <w:r w:rsidRPr="00247B86">
        <w:rPr>
          <w:rFonts w:ascii="Arial" w:hAnsi="Arial" w:cs="Arial"/>
          <w:color w:val="000000"/>
        </w:rPr>
        <w:t xml:space="preserve"> </w:t>
      </w:r>
      <w:r w:rsidRPr="00257EA8">
        <w:rPr>
          <w:rFonts w:ascii="Verdana" w:hAnsi="Verdana" w:cs="Arial"/>
          <w:color w:val="000000"/>
          <w:sz w:val="22"/>
          <w:szCs w:val="22"/>
        </w:rPr>
        <w:t>perjuicios o de obtener una ventaja injustificada.</w:t>
      </w:r>
      <w:r w:rsidRPr="00257EA8">
        <w:rPr>
          <w:rFonts w:ascii="Verdana" w:hAnsi="Verdana" w:cs="Arial"/>
          <w:sz w:val="22"/>
          <w:szCs w:val="22"/>
        </w:rPr>
        <w:t xml:space="preserve"> Según lo establecido en los artículos 43 de la Ley 1258 de 2008 y 24 del Código General del Proceso, esta acción es procedente en hipótesis de abuso de mayoría, minoría y paridad. Además de la nulidad absoluta de las determinaciones controvertidas, podrá solicitarse la correspondiente indemnización de perjuicios.</w:t>
      </w:r>
    </w:p>
    <w:p w14:paraId="781F6726" w14:textId="77777777" w:rsidR="0067341A" w:rsidRPr="009D308D" w:rsidRDefault="0067341A" w:rsidP="0067341A">
      <w:pPr>
        <w:spacing w:line="360" w:lineRule="auto"/>
        <w:jc w:val="both"/>
        <w:rPr>
          <w:rFonts w:ascii="Arial" w:hAnsi="Arial" w:cs="Arial"/>
          <w:i/>
          <w:iCs/>
        </w:rPr>
      </w:pPr>
    </w:p>
    <w:p w14:paraId="67C51690" w14:textId="1B7A9431" w:rsidR="0067341A" w:rsidRPr="00257EA8" w:rsidRDefault="00224415" w:rsidP="0067341A">
      <w:pPr>
        <w:spacing w:line="360" w:lineRule="auto"/>
        <w:jc w:val="both"/>
        <w:rPr>
          <w:rFonts w:ascii="Verdana" w:hAnsi="Verdana" w:cs="Arial"/>
          <w:b/>
          <w:bCs/>
          <w:sz w:val="22"/>
          <w:szCs w:val="22"/>
        </w:rPr>
      </w:pPr>
      <w:r w:rsidRPr="006D75B6">
        <w:rPr>
          <w:rFonts w:ascii="Verdana" w:hAnsi="Verdana" w:cs="Arial"/>
          <w:b/>
          <w:bCs/>
          <w:spacing w:val="4"/>
          <w:sz w:val="22"/>
          <w:szCs w:val="22"/>
        </w:rPr>
        <w:t>5.2.</w:t>
      </w:r>
      <w:r w:rsidR="0026769D" w:rsidRPr="006D75B6">
        <w:rPr>
          <w:rFonts w:ascii="Verdana" w:hAnsi="Verdana" w:cs="Arial"/>
          <w:b/>
          <w:bCs/>
          <w:spacing w:val="4"/>
          <w:sz w:val="22"/>
          <w:szCs w:val="22"/>
        </w:rPr>
        <w:t>1</w:t>
      </w:r>
      <w:r w:rsidRPr="006D75B6">
        <w:rPr>
          <w:rFonts w:ascii="Verdana" w:hAnsi="Verdana" w:cs="Arial"/>
          <w:b/>
          <w:bCs/>
          <w:spacing w:val="4"/>
          <w:sz w:val="22"/>
          <w:szCs w:val="22"/>
        </w:rPr>
        <w:t>.2</w:t>
      </w:r>
      <w:r w:rsidRPr="00257EA8">
        <w:rPr>
          <w:rFonts w:ascii="Verdana" w:hAnsi="Verdana" w:cs="Arial"/>
          <w:b/>
          <w:bCs/>
          <w:sz w:val="22"/>
          <w:szCs w:val="22"/>
        </w:rPr>
        <w:t xml:space="preserve"> </w:t>
      </w:r>
      <w:r w:rsidR="0067341A" w:rsidRPr="00257EA8">
        <w:rPr>
          <w:rFonts w:ascii="Verdana" w:hAnsi="Verdana" w:cs="Arial"/>
          <w:b/>
          <w:bCs/>
          <w:sz w:val="22"/>
          <w:szCs w:val="22"/>
        </w:rPr>
        <w:t>Fundamento Jurídico</w:t>
      </w:r>
    </w:p>
    <w:p w14:paraId="0CDE4BDA" w14:textId="77777777" w:rsidR="00224415" w:rsidRPr="00257EA8" w:rsidRDefault="00224415" w:rsidP="00224415">
      <w:pPr>
        <w:spacing w:line="360" w:lineRule="auto"/>
        <w:jc w:val="both"/>
        <w:rPr>
          <w:rFonts w:ascii="Verdana" w:hAnsi="Verdana" w:cs="Arial"/>
          <w:sz w:val="22"/>
          <w:szCs w:val="22"/>
        </w:rPr>
      </w:pPr>
    </w:p>
    <w:p w14:paraId="0EFF7299" w14:textId="4A828969" w:rsidR="0067341A" w:rsidRPr="00257EA8" w:rsidRDefault="0067341A" w:rsidP="00224415">
      <w:pPr>
        <w:spacing w:line="360" w:lineRule="auto"/>
        <w:jc w:val="both"/>
        <w:rPr>
          <w:rFonts w:ascii="Verdana" w:hAnsi="Verdana" w:cs="Arial"/>
          <w:sz w:val="22"/>
          <w:szCs w:val="22"/>
        </w:rPr>
      </w:pPr>
      <w:r w:rsidRPr="00257EA8">
        <w:rPr>
          <w:rFonts w:ascii="Verdana" w:hAnsi="Verdana" w:cs="Arial"/>
          <w:sz w:val="22"/>
          <w:szCs w:val="22"/>
        </w:rPr>
        <w:t>Código General del Proceso, artículo 24, numeral 5º, literal e). ‘La Superintendencia de Sociedades tendrá facultades jurisdiccionales en materia societaria, referidas a […] la declaratoria de nulidad absoluta de la determinación adoptada en abuso del derecho por ilicitud del objeto y la de indemnización de perjuicios, en los casos de abuso de mayoría, como en los de minoría y de paridad, cuando los accionistas no ejerzan su derecho a voto en interés de la compañía con el propósito de causar daño a la compañía o a otros accionistas o de obtener para sí o para un tercero ventaja injustificada, así como aquel voto del que pueda resultar un perjuicio para la compañía o para los otros accionistas’.</w:t>
      </w:r>
    </w:p>
    <w:p w14:paraId="78DC1AB7" w14:textId="77777777" w:rsidR="0067341A" w:rsidRDefault="0067341A" w:rsidP="0067341A">
      <w:pPr>
        <w:spacing w:line="360" w:lineRule="auto"/>
        <w:ind w:firstLine="708"/>
        <w:jc w:val="both"/>
        <w:rPr>
          <w:rFonts w:ascii="Arial" w:hAnsi="Arial" w:cs="Arial"/>
        </w:rPr>
      </w:pPr>
    </w:p>
    <w:p w14:paraId="4170C1E0" w14:textId="01C39E17" w:rsidR="0067341A" w:rsidRPr="00257EA8" w:rsidRDefault="0067341A" w:rsidP="0067341A">
      <w:pPr>
        <w:spacing w:line="360" w:lineRule="auto"/>
        <w:jc w:val="both"/>
        <w:rPr>
          <w:rFonts w:ascii="Verdana" w:hAnsi="Verdana" w:cs="Arial"/>
          <w:sz w:val="22"/>
          <w:szCs w:val="22"/>
        </w:rPr>
      </w:pPr>
      <w:r w:rsidRPr="00257EA8">
        <w:rPr>
          <w:rFonts w:ascii="Verdana" w:hAnsi="Verdana" w:cs="Arial"/>
          <w:sz w:val="22"/>
          <w:szCs w:val="22"/>
        </w:rPr>
        <w:t xml:space="preserve">Por su parte, la Ley 1258 de 2008, en su artículo 43 dispone que ‘Los accionistas deberán ejercer el derecho de voto en el interés de la compañía. Se considerará abusivo </w:t>
      </w:r>
      <w:r w:rsidRPr="00257EA8">
        <w:rPr>
          <w:rFonts w:ascii="Verdana" w:hAnsi="Verdana" w:cs="Arial"/>
          <w:sz w:val="22"/>
          <w:szCs w:val="22"/>
        </w:rPr>
        <w:lastRenderedPageBreak/>
        <w:t>el voto ejercido con el propósito de causar daño a la compañía o a otros accionistas o de obtener para sí o para una tercera ventaja injustificada, así como aquel voto del que pueda resultar un perjuicio para la compañía o para los otros accionistas. Quien abuse de sus derechos de accionista en las determinaciones adoptadas en la asamblea, responderá por los daños que ocasione, sin perjuicio que la Superintendencia de Sociedades pueda declarar la nulidad absoluta de la determinación adoptada, por la ilicitud del objeto. La acción de nulidad absoluta y la de indemnización de perjuicios de la determinación respectiva podrán ejercerse tanto en los casos de abuso de mayoría, como en los de minoría y de paridad’.</w:t>
      </w:r>
    </w:p>
    <w:p w14:paraId="014E3BDD" w14:textId="77777777" w:rsidR="00641100" w:rsidRPr="009D308D" w:rsidRDefault="00641100" w:rsidP="0067341A">
      <w:pPr>
        <w:spacing w:line="360" w:lineRule="auto"/>
        <w:jc w:val="both"/>
        <w:rPr>
          <w:rFonts w:ascii="Arial" w:hAnsi="Arial" w:cs="Arial"/>
        </w:rPr>
      </w:pPr>
    </w:p>
    <w:p w14:paraId="7D629CF4" w14:textId="352D34B1" w:rsidR="0067341A" w:rsidRPr="00C160F2" w:rsidRDefault="0012691E" w:rsidP="0067341A">
      <w:pPr>
        <w:spacing w:line="360" w:lineRule="auto"/>
        <w:jc w:val="both"/>
        <w:rPr>
          <w:rFonts w:ascii="Verdana" w:hAnsi="Verdana" w:cs="Arial"/>
          <w:b/>
          <w:bCs/>
          <w:sz w:val="22"/>
          <w:szCs w:val="22"/>
        </w:rPr>
      </w:pPr>
      <w:r w:rsidRPr="00C160F2">
        <w:rPr>
          <w:rFonts w:ascii="Verdana" w:hAnsi="Verdana" w:cs="Arial"/>
          <w:b/>
          <w:bCs/>
          <w:sz w:val="22"/>
          <w:szCs w:val="22"/>
        </w:rPr>
        <w:t>5.2.</w:t>
      </w:r>
      <w:r w:rsidR="00640F9D" w:rsidRPr="00C160F2">
        <w:rPr>
          <w:rFonts w:ascii="Verdana" w:hAnsi="Verdana" w:cs="Arial"/>
          <w:b/>
          <w:bCs/>
          <w:sz w:val="22"/>
          <w:szCs w:val="22"/>
        </w:rPr>
        <w:t>1</w:t>
      </w:r>
      <w:r w:rsidRPr="00C160F2">
        <w:rPr>
          <w:rFonts w:ascii="Verdana" w:hAnsi="Verdana" w:cs="Arial"/>
          <w:b/>
          <w:bCs/>
          <w:sz w:val="22"/>
          <w:szCs w:val="22"/>
        </w:rPr>
        <w:t xml:space="preserve">.3 </w:t>
      </w:r>
      <w:r w:rsidR="0067341A" w:rsidRPr="00C160F2">
        <w:rPr>
          <w:rFonts w:ascii="Verdana" w:hAnsi="Verdana" w:cs="Arial"/>
          <w:b/>
          <w:bCs/>
          <w:sz w:val="22"/>
          <w:szCs w:val="22"/>
        </w:rPr>
        <w:t>Trámite Procesal</w:t>
      </w:r>
    </w:p>
    <w:p w14:paraId="697E5B93" w14:textId="77777777" w:rsidR="00DB041F" w:rsidRPr="000F0D64" w:rsidRDefault="00DB041F" w:rsidP="00DB041F">
      <w:pPr>
        <w:spacing w:line="360" w:lineRule="auto"/>
        <w:jc w:val="both"/>
        <w:rPr>
          <w:rFonts w:ascii="Verdana" w:hAnsi="Verdana" w:cs="Arial"/>
          <w:b/>
          <w:bCs/>
          <w:i/>
          <w:iCs/>
          <w:sz w:val="22"/>
          <w:szCs w:val="22"/>
        </w:rPr>
      </w:pPr>
    </w:p>
    <w:p w14:paraId="0A7F0232" w14:textId="52BD9522" w:rsidR="0067341A" w:rsidRPr="00C160F2" w:rsidRDefault="0067341A" w:rsidP="0067341A">
      <w:pPr>
        <w:spacing w:line="360" w:lineRule="auto"/>
        <w:jc w:val="both"/>
        <w:rPr>
          <w:rFonts w:ascii="Verdana" w:hAnsi="Verdana" w:cs="Arial"/>
          <w:sz w:val="22"/>
          <w:szCs w:val="22"/>
        </w:rPr>
      </w:pPr>
      <w:r w:rsidRPr="000F0D64">
        <w:rPr>
          <w:rFonts w:ascii="Verdana" w:hAnsi="Verdana" w:cs="Arial"/>
          <w:sz w:val="22"/>
          <w:szCs w:val="22"/>
        </w:rPr>
        <w:t>Por virtud de lo previsto en el parágrafo tercero del artículo 24 del Código General del Proceso</w:t>
      </w:r>
      <w:r w:rsidR="002671B9">
        <w:rPr>
          <w:rFonts w:ascii="Verdana" w:hAnsi="Verdana" w:cs="Arial"/>
          <w:sz w:val="22"/>
          <w:szCs w:val="22"/>
        </w:rPr>
        <w:t xml:space="preserve">, el artículo 43 de la ley 1258 y el artículo 390 y </w:t>
      </w:r>
      <w:proofErr w:type="spellStart"/>
      <w:r w:rsidR="002671B9">
        <w:rPr>
          <w:rFonts w:ascii="Verdana" w:hAnsi="Verdana" w:cs="Arial"/>
          <w:sz w:val="22"/>
          <w:szCs w:val="22"/>
        </w:rPr>
        <w:t>ss</w:t>
      </w:r>
      <w:proofErr w:type="spellEnd"/>
      <w:r w:rsidRPr="000F0D64">
        <w:rPr>
          <w:rFonts w:ascii="Verdana" w:hAnsi="Verdana" w:cs="Arial"/>
          <w:sz w:val="22"/>
          <w:szCs w:val="22"/>
        </w:rPr>
        <w:t xml:space="preserve"> del Código General del Proceso, esta acción debe surtirse por la vía del proceso verbal</w:t>
      </w:r>
      <w:r w:rsidR="002671B9">
        <w:rPr>
          <w:rFonts w:ascii="Verdana" w:hAnsi="Verdana" w:cs="Arial"/>
          <w:sz w:val="22"/>
          <w:szCs w:val="22"/>
        </w:rPr>
        <w:t xml:space="preserve"> sumario</w:t>
      </w:r>
      <w:r w:rsidRPr="000F0D64">
        <w:rPr>
          <w:rFonts w:ascii="Verdana" w:hAnsi="Verdana" w:cs="Arial"/>
          <w:sz w:val="22"/>
          <w:szCs w:val="22"/>
        </w:rPr>
        <w:t>.</w:t>
      </w:r>
    </w:p>
    <w:p w14:paraId="39398DD1" w14:textId="77777777" w:rsidR="0067341A" w:rsidRPr="00C160F2" w:rsidRDefault="0067341A" w:rsidP="00AC389F">
      <w:pPr>
        <w:jc w:val="both"/>
        <w:rPr>
          <w:rFonts w:ascii="Arial" w:hAnsi="Arial" w:cs="Arial"/>
          <w:b/>
          <w:bCs/>
        </w:rPr>
      </w:pPr>
    </w:p>
    <w:p w14:paraId="07665CB7" w14:textId="095B02FC" w:rsidR="0067341A" w:rsidRPr="005B441E" w:rsidRDefault="00C160F2" w:rsidP="0067341A">
      <w:pPr>
        <w:spacing w:line="360" w:lineRule="auto"/>
        <w:jc w:val="both"/>
        <w:rPr>
          <w:rFonts w:ascii="Verdana" w:hAnsi="Verdana" w:cs="Arial"/>
          <w:b/>
          <w:bCs/>
        </w:rPr>
      </w:pPr>
      <w:r w:rsidRPr="005B441E">
        <w:rPr>
          <w:rFonts w:ascii="Verdana" w:hAnsi="Verdana" w:cs="Arial"/>
          <w:b/>
          <w:bCs/>
        </w:rPr>
        <w:t xml:space="preserve">5.2.1.4 </w:t>
      </w:r>
      <w:r w:rsidR="0067341A" w:rsidRPr="005B441E">
        <w:rPr>
          <w:rFonts w:ascii="Verdana" w:hAnsi="Verdana" w:cs="Arial"/>
          <w:b/>
          <w:bCs/>
        </w:rPr>
        <w:t>Jurisprudencia</w:t>
      </w:r>
    </w:p>
    <w:p w14:paraId="0303CD73" w14:textId="77777777" w:rsidR="00C160F2" w:rsidRPr="00C160F2" w:rsidRDefault="00C160F2" w:rsidP="0067341A">
      <w:pPr>
        <w:spacing w:line="360" w:lineRule="auto"/>
        <w:jc w:val="both"/>
        <w:rPr>
          <w:rFonts w:ascii="Arial" w:hAnsi="Arial" w:cs="Arial"/>
          <w:b/>
          <w:bCs/>
        </w:rPr>
      </w:pPr>
    </w:p>
    <w:tbl>
      <w:tblPr>
        <w:tblW w:w="4940"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30"/>
        <w:gridCol w:w="1468"/>
        <w:gridCol w:w="6615"/>
      </w:tblGrid>
      <w:tr w:rsidR="0067341A" w:rsidRPr="005D272D" w14:paraId="2484FDB1" w14:textId="77777777" w:rsidTr="00663F8C">
        <w:tc>
          <w:tcPr>
            <w:tcW w:w="677" w:type="pct"/>
            <w:shd w:val="clear" w:color="auto" w:fill="962D46"/>
          </w:tcPr>
          <w:p w14:paraId="7CFF856F" w14:textId="77777777" w:rsidR="0067341A" w:rsidRPr="002E1954" w:rsidRDefault="0067341A" w:rsidP="00DA378C">
            <w:pPr>
              <w:widowControl w:val="0"/>
              <w:autoSpaceDE w:val="0"/>
              <w:autoSpaceDN w:val="0"/>
              <w:jc w:val="center"/>
              <w:rPr>
                <w:rFonts w:ascii="Verdana" w:hAnsi="Verdana" w:cs="Arial"/>
                <w:b/>
                <w:color w:val="FFFFFF"/>
                <w:sz w:val="20"/>
                <w:szCs w:val="20"/>
                <w:lang w:val="es-CO"/>
              </w:rPr>
            </w:pPr>
            <w:r w:rsidRPr="002E1954">
              <w:rPr>
                <w:rFonts w:ascii="Verdana" w:hAnsi="Verdana" w:cs="Arial"/>
                <w:b/>
                <w:color w:val="FFFFFF"/>
                <w:sz w:val="20"/>
                <w:szCs w:val="20"/>
                <w:lang w:val="es-CO"/>
              </w:rPr>
              <w:t>Caso</w:t>
            </w:r>
          </w:p>
        </w:tc>
        <w:tc>
          <w:tcPr>
            <w:tcW w:w="747" w:type="pct"/>
            <w:shd w:val="clear" w:color="auto" w:fill="962D46"/>
          </w:tcPr>
          <w:p w14:paraId="71AEF2ED" w14:textId="77777777" w:rsidR="0067341A" w:rsidRPr="002E1954" w:rsidRDefault="0067341A" w:rsidP="00DA378C">
            <w:pPr>
              <w:widowControl w:val="0"/>
              <w:autoSpaceDE w:val="0"/>
              <w:autoSpaceDN w:val="0"/>
              <w:jc w:val="center"/>
              <w:rPr>
                <w:rFonts w:ascii="Verdana" w:hAnsi="Verdana" w:cs="Arial"/>
                <w:b/>
                <w:color w:val="FFFFFF"/>
                <w:sz w:val="20"/>
                <w:szCs w:val="20"/>
                <w:lang w:val="es-CO"/>
              </w:rPr>
            </w:pPr>
            <w:r w:rsidRPr="002E1954">
              <w:rPr>
                <w:rFonts w:ascii="Verdana" w:hAnsi="Verdana" w:cs="Arial"/>
                <w:b/>
                <w:color w:val="FFFFFF"/>
                <w:sz w:val="20"/>
                <w:szCs w:val="20"/>
                <w:lang w:val="es-CO"/>
              </w:rPr>
              <w:t>Asunto</w:t>
            </w:r>
          </w:p>
        </w:tc>
        <w:tc>
          <w:tcPr>
            <w:tcW w:w="3576" w:type="pct"/>
            <w:shd w:val="clear" w:color="auto" w:fill="962D46"/>
          </w:tcPr>
          <w:p w14:paraId="5FAA54D3" w14:textId="77777777" w:rsidR="0067341A" w:rsidRPr="002E1954" w:rsidRDefault="0067341A" w:rsidP="00DA378C">
            <w:pPr>
              <w:widowControl w:val="0"/>
              <w:autoSpaceDE w:val="0"/>
              <w:autoSpaceDN w:val="0"/>
              <w:jc w:val="center"/>
              <w:rPr>
                <w:rFonts w:ascii="Verdana" w:hAnsi="Verdana" w:cs="Arial"/>
                <w:b/>
                <w:color w:val="FFFFFF"/>
                <w:sz w:val="20"/>
                <w:szCs w:val="20"/>
                <w:lang w:val="es-CO"/>
              </w:rPr>
            </w:pPr>
            <w:r w:rsidRPr="002E1954">
              <w:rPr>
                <w:rFonts w:ascii="Verdana" w:hAnsi="Verdana" w:cs="Arial"/>
                <w:b/>
                <w:color w:val="FFFFFF"/>
                <w:sz w:val="20"/>
                <w:szCs w:val="20"/>
                <w:lang w:val="es-CO"/>
              </w:rPr>
              <w:t>Extracto</w:t>
            </w:r>
          </w:p>
        </w:tc>
      </w:tr>
      <w:tr w:rsidR="0067341A" w:rsidRPr="005D272D" w14:paraId="738B3B15" w14:textId="77777777" w:rsidTr="00DA378C">
        <w:tc>
          <w:tcPr>
            <w:tcW w:w="677" w:type="pct"/>
            <w:shd w:val="clear" w:color="auto" w:fill="auto"/>
            <w:vAlign w:val="center"/>
          </w:tcPr>
          <w:p w14:paraId="1D053D61"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Édgar Orlando</w:t>
            </w:r>
          </w:p>
          <w:p w14:paraId="6D10700D"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Corredor</w:t>
            </w:r>
          </w:p>
          <w:p w14:paraId="2AA79D4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Ospina contra</w:t>
            </w:r>
          </w:p>
          <w:p w14:paraId="7B4A9977" w14:textId="77777777" w:rsidR="0067341A" w:rsidRPr="002E1954" w:rsidRDefault="0067341A" w:rsidP="00DA378C">
            <w:pPr>
              <w:widowControl w:val="0"/>
              <w:autoSpaceDE w:val="0"/>
              <w:autoSpaceDN w:val="0"/>
              <w:jc w:val="center"/>
              <w:rPr>
                <w:rFonts w:ascii="Verdana" w:hAnsi="Verdana" w:cs="Arial"/>
                <w:sz w:val="16"/>
                <w:szCs w:val="16"/>
                <w:lang w:val="es-CO"/>
              </w:rPr>
            </w:pPr>
            <w:proofErr w:type="spellStart"/>
            <w:r w:rsidRPr="002E1954">
              <w:rPr>
                <w:rFonts w:ascii="Verdana" w:hAnsi="Verdana" w:cs="Arial"/>
                <w:sz w:val="16"/>
                <w:szCs w:val="16"/>
                <w:lang w:val="es-CO"/>
              </w:rPr>
              <w:t>Induesa</w:t>
            </w:r>
            <w:proofErr w:type="spellEnd"/>
            <w:r w:rsidRPr="002E1954">
              <w:rPr>
                <w:rFonts w:ascii="Verdana" w:hAnsi="Verdana" w:cs="Arial"/>
                <w:sz w:val="16"/>
                <w:szCs w:val="16"/>
                <w:lang w:val="es-CO"/>
              </w:rPr>
              <w:t xml:space="preserve"> Pinilla</w:t>
            </w:r>
          </w:p>
          <w:p w14:paraId="77EE6C27"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&amp; Pinilla S. en</w:t>
            </w:r>
          </w:p>
          <w:p w14:paraId="10B8132D"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 y Juan</w:t>
            </w:r>
          </w:p>
          <w:p w14:paraId="00C45455"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Manuel Pinilla</w:t>
            </w:r>
          </w:p>
          <w:p w14:paraId="06E3F016"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Corredor</w:t>
            </w:r>
          </w:p>
        </w:tc>
        <w:tc>
          <w:tcPr>
            <w:tcW w:w="747" w:type="pct"/>
            <w:shd w:val="clear" w:color="auto" w:fill="auto"/>
            <w:vAlign w:val="center"/>
          </w:tcPr>
          <w:p w14:paraId="717E401A"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Abuso de mayoría.</w:t>
            </w:r>
          </w:p>
          <w:p w14:paraId="136E0F0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Extracción de</w:t>
            </w:r>
          </w:p>
          <w:p w14:paraId="00447A03"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beneficios</w:t>
            </w:r>
          </w:p>
          <w:p w14:paraId="5E09641C"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privados por</w:t>
            </w:r>
          </w:p>
          <w:p w14:paraId="295267A8"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vía de</w:t>
            </w:r>
          </w:p>
          <w:p w14:paraId="595F65F5"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honorarios de</w:t>
            </w:r>
          </w:p>
          <w:p w14:paraId="3BD73E3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directores</w:t>
            </w:r>
          </w:p>
        </w:tc>
        <w:tc>
          <w:tcPr>
            <w:tcW w:w="3576" w:type="pct"/>
            <w:shd w:val="clear" w:color="auto" w:fill="auto"/>
          </w:tcPr>
          <w:p w14:paraId="4B7BD359" w14:textId="77777777" w:rsidR="0067341A" w:rsidRPr="002E1954" w:rsidRDefault="0067341A" w:rsidP="00DA378C">
            <w:pPr>
              <w:widowControl w:val="0"/>
              <w:autoSpaceDE w:val="0"/>
              <w:autoSpaceDN w:val="0"/>
              <w:jc w:val="both"/>
              <w:rPr>
                <w:rFonts w:ascii="Verdana" w:hAnsi="Verdana" w:cs="Arial"/>
                <w:sz w:val="16"/>
                <w:szCs w:val="16"/>
                <w:lang w:val="es-CO"/>
              </w:rPr>
            </w:pPr>
            <w:r w:rsidRPr="002E1954">
              <w:rPr>
                <w:rFonts w:ascii="Verdana" w:hAnsi="Verdana" w:cs="Arial"/>
                <w:sz w:val="16"/>
                <w:szCs w:val="16"/>
                <w:lang w:val="es-CO"/>
              </w:rPr>
              <w:t>‘Las pruebas recaudadas en este proceso apuntan a que, en el curso de un agudo conflicto entre los accionistas de CDA El Arauco S.A.S., Juan Manuel Pinilla se valió de su potestad mayoritaria para privar a Edgar Orlando Corredor de un retorno sobre su inversión en la compañía. Esta expropiación del accionista minoritario de CDA El Arauco S.A.S. se consumó mediante la creación de una junta directiva sin funciones discernibles, conformada exclusivamente por el señor Pinilla y sus familiares, para cuyo simulado funcionamiento se han destinado sumas que exceden en forma apreciable el monto total de las utilidades generadas por la compañía desde el momento de su constitución. Al disponer de los flujos de caja de la sociedad para costear el funcionamiento de un órgano inoperante, el señor Pinilla buscó frustrar las expectativas económicas del señor Corredor en CDA El Arauco S.A.S., a manera de represalia por las fuertes desavenencias que existen entre ambos sujetos. Tan efectiva fue esta estrategia de opresión que el señor Corredor no tuvo opción diferente que la de ofrecer en venta la totalidad de su participación en la sociedad’.</w:t>
            </w:r>
          </w:p>
          <w:p w14:paraId="6867DCB7" w14:textId="77777777" w:rsidR="0067341A" w:rsidRPr="002E1954" w:rsidRDefault="0067341A" w:rsidP="00DA378C">
            <w:pPr>
              <w:widowControl w:val="0"/>
              <w:autoSpaceDE w:val="0"/>
              <w:autoSpaceDN w:val="0"/>
              <w:jc w:val="both"/>
              <w:rPr>
                <w:rFonts w:ascii="Verdana" w:hAnsi="Verdana" w:cs="Arial"/>
                <w:sz w:val="16"/>
                <w:szCs w:val="16"/>
                <w:lang w:val="es-CO"/>
              </w:rPr>
            </w:pPr>
          </w:p>
        </w:tc>
      </w:tr>
      <w:tr w:rsidR="0067341A" w:rsidRPr="005D272D" w14:paraId="21CFC1D5" w14:textId="77777777" w:rsidTr="007C2649">
        <w:tc>
          <w:tcPr>
            <w:tcW w:w="677" w:type="pct"/>
            <w:shd w:val="clear" w:color="auto" w:fill="F2DCDB"/>
            <w:vAlign w:val="center"/>
          </w:tcPr>
          <w:p w14:paraId="3F669655" w14:textId="77777777" w:rsidR="0067341A" w:rsidRPr="002E1954" w:rsidRDefault="0067341A" w:rsidP="00DA378C">
            <w:pPr>
              <w:widowControl w:val="0"/>
              <w:autoSpaceDE w:val="0"/>
              <w:autoSpaceDN w:val="0"/>
              <w:jc w:val="center"/>
              <w:rPr>
                <w:rFonts w:ascii="Verdana" w:hAnsi="Verdana" w:cs="Arial"/>
                <w:sz w:val="16"/>
                <w:szCs w:val="16"/>
                <w:lang w:val="es-CO"/>
              </w:rPr>
            </w:pPr>
            <w:proofErr w:type="spellStart"/>
            <w:r w:rsidRPr="002E1954">
              <w:rPr>
                <w:rFonts w:ascii="Verdana" w:hAnsi="Verdana" w:cs="Arial"/>
                <w:sz w:val="16"/>
                <w:szCs w:val="16"/>
                <w:lang w:val="es-CO"/>
              </w:rPr>
              <w:t>Jovalco</w:t>
            </w:r>
            <w:proofErr w:type="spellEnd"/>
            <w:r w:rsidRPr="002E1954">
              <w:rPr>
                <w:rFonts w:ascii="Verdana" w:hAnsi="Verdana" w:cs="Arial"/>
                <w:sz w:val="16"/>
                <w:szCs w:val="16"/>
                <w:lang w:val="es-CO"/>
              </w:rPr>
              <w:t xml:space="preserve"> S.A.S.</w:t>
            </w:r>
          </w:p>
          <w:p w14:paraId="5DA1FE8A"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contra</w:t>
            </w:r>
          </w:p>
          <w:p w14:paraId="2AAECECC"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Construcciones</w:t>
            </w:r>
          </w:p>
          <w:p w14:paraId="0F4039B6"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Orbi S.A.</w:t>
            </w:r>
          </w:p>
        </w:tc>
        <w:tc>
          <w:tcPr>
            <w:tcW w:w="747" w:type="pct"/>
            <w:shd w:val="clear" w:color="auto" w:fill="F2DCDB"/>
            <w:vAlign w:val="center"/>
          </w:tcPr>
          <w:p w14:paraId="2DF2A72D"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Abuso de paridad. Veto</w:t>
            </w:r>
          </w:p>
          <w:p w14:paraId="51043BB1"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injustificado</w:t>
            </w:r>
          </w:p>
          <w:p w14:paraId="2A72E70B"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para obstruir la</w:t>
            </w:r>
          </w:p>
          <w:p w14:paraId="1516607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aprobación de</w:t>
            </w:r>
          </w:p>
          <w:p w14:paraId="1680B744"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lastRenderedPageBreak/>
              <w:t>una acción</w:t>
            </w:r>
          </w:p>
          <w:p w14:paraId="630357FC"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social de</w:t>
            </w:r>
          </w:p>
          <w:p w14:paraId="125345CD"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responsabilidad</w:t>
            </w:r>
          </w:p>
        </w:tc>
        <w:tc>
          <w:tcPr>
            <w:tcW w:w="3576" w:type="pct"/>
            <w:shd w:val="clear" w:color="auto" w:fill="F2DCDB"/>
          </w:tcPr>
          <w:p w14:paraId="1FA9887D" w14:textId="77777777" w:rsidR="0067341A" w:rsidRPr="002E1954" w:rsidRDefault="0067341A" w:rsidP="00DA378C">
            <w:pPr>
              <w:widowControl w:val="0"/>
              <w:autoSpaceDE w:val="0"/>
              <w:autoSpaceDN w:val="0"/>
              <w:jc w:val="both"/>
              <w:rPr>
                <w:rFonts w:ascii="Verdana" w:hAnsi="Verdana" w:cs="Arial"/>
                <w:sz w:val="16"/>
                <w:szCs w:val="16"/>
                <w:lang w:val="es-CO"/>
              </w:rPr>
            </w:pPr>
            <w:r w:rsidRPr="002E1954">
              <w:rPr>
                <w:rFonts w:ascii="Verdana" w:hAnsi="Verdana" w:cs="Arial"/>
                <w:sz w:val="16"/>
                <w:szCs w:val="16"/>
                <w:lang w:val="es-CO"/>
              </w:rPr>
              <w:lastRenderedPageBreak/>
              <w:t xml:space="preserve">‘Así las cosas, se hace necesario concluir que en el presente caso se configuró un abuso de paridad. En verdad, el Despacho no encontró una justificación legítima para que Construcciones Orbi S.A. hubiera rechazado la acción social propuesta por </w:t>
            </w:r>
            <w:proofErr w:type="spellStart"/>
            <w:r w:rsidRPr="002E1954">
              <w:rPr>
                <w:rFonts w:ascii="Verdana" w:hAnsi="Verdana" w:cs="Arial"/>
                <w:sz w:val="16"/>
                <w:szCs w:val="16"/>
                <w:lang w:val="es-CO"/>
              </w:rPr>
              <w:t>Jovalco</w:t>
            </w:r>
            <w:proofErr w:type="spellEnd"/>
            <w:r w:rsidRPr="002E1954">
              <w:rPr>
                <w:rFonts w:ascii="Verdana" w:hAnsi="Verdana" w:cs="Arial"/>
                <w:sz w:val="16"/>
                <w:szCs w:val="16"/>
                <w:lang w:val="es-CO"/>
              </w:rPr>
              <w:t xml:space="preserve"> S.A.S. en abril de 2013. Por el contrario, los elementos de juicio disponibles apuntan a que Construcciones Orbi S.A. se valió de su </w:t>
            </w:r>
            <w:r w:rsidRPr="002E1954">
              <w:rPr>
                <w:rFonts w:ascii="Verdana" w:hAnsi="Verdana" w:cs="Arial"/>
                <w:sz w:val="16"/>
                <w:szCs w:val="16"/>
                <w:lang w:val="es-CO"/>
              </w:rPr>
              <w:lastRenderedPageBreak/>
              <w:t xml:space="preserve">derecho de voto para encubrir la distracción de activos de </w:t>
            </w:r>
            <w:proofErr w:type="spellStart"/>
            <w:r w:rsidRPr="002E1954">
              <w:rPr>
                <w:rFonts w:ascii="Verdana" w:hAnsi="Verdana" w:cs="Arial"/>
                <w:sz w:val="16"/>
                <w:szCs w:val="16"/>
                <w:lang w:val="es-CO"/>
              </w:rPr>
              <w:t>Sares</w:t>
            </w:r>
            <w:proofErr w:type="spellEnd"/>
            <w:r w:rsidRPr="002E1954">
              <w:rPr>
                <w:rFonts w:ascii="Verdana" w:hAnsi="Verdana" w:cs="Arial"/>
                <w:sz w:val="16"/>
                <w:szCs w:val="16"/>
                <w:lang w:val="es-CO"/>
              </w:rPr>
              <w:t xml:space="preserve"> Ltda., a favor de personas vinculadas a aquella compañía, mediante actuaciones que infringieron el régimen colombiano en materia de conflictos de interés. Así, al hacer imposible la aprobación de la acción social propuesta por </w:t>
            </w:r>
            <w:proofErr w:type="spellStart"/>
            <w:r w:rsidRPr="002E1954">
              <w:rPr>
                <w:rFonts w:ascii="Verdana" w:hAnsi="Verdana" w:cs="Arial"/>
                <w:sz w:val="16"/>
                <w:szCs w:val="16"/>
                <w:lang w:val="es-CO"/>
              </w:rPr>
              <w:t>Jovalco</w:t>
            </w:r>
            <w:proofErr w:type="spellEnd"/>
            <w:r w:rsidRPr="002E1954">
              <w:rPr>
                <w:rFonts w:ascii="Verdana" w:hAnsi="Verdana" w:cs="Arial"/>
                <w:sz w:val="16"/>
                <w:szCs w:val="16"/>
                <w:lang w:val="es-CO"/>
              </w:rPr>
              <w:t xml:space="preserve"> S.A.S., Construcciones Orbi S.A. obstruyó, para beneficio de sus propios accionistas y administradores, la única vía judicial disponible en nuestro ordenamiento para reclamar los perjuicios posiblemente sufridos por </w:t>
            </w:r>
            <w:proofErr w:type="spellStart"/>
            <w:r w:rsidRPr="002E1954">
              <w:rPr>
                <w:rFonts w:ascii="Verdana" w:hAnsi="Verdana" w:cs="Arial"/>
                <w:sz w:val="16"/>
                <w:szCs w:val="16"/>
                <w:lang w:val="es-CO"/>
              </w:rPr>
              <w:t>Sares</w:t>
            </w:r>
            <w:proofErr w:type="spellEnd"/>
            <w:r w:rsidRPr="002E1954">
              <w:rPr>
                <w:rFonts w:ascii="Verdana" w:hAnsi="Verdana" w:cs="Arial"/>
                <w:sz w:val="16"/>
                <w:szCs w:val="16"/>
                <w:lang w:val="es-CO"/>
              </w:rPr>
              <w:t xml:space="preserve"> Ltda. Esta actuación, a todas luces censurable, encaja dentro de los presupuestos contemplados en la Ley 1258 de 2008 para la configuración del abuso del derecho de voto por paridad'.</w:t>
            </w:r>
          </w:p>
          <w:p w14:paraId="45E5F408" w14:textId="77777777" w:rsidR="0067341A" w:rsidRPr="002E1954" w:rsidRDefault="0067341A" w:rsidP="00DA378C">
            <w:pPr>
              <w:widowControl w:val="0"/>
              <w:autoSpaceDE w:val="0"/>
              <w:autoSpaceDN w:val="0"/>
              <w:jc w:val="both"/>
              <w:rPr>
                <w:rFonts w:ascii="Verdana" w:hAnsi="Verdana" w:cs="Arial"/>
                <w:sz w:val="16"/>
                <w:szCs w:val="16"/>
                <w:lang w:val="es-CO"/>
              </w:rPr>
            </w:pPr>
          </w:p>
        </w:tc>
      </w:tr>
      <w:tr w:rsidR="0067341A" w:rsidRPr="005D272D" w14:paraId="43BB5B94" w14:textId="77777777" w:rsidTr="00DA378C">
        <w:tc>
          <w:tcPr>
            <w:tcW w:w="677" w:type="pct"/>
            <w:shd w:val="clear" w:color="auto" w:fill="auto"/>
            <w:vAlign w:val="center"/>
          </w:tcPr>
          <w:p w14:paraId="3A4BC393" w14:textId="77777777" w:rsidR="0067341A" w:rsidRPr="002E1954" w:rsidRDefault="0067341A" w:rsidP="00DA378C">
            <w:pPr>
              <w:widowControl w:val="0"/>
              <w:autoSpaceDE w:val="0"/>
              <w:autoSpaceDN w:val="0"/>
              <w:jc w:val="center"/>
              <w:rPr>
                <w:rFonts w:ascii="Verdana" w:hAnsi="Verdana" w:cs="Arial"/>
                <w:sz w:val="16"/>
                <w:szCs w:val="16"/>
                <w:lang w:val="es-CO"/>
              </w:rPr>
            </w:pPr>
            <w:proofErr w:type="spellStart"/>
            <w:r w:rsidRPr="002E1954">
              <w:rPr>
                <w:rFonts w:ascii="Verdana" w:hAnsi="Verdana" w:cs="Arial"/>
                <w:sz w:val="16"/>
                <w:szCs w:val="16"/>
                <w:lang w:val="es-CO"/>
              </w:rPr>
              <w:lastRenderedPageBreak/>
              <w:t>Alienergy</w:t>
            </w:r>
            <w:proofErr w:type="spellEnd"/>
            <w:r w:rsidRPr="002E1954">
              <w:rPr>
                <w:rFonts w:ascii="Verdana" w:hAnsi="Verdana" w:cs="Arial"/>
                <w:sz w:val="16"/>
                <w:szCs w:val="16"/>
                <w:lang w:val="es-CO"/>
              </w:rPr>
              <w:t xml:space="preserve"> S.A.</w:t>
            </w:r>
          </w:p>
          <w:p w14:paraId="079AA4EA"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contra Álvaro</w:t>
            </w:r>
          </w:p>
          <w:p w14:paraId="52B5558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José Márquez y</w:t>
            </w:r>
          </w:p>
          <w:p w14:paraId="11A043C4"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Gestión</w:t>
            </w:r>
          </w:p>
          <w:p w14:paraId="4C54707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Orgánica GEO</w:t>
            </w:r>
          </w:p>
          <w:p w14:paraId="5E6C9E1D"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S.A.S. E.</w:t>
            </w:r>
          </w:p>
        </w:tc>
        <w:tc>
          <w:tcPr>
            <w:tcW w:w="747" w:type="pct"/>
            <w:shd w:val="clear" w:color="auto" w:fill="auto"/>
            <w:vAlign w:val="center"/>
          </w:tcPr>
          <w:p w14:paraId="07FAA08C"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Abuso de minoría. Ejercicio del veto para impedir la realización de un proceso de emisión primaria de acciones</w:t>
            </w:r>
          </w:p>
        </w:tc>
        <w:tc>
          <w:tcPr>
            <w:tcW w:w="3576" w:type="pct"/>
            <w:shd w:val="clear" w:color="auto" w:fill="auto"/>
          </w:tcPr>
          <w:p w14:paraId="34EDBE74" w14:textId="77777777" w:rsidR="0067341A" w:rsidRPr="002E1954" w:rsidRDefault="0067341A" w:rsidP="00DA378C">
            <w:pPr>
              <w:widowControl w:val="0"/>
              <w:autoSpaceDE w:val="0"/>
              <w:autoSpaceDN w:val="0"/>
              <w:jc w:val="both"/>
              <w:rPr>
                <w:rFonts w:ascii="Verdana" w:hAnsi="Verdana" w:cs="Arial"/>
                <w:sz w:val="16"/>
                <w:szCs w:val="16"/>
                <w:lang w:val="es-CO"/>
              </w:rPr>
            </w:pPr>
            <w:r w:rsidRPr="002E1954">
              <w:rPr>
                <w:rFonts w:ascii="Verdana" w:hAnsi="Verdana" w:cs="Arial"/>
                <w:sz w:val="16"/>
                <w:szCs w:val="16"/>
                <w:lang w:val="es-CO"/>
              </w:rPr>
              <w:t xml:space="preserve">‘A la luz de las anteriores consideraciones, el Despacho debe concluir que el señor Márquez no actuó en forma abusiva al votar en contra de la capitalización de Gestión Orgánica GEO S.A.S. durante las reuniones asamblearias celebradas entre el 3 de julio de 2012 y el 5 de septiembre de 2013. Ciertamente, las razones invocadas por el señor Márquez para ejercer su derecho de veto no sólo son verosímiles, sino que, además, encuentran asidero en las diferentes pruebas recaudadas durante el curso del presente proceso. También debe advertirse que las propuestas de capitalización estudiadas por el Despacho no parecen haber obedecido exclusivamente a la necesidad de cumplir con las órdenes de la Corporación Autónoma Regional de Cundinamarca. En este sentido, las pruebas disponibles denotan el interés de </w:t>
            </w:r>
            <w:proofErr w:type="spellStart"/>
            <w:r w:rsidRPr="002E1954">
              <w:rPr>
                <w:rFonts w:ascii="Verdana" w:hAnsi="Verdana" w:cs="Arial"/>
                <w:sz w:val="16"/>
                <w:szCs w:val="16"/>
                <w:lang w:val="es-CO"/>
              </w:rPr>
              <w:t>Alienergy</w:t>
            </w:r>
            <w:proofErr w:type="spellEnd"/>
            <w:r w:rsidRPr="002E1954">
              <w:rPr>
                <w:rFonts w:ascii="Verdana" w:hAnsi="Verdana" w:cs="Arial"/>
                <w:sz w:val="16"/>
                <w:szCs w:val="16"/>
                <w:lang w:val="es-CO"/>
              </w:rPr>
              <w:t xml:space="preserve"> S.A. por expandir la capacidad industrial de Gestión Orgánica GEO S.A.S. Aunque la motivación de la demandante es meritoria, no puede perderse de vista que ella misma aceptó conferirle un derecho de veto al señor Márquez respecto de todas las propuestas sometidas a consideración del máximo órgano social. Al haberse otorgado esa prerrogativa, </w:t>
            </w:r>
            <w:proofErr w:type="spellStart"/>
            <w:r w:rsidRPr="002E1954">
              <w:rPr>
                <w:rFonts w:ascii="Verdana" w:hAnsi="Verdana" w:cs="Arial"/>
                <w:sz w:val="16"/>
                <w:szCs w:val="16"/>
                <w:lang w:val="es-CO"/>
              </w:rPr>
              <w:t>Alienergy</w:t>
            </w:r>
            <w:proofErr w:type="spellEnd"/>
            <w:r w:rsidRPr="002E1954">
              <w:rPr>
                <w:rFonts w:ascii="Verdana" w:hAnsi="Verdana" w:cs="Arial"/>
                <w:sz w:val="16"/>
                <w:szCs w:val="16"/>
                <w:lang w:val="es-CO"/>
              </w:rPr>
              <w:t xml:space="preserve"> S.A. no puede decidir unilateralmente emprender un ambicioso plan de expansión en Gestión Orgánica GEO S.A.S., sin haber concertado los términos de ese proyecto con el señor Márquez’.</w:t>
            </w:r>
          </w:p>
          <w:p w14:paraId="1FB02655" w14:textId="77777777" w:rsidR="0067341A" w:rsidRPr="002E1954" w:rsidRDefault="0067341A" w:rsidP="00DA378C">
            <w:pPr>
              <w:widowControl w:val="0"/>
              <w:autoSpaceDE w:val="0"/>
              <w:autoSpaceDN w:val="0"/>
              <w:jc w:val="both"/>
              <w:rPr>
                <w:rFonts w:ascii="Verdana" w:hAnsi="Verdana" w:cs="Arial"/>
                <w:sz w:val="16"/>
                <w:szCs w:val="16"/>
                <w:lang w:val="es-CO"/>
              </w:rPr>
            </w:pPr>
          </w:p>
        </w:tc>
      </w:tr>
      <w:tr w:rsidR="0067341A" w:rsidRPr="005D272D" w14:paraId="5C30EDE6" w14:textId="77777777" w:rsidTr="007C2649">
        <w:tc>
          <w:tcPr>
            <w:tcW w:w="677" w:type="pct"/>
            <w:shd w:val="clear" w:color="auto" w:fill="F2DCDB"/>
            <w:vAlign w:val="center"/>
          </w:tcPr>
          <w:p w14:paraId="05B5084C" w14:textId="77777777" w:rsidR="0067341A" w:rsidRPr="002E1954" w:rsidRDefault="0067341A" w:rsidP="00DA378C">
            <w:pPr>
              <w:widowControl w:val="0"/>
              <w:autoSpaceDE w:val="0"/>
              <w:autoSpaceDN w:val="0"/>
              <w:jc w:val="center"/>
              <w:rPr>
                <w:rFonts w:ascii="Verdana" w:hAnsi="Verdana" w:cs="Arial"/>
                <w:sz w:val="16"/>
                <w:szCs w:val="16"/>
                <w:lang w:val="es-CO"/>
              </w:rPr>
            </w:pPr>
            <w:proofErr w:type="spellStart"/>
            <w:r w:rsidRPr="002E1954">
              <w:rPr>
                <w:rFonts w:ascii="Verdana" w:hAnsi="Verdana" w:cs="Arial"/>
                <w:sz w:val="16"/>
                <w:szCs w:val="16"/>
                <w:lang w:val="es-CO"/>
              </w:rPr>
              <w:t>Serviucis</w:t>
            </w:r>
            <w:proofErr w:type="spellEnd"/>
            <w:r w:rsidRPr="002E1954">
              <w:rPr>
                <w:rFonts w:ascii="Verdana" w:hAnsi="Verdana" w:cs="Arial"/>
                <w:sz w:val="16"/>
                <w:szCs w:val="16"/>
                <w:lang w:val="es-CO"/>
              </w:rPr>
              <w:t xml:space="preserve"> S.A. contra Nueva Clínica Sagrado Corazón S.A.S</w:t>
            </w:r>
          </w:p>
        </w:tc>
        <w:tc>
          <w:tcPr>
            <w:tcW w:w="747" w:type="pct"/>
            <w:shd w:val="clear" w:color="auto" w:fill="F2DCDB"/>
            <w:vAlign w:val="center"/>
          </w:tcPr>
          <w:p w14:paraId="0D0C02AF" w14:textId="77777777" w:rsidR="0067341A" w:rsidRPr="002E1954" w:rsidRDefault="0067341A" w:rsidP="00DA378C">
            <w:pPr>
              <w:widowControl w:val="0"/>
              <w:autoSpaceDE w:val="0"/>
              <w:autoSpaceDN w:val="0"/>
              <w:jc w:val="center"/>
              <w:rPr>
                <w:rFonts w:ascii="Verdana" w:hAnsi="Verdana" w:cs="Arial"/>
                <w:sz w:val="16"/>
                <w:szCs w:val="16"/>
                <w:lang w:val="es-CO"/>
              </w:rPr>
            </w:pPr>
            <w:r w:rsidRPr="002E1954">
              <w:rPr>
                <w:rFonts w:ascii="Verdana" w:hAnsi="Verdana" w:cs="Arial"/>
                <w:sz w:val="16"/>
                <w:szCs w:val="16"/>
                <w:lang w:val="es-CO"/>
              </w:rPr>
              <w:t>Abuso de mayoría. Expulsión de accionistas minoritarios de cargos en la administración. Carga de la prueba</w:t>
            </w:r>
          </w:p>
        </w:tc>
        <w:tc>
          <w:tcPr>
            <w:tcW w:w="3576" w:type="pct"/>
            <w:shd w:val="clear" w:color="auto" w:fill="F2DCDB"/>
          </w:tcPr>
          <w:p w14:paraId="20CFBA75" w14:textId="77777777" w:rsidR="0067341A" w:rsidRPr="002E1954" w:rsidRDefault="0067341A" w:rsidP="00DA378C">
            <w:pPr>
              <w:widowControl w:val="0"/>
              <w:autoSpaceDE w:val="0"/>
              <w:autoSpaceDN w:val="0"/>
              <w:jc w:val="both"/>
              <w:rPr>
                <w:rFonts w:ascii="Verdana" w:hAnsi="Verdana" w:cs="Arial"/>
                <w:sz w:val="16"/>
                <w:szCs w:val="16"/>
                <w:lang w:val="es-CO"/>
              </w:rPr>
            </w:pPr>
            <w:r w:rsidRPr="002E1954">
              <w:rPr>
                <w:rFonts w:ascii="Verdana" w:hAnsi="Verdana" w:cs="Arial"/>
                <w:sz w:val="16"/>
                <w:szCs w:val="16"/>
                <w:lang w:val="es-CO"/>
              </w:rPr>
              <w:t xml:space="preserve">La remoción de </w:t>
            </w:r>
            <w:proofErr w:type="spellStart"/>
            <w:r w:rsidRPr="002E1954">
              <w:rPr>
                <w:rFonts w:ascii="Verdana" w:hAnsi="Verdana" w:cs="Arial"/>
                <w:sz w:val="16"/>
                <w:szCs w:val="16"/>
                <w:lang w:val="es-CO"/>
              </w:rPr>
              <w:t>Serviucis</w:t>
            </w:r>
            <w:proofErr w:type="spellEnd"/>
            <w:r w:rsidRPr="002E1954">
              <w:rPr>
                <w:rFonts w:ascii="Verdana" w:hAnsi="Verdana" w:cs="Arial"/>
                <w:sz w:val="16"/>
                <w:szCs w:val="16"/>
                <w:lang w:val="es-CO"/>
              </w:rPr>
              <w:t xml:space="preserve"> S.A. de la junta directiva de NCSC S.A.S. se consumó de manera intempestiva y en el curso de un conflicto </w:t>
            </w:r>
            <w:proofErr w:type="spellStart"/>
            <w:r w:rsidRPr="002E1954">
              <w:rPr>
                <w:rFonts w:ascii="Verdana" w:hAnsi="Verdana" w:cs="Arial"/>
                <w:sz w:val="16"/>
                <w:szCs w:val="16"/>
                <w:lang w:val="es-CO"/>
              </w:rPr>
              <w:t>intrasocietario</w:t>
            </w:r>
            <w:proofErr w:type="spellEnd"/>
            <w:r w:rsidRPr="002E1954">
              <w:rPr>
                <w:rFonts w:ascii="Verdana" w:hAnsi="Verdana" w:cs="Arial"/>
                <w:sz w:val="16"/>
                <w:szCs w:val="16"/>
                <w:lang w:val="es-CO"/>
              </w:rPr>
              <w:t xml:space="preserve">, poco tiempo después de que Edwin Gil Tobón hiciera efectivo el mecanismo de información descrito en el acápite precedente, con el efecto de que </w:t>
            </w:r>
            <w:proofErr w:type="spellStart"/>
            <w:r w:rsidRPr="002E1954">
              <w:rPr>
                <w:rFonts w:ascii="Verdana" w:hAnsi="Verdana" w:cs="Arial"/>
                <w:sz w:val="16"/>
                <w:szCs w:val="16"/>
                <w:lang w:val="es-CO"/>
              </w:rPr>
              <w:t>Serviucis</w:t>
            </w:r>
            <w:proofErr w:type="spellEnd"/>
            <w:r w:rsidRPr="002E1954">
              <w:rPr>
                <w:rFonts w:ascii="Verdana" w:hAnsi="Verdana" w:cs="Arial"/>
                <w:sz w:val="16"/>
                <w:szCs w:val="16"/>
                <w:lang w:val="es-CO"/>
              </w:rPr>
              <w:t xml:space="preserve"> S.A. fue reemplazado por un director vinculado al bloque de accionistas mayoritarios liderado por Mauricio Vélez Cadavid. Se trata, a todas luces, de un patrón de conducta que denota una intención premeditada de perjudicar a </w:t>
            </w:r>
            <w:proofErr w:type="spellStart"/>
            <w:r w:rsidRPr="002E1954">
              <w:rPr>
                <w:rFonts w:ascii="Verdana" w:hAnsi="Verdana" w:cs="Arial"/>
                <w:sz w:val="16"/>
                <w:szCs w:val="16"/>
                <w:lang w:val="es-CO"/>
              </w:rPr>
              <w:t>Serviucis</w:t>
            </w:r>
            <w:proofErr w:type="spellEnd"/>
            <w:r w:rsidRPr="002E1954">
              <w:rPr>
                <w:rFonts w:ascii="Verdana" w:hAnsi="Verdana" w:cs="Arial"/>
                <w:sz w:val="16"/>
                <w:szCs w:val="16"/>
                <w:lang w:val="es-CO"/>
              </w:rPr>
              <w:t xml:space="preserve"> S.A. y, correlativamente, procurar que el bloque mayoritario pudiera ejercer un control irrestricto sobre la operación de NCSC S.A.S. Debe concluirse, pues, que el bloque mayoritario liderado por Mauricio Vélez Cadavid ejerció el derecho de voto de una manera que desborda el límite de lo permisible bajo el ordenamiento jurídico colombiano’.</w:t>
            </w:r>
          </w:p>
        </w:tc>
      </w:tr>
    </w:tbl>
    <w:p w14:paraId="5AACDB90" w14:textId="77777777" w:rsidR="0067341A" w:rsidRDefault="0067341A" w:rsidP="00AC389F">
      <w:pPr>
        <w:jc w:val="both"/>
        <w:rPr>
          <w:rFonts w:ascii="Verdana" w:hAnsi="Verdana" w:cs="Arial"/>
          <w:color w:val="FF0000"/>
          <w:sz w:val="22"/>
          <w:szCs w:val="22"/>
          <w:lang w:val="es-CO"/>
        </w:rPr>
      </w:pPr>
    </w:p>
    <w:p w14:paraId="4ABA1058" w14:textId="77777777" w:rsidR="0067341A" w:rsidRDefault="0067341A" w:rsidP="00AC389F">
      <w:pPr>
        <w:jc w:val="both"/>
        <w:rPr>
          <w:rFonts w:ascii="Verdana" w:hAnsi="Verdana" w:cs="Arial"/>
          <w:color w:val="FF0000"/>
          <w:sz w:val="22"/>
          <w:szCs w:val="22"/>
          <w:lang w:val="es-CO"/>
        </w:rPr>
      </w:pPr>
    </w:p>
    <w:p w14:paraId="199D1EC3" w14:textId="7F047ED1" w:rsidR="0067341A" w:rsidRPr="00AC72A9" w:rsidRDefault="00061AA2" w:rsidP="0067341A">
      <w:pPr>
        <w:rPr>
          <w:rFonts w:ascii="Verdana" w:hAnsi="Verdana" w:cs="Arial"/>
          <w:b/>
          <w:bCs/>
          <w:spacing w:val="4"/>
        </w:rPr>
      </w:pPr>
      <w:r w:rsidRPr="00061AA2">
        <w:rPr>
          <w:rFonts w:ascii="Verdana" w:hAnsi="Verdana" w:cs="Arial"/>
          <w:b/>
          <w:bCs/>
          <w:smallCaps/>
          <w:spacing w:val="4"/>
          <w:sz w:val="22"/>
          <w:szCs w:val="22"/>
        </w:rPr>
        <w:t xml:space="preserve">5.2.2 </w:t>
      </w:r>
      <w:r w:rsidR="00AC72A9" w:rsidRPr="00C43953">
        <w:rPr>
          <w:rFonts w:ascii="Verdana" w:hAnsi="Verdana" w:cs="Arial"/>
          <w:b/>
          <w:bCs/>
          <w:spacing w:val="4"/>
          <w:sz w:val="22"/>
          <w:szCs w:val="22"/>
        </w:rPr>
        <w:t>RESPONSABILIDAES DE ADMINISTRADORES</w:t>
      </w:r>
    </w:p>
    <w:p w14:paraId="3BB1DAB5" w14:textId="77777777" w:rsidR="0067341A" w:rsidRPr="00AC72A9" w:rsidRDefault="0067341A" w:rsidP="0067341A">
      <w:pPr>
        <w:spacing w:line="360" w:lineRule="auto"/>
        <w:jc w:val="both"/>
        <w:rPr>
          <w:rFonts w:ascii="Verdana" w:hAnsi="Verdana" w:cs="Arial"/>
          <w:b/>
          <w:bCs/>
          <w:spacing w:val="4"/>
        </w:rPr>
      </w:pPr>
    </w:p>
    <w:p w14:paraId="3120309D" w14:textId="14183D27" w:rsidR="0067341A" w:rsidRPr="001E6367" w:rsidRDefault="00061AA2" w:rsidP="0067341A">
      <w:pPr>
        <w:spacing w:line="360" w:lineRule="auto"/>
        <w:jc w:val="both"/>
        <w:rPr>
          <w:rFonts w:ascii="Verdana" w:hAnsi="Verdana" w:cs="Arial"/>
          <w:b/>
          <w:bCs/>
          <w:spacing w:val="4"/>
        </w:rPr>
      </w:pPr>
      <w:r w:rsidRPr="001E6367">
        <w:rPr>
          <w:rFonts w:ascii="Verdana" w:hAnsi="Verdana" w:cs="Arial"/>
          <w:b/>
          <w:bCs/>
          <w:spacing w:val="4"/>
        </w:rPr>
        <w:t>5.2.</w:t>
      </w:r>
      <w:r w:rsidR="00757866" w:rsidRPr="001E6367">
        <w:rPr>
          <w:rFonts w:ascii="Verdana" w:hAnsi="Verdana" w:cs="Arial"/>
          <w:b/>
          <w:bCs/>
          <w:spacing w:val="4"/>
        </w:rPr>
        <w:t xml:space="preserve">2.1 </w:t>
      </w:r>
      <w:r w:rsidR="0067341A" w:rsidRPr="001E6367">
        <w:rPr>
          <w:rFonts w:ascii="Verdana" w:hAnsi="Verdana" w:cs="Arial"/>
          <w:b/>
          <w:bCs/>
          <w:spacing w:val="4"/>
        </w:rPr>
        <w:t>Descripción general</w:t>
      </w:r>
    </w:p>
    <w:p w14:paraId="1B556682" w14:textId="77777777" w:rsidR="00757866" w:rsidRPr="001E6367" w:rsidRDefault="00757866" w:rsidP="00757866">
      <w:pPr>
        <w:spacing w:line="360" w:lineRule="auto"/>
        <w:jc w:val="both"/>
        <w:rPr>
          <w:rFonts w:ascii="Verdana" w:hAnsi="Verdana" w:cs="Arial"/>
          <w:b/>
          <w:bCs/>
          <w:spacing w:val="4"/>
        </w:rPr>
      </w:pPr>
    </w:p>
    <w:p w14:paraId="3AF5CF3A" w14:textId="6F228BAD" w:rsidR="0067341A" w:rsidRPr="00AC72A9" w:rsidRDefault="0067341A" w:rsidP="00757866">
      <w:pPr>
        <w:spacing w:line="360" w:lineRule="auto"/>
        <w:jc w:val="both"/>
        <w:rPr>
          <w:rFonts w:ascii="Verdana" w:hAnsi="Verdana" w:cs="Arial"/>
          <w:sz w:val="22"/>
          <w:szCs w:val="22"/>
        </w:rPr>
      </w:pPr>
      <w:r w:rsidRPr="00AC72A9">
        <w:rPr>
          <w:rFonts w:ascii="Verdana" w:hAnsi="Verdana" w:cs="Arial"/>
          <w:sz w:val="22"/>
          <w:szCs w:val="22"/>
        </w:rPr>
        <w:t xml:space="preserve">El propósito de esta acción es que se examine la conducta de los administradores de una compañía, a la luz de los deberes previstos en el artículo 23 de la Ley 222 de 1995. A través de su ejercicio, es posible controvertir la responsabilidad de estos funcionarios </w:t>
      </w:r>
      <w:r w:rsidRPr="00AC72A9">
        <w:rPr>
          <w:rFonts w:ascii="Verdana" w:hAnsi="Verdana" w:cs="Arial"/>
          <w:sz w:val="22"/>
          <w:szCs w:val="22"/>
        </w:rPr>
        <w:lastRenderedPageBreak/>
        <w:t xml:space="preserve">por la celebración de operaciones viciadas de conflictos de interés, por incurrir en usurpación de oportunidades de negocio o actos de competencia, por desviar injustificadamente recursos sociales en beneficio propio, entre otras. En general, los usuarios pueden invocar infracciones a los deberes de lealtad y cuidado por medio del ejercicio de esta acción. </w:t>
      </w:r>
    </w:p>
    <w:p w14:paraId="2878CF36" w14:textId="77777777" w:rsidR="00757866" w:rsidRPr="00AC72A9" w:rsidRDefault="00757866" w:rsidP="00757866">
      <w:pPr>
        <w:spacing w:line="360" w:lineRule="auto"/>
        <w:jc w:val="both"/>
        <w:rPr>
          <w:rFonts w:ascii="Verdana" w:hAnsi="Verdana" w:cs="Arial"/>
          <w:sz w:val="22"/>
          <w:szCs w:val="22"/>
        </w:rPr>
      </w:pPr>
    </w:p>
    <w:p w14:paraId="591DD327" w14:textId="2199C1D8" w:rsidR="0067341A" w:rsidRPr="00AC72A9" w:rsidRDefault="0067341A" w:rsidP="00757866">
      <w:pPr>
        <w:spacing w:line="360" w:lineRule="auto"/>
        <w:jc w:val="both"/>
        <w:rPr>
          <w:rFonts w:ascii="Verdana" w:hAnsi="Verdana" w:cs="Arial"/>
          <w:sz w:val="22"/>
          <w:szCs w:val="22"/>
        </w:rPr>
      </w:pPr>
      <w:r w:rsidRPr="00AC72A9">
        <w:rPr>
          <w:rFonts w:ascii="Verdana" w:hAnsi="Verdana" w:cs="Arial"/>
          <w:sz w:val="22"/>
          <w:szCs w:val="22"/>
        </w:rPr>
        <w:t>Por lo demás, debe precisarse que, cuando la acción es iniciada por la sociedad al amparo del primer inciso del artículo 25 de la Ley 222 de 1995, en virtud de</w:t>
      </w:r>
      <w:r w:rsidRPr="00AC72A9">
        <w:rPr>
          <w:rFonts w:ascii="Verdana" w:hAnsi="Verdana" w:cs="Arial"/>
        </w:rPr>
        <w:t xml:space="preserve"> </w:t>
      </w:r>
      <w:r w:rsidRPr="00AC72A9">
        <w:rPr>
          <w:rFonts w:ascii="Verdana" w:hAnsi="Verdana" w:cs="Arial"/>
          <w:sz w:val="22"/>
          <w:szCs w:val="22"/>
        </w:rPr>
        <w:t xml:space="preserve">las interpretaciones de la Corte Constitucional expresadas en la sentencia C-318 de 2023, la Delegatura de Procedimientos Mercantiles carece de competencia para conocer de la acción social de responsabilidad por tratarse de un conflicto entre la sociedad y el administrador. No obstante, la Delegatura mantiene su competencia para conocer de la acción social de responsabilidad cuando es iniciada en virtud de legitimación extraordinaria de orden legal otorgada al asociado, administrador o revisor fiscal, siempre y cuando se haga en interés de la sociedad y haya sido aprobada previamente por el órgano social y </w:t>
      </w:r>
      <w:r w:rsidR="00C760D7">
        <w:rPr>
          <w:rFonts w:ascii="Verdana" w:hAnsi="Verdana" w:cs="Arial"/>
          <w:sz w:val="22"/>
          <w:szCs w:val="22"/>
        </w:rPr>
        <w:t xml:space="preserve">esta </w:t>
      </w:r>
      <w:r w:rsidRPr="00AC72A9">
        <w:rPr>
          <w:rFonts w:ascii="Verdana" w:hAnsi="Verdana" w:cs="Arial"/>
          <w:sz w:val="22"/>
          <w:szCs w:val="22"/>
        </w:rPr>
        <w:t xml:space="preserve">no se haya iniciado dentro de los tres meses siguientes. Asimismo, la Delegatura tiene competencia para conocer de la acción individual de responsabilidad iniciada por un asociado contra el administrador en virtud de un daño en su patrimonio. Finalmente, la Delegatura tiene competencia para adelantar la acción social de responsabilidad “derivada” en virtud de la cual un socio inicia, en interés de la sociedad, una acción social de responsabilidad en contra de un administrador con el fin de que se resarzan los perjuicios sufridos al ente societario, sin que esta acción haya sido previamente aprobada por el órgano social, la cual procederá siempre que esta no se haya iniciado por parte de la sociedad.  </w:t>
      </w:r>
    </w:p>
    <w:p w14:paraId="683A6B84" w14:textId="77777777" w:rsidR="0067341A" w:rsidRPr="009D308D" w:rsidRDefault="0067341A" w:rsidP="0067341A">
      <w:pPr>
        <w:spacing w:line="360" w:lineRule="auto"/>
        <w:ind w:firstLine="708"/>
        <w:jc w:val="both"/>
        <w:rPr>
          <w:rFonts w:ascii="Arial" w:hAnsi="Arial" w:cs="Arial"/>
        </w:rPr>
      </w:pPr>
    </w:p>
    <w:p w14:paraId="243B8A76" w14:textId="7403CDAE" w:rsidR="0067341A" w:rsidRPr="001E6367" w:rsidRDefault="00D26431" w:rsidP="0067341A">
      <w:pPr>
        <w:spacing w:line="360" w:lineRule="auto"/>
        <w:jc w:val="both"/>
        <w:rPr>
          <w:rFonts w:ascii="Verdana" w:hAnsi="Verdana" w:cs="Arial"/>
          <w:b/>
          <w:bCs/>
          <w:sz w:val="22"/>
          <w:szCs w:val="22"/>
        </w:rPr>
      </w:pPr>
      <w:r w:rsidRPr="001E6367">
        <w:rPr>
          <w:rFonts w:ascii="Verdana" w:hAnsi="Verdana" w:cs="Arial"/>
          <w:b/>
          <w:bCs/>
          <w:sz w:val="22"/>
          <w:szCs w:val="22"/>
        </w:rPr>
        <w:t>5.2.2</w:t>
      </w:r>
      <w:r w:rsidR="00B16171" w:rsidRPr="001E6367">
        <w:rPr>
          <w:rFonts w:ascii="Verdana" w:hAnsi="Verdana" w:cs="Arial"/>
          <w:b/>
          <w:bCs/>
          <w:sz w:val="22"/>
          <w:szCs w:val="22"/>
        </w:rPr>
        <w:t>.</w:t>
      </w:r>
      <w:r w:rsidR="00CD3317" w:rsidRPr="001E6367">
        <w:rPr>
          <w:rFonts w:ascii="Verdana" w:hAnsi="Verdana" w:cs="Arial"/>
          <w:b/>
          <w:bCs/>
          <w:sz w:val="22"/>
          <w:szCs w:val="22"/>
        </w:rPr>
        <w:t xml:space="preserve">2 </w:t>
      </w:r>
      <w:r w:rsidR="0067341A" w:rsidRPr="001E6367">
        <w:rPr>
          <w:rFonts w:ascii="Verdana" w:hAnsi="Verdana" w:cs="Arial"/>
          <w:b/>
          <w:bCs/>
          <w:sz w:val="22"/>
          <w:szCs w:val="22"/>
        </w:rPr>
        <w:t>Fundamento Jurídico</w:t>
      </w:r>
    </w:p>
    <w:p w14:paraId="4AF1A7A4" w14:textId="77777777" w:rsidR="001E6367" w:rsidRDefault="001E6367" w:rsidP="001E6367">
      <w:pPr>
        <w:spacing w:line="360" w:lineRule="auto"/>
        <w:jc w:val="both"/>
        <w:rPr>
          <w:rFonts w:ascii="Arial" w:hAnsi="Arial" w:cs="Arial"/>
          <w:lang w:val="es-CO"/>
        </w:rPr>
      </w:pPr>
    </w:p>
    <w:p w14:paraId="1B3B8CBD" w14:textId="7E1D73D5" w:rsidR="0067341A" w:rsidRPr="001E6367" w:rsidRDefault="0067341A" w:rsidP="001E6367">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Código General del Proceso, artículo 24, numeral 5º, literal b). ‘La Superintendencia de Sociedades tendrá facultades jurisdiccionales en materia societaria, referidas a [la </w:t>
      </w:r>
      <w:r w:rsidRPr="001775CC">
        <w:rPr>
          <w:rFonts w:ascii="Verdana" w:hAnsi="Verdana" w:cs="Arial"/>
          <w:sz w:val="22"/>
          <w:szCs w:val="22"/>
          <w:lang w:val="es-CO"/>
        </w:rPr>
        <w:lastRenderedPageBreak/>
        <w:t>resolución de] las diferencias que ocurran entre los accionistas, o entre estos y la sociedad o entre estos y sus administradores, en desarrollo del contrato social o del acto unilateral’. Las anteriores facultades fueron moduladas a través de la Sentencia C-318 de 2023 en la que la Corte Constitucional informó sobre la improcedencia de la interpretación del artículo 24, numeral 5º, literal b) en cuanto a función jurisdiccional de la Superintendencia de Sociedades en controversias entre la sociedad y los administradores.</w:t>
      </w:r>
    </w:p>
    <w:p w14:paraId="33632106" w14:textId="77777777" w:rsidR="001E6367" w:rsidRDefault="001E6367" w:rsidP="001E6367">
      <w:pPr>
        <w:spacing w:line="360" w:lineRule="auto"/>
        <w:jc w:val="both"/>
        <w:rPr>
          <w:rFonts w:ascii="Arial" w:hAnsi="Arial" w:cs="Arial"/>
          <w:strike/>
          <w:lang w:val="es-CO"/>
        </w:rPr>
      </w:pPr>
    </w:p>
    <w:p w14:paraId="23E8EE3D" w14:textId="7E2D8563" w:rsidR="0067341A" w:rsidRPr="001E6367" w:rsidRDefault="0067341A" w:rsidP="001E6367">
      <w:pPr>
        <w:spacing w:line="360" w:lineRule="auto"/>
        <w:jc w:val="both"/>
        <w:rPr>
          <w:rFonts w:ascii="Verdana" w:hAnsi="Verdana" w:cs="Arial"/>
          <w:sz w:val="22"/>
          <w:szCs w:val="22"/>
          <w:lang w:val="es-CO"/>
        </w:rPr>
      </w:pPr>
      <w:r w:rsidRPr="001E6367">
        <w:rPr>
          <w:rFonts w:ascii="Verdana" w:hAnsi="Verdana" w:cs="Arial"/>
          <w:sz w:val="22"/>
          <w:szCs w:val="22"/>
          <w:lang w:val="es-CO"/>
        </w:rPr>
        <w:t>El artículo 23 de la Ley 222 de 1995 indicó que: ‘Los administradores deben obrar de buena fe, con lealtad y con la diligencia de un buen hombre de negocios. Sus actuaciones se cumplirán en interés de la sociedad, teniendo en cuenta los intereses de sus asociados […]’.</w:t>
      </w:r>
    </w:p>
    <w:p w14:paraId="3A085953" w14:textId="77777777" w:rsidR="0067341A" w:rsidRPr="001E6367" w:rsidRDefault="0067341A" w:rsidP="0067341A">
      <w:pPr>
        <w:spacing w:line="360" w:lineRule="auto"/>
        <w:ind w:firstLine="708"/>
        <w:jc w:val="both"/>
        <w:rPr>
          <w:rFonts w:ascii="Verdana" w:hAnsi="Verdana" w:cs="Arial"/>
          <w:sz w:val="22"/>
          <w:szCs w:val="22"/>
          <w:lang w:val="es-CO"/>
        </w:rPr>
      </w:pPr>
    </w:p>
    <w:p w14:paraId="6D57A3B6" w14:textId="77777777" w:rsidR="0067341A" w:rsidRPr="001775CC" w:rsidRDefault="0067341A" w:rsidP="001E6367">
      <w:pPr>
        <w:spacing w:line="360" w:lineRule="auto"/>
        <w:jc w:val="both"/>
        <w:rPr>
          <w:rFonts w:ascii="Verdana" w:hAnsi="Verdana" w:cs="Arial"/>
          <w:sz w:val="22"/>
          <w:szCs w:val="22"/>
        </w:rPr>
      </w:pPr>
      <w:r w:rsidRPr="001775CC">
        <w:rPr>
          <w:rFonts w:ascii="Verdana" w:hAnsi="Verdana" w:cs="Arial"/>
          <w:sz w:val="22"/>
          <w:szCs w:val="22"/>
          <w:lang w:val="es-CO"/>
        </w:rPr>
        <w:t>La Ley 222 de 1995, en el inciso tercero del artículo 25 dispuso “[…]</w:t>
      </w:r>
      <w:r w:rsidRPr="001775CC">
        <w:rPr>
          <w:rFonts w:ascii="Verdana" w:hAnsi="Verdana" w:cs="Arial"/>
          <w:sz w:val="22"/>
          <w:szCs w:val="22"/>
        </w:rPr>
        <w:t>Sin embargo, cuando adoptada la decisión por la asamblea o junta de socios, no se inicie la acción social de responsabilidad dentro de los tres meses siguientes, ésta podrá ser ejercida por cualquier administrador, el revisor fiscal o por cualquiera de los socios en interés de la sociedad. </w:t>
      </w:r>
    </w:p>
    <w:p w14:paraId="56305FCC" w14:textId="77777777" w:rsidR="0067341A" w:rsidRPr="001775CC" w:rsidRDefault="0067341A" w:rsidP="0067341A">
      <w:pPr>
        <w:spacing w:line="360" w:lineRule="auto"/>
        <w:ind w:firstLine="708"/>
        <w:jc w:val="both"/>
        <w:rPr>
          <w:rFonts w:ascii="Verdana" w:hAnsi="Verdana" w:cs="Arial"/>
          <w:sz w:val="22"/>
          <w:szCs w:val="22"/>
        </w:rPr>
      </w:pPr>
    </w:p>
    <w:p w14:paraId="18D7F77E" w14:textId="77777777" w:rsidR="0067341A" w:rsidRPr="001775CC" w:rsidRDefault="0067341A" w:rsidP="001E6367">
      <w:pPr>
        <w:spacing w:line="360" w:lineRule="auto"/>
        <w:jc w:val="both"/>
        <w:rPr>
          <w:rFonts w:ascii="Verdana" w:hAnsi="Verdana" w:cs="Arial"/>
          <w:sz w:val="22"/>
          <w:szCs w:val="22"/>
          <w:lang w:val="es-CO"/>
        </w:rPr>
      </w:pPr>
      <w:r w:rsidRPr="001775CC">
        <w:rPr>
          <w:rFonts w:ascii="Verdana" w:hAnsi="Verdana" w:cs="Arial"/>
          <w:sz w:val="22"/>
          <w:szCs w:val="22"/>
        </w:rPr>
        <w:t>E</w:t>
      </w:r>
      <w:r w:rsidRPr="001775CC">
        <w:rPr>
          <w:rFonts w:ascii="Verdana" w:hAnsi="Verdana" w:cs="Arial"/>
          <w:sz w:val="22"/>
          <w:szCs w:val="22"/>
          <w:lang w:val="es-CO"/>
        </w:rPr>
        <w:t>l Decreto 046 de 2024 se ocupó de sustituir el Capítulo 3 del Título 2 de la parte 2 del Libro 2 del Decreto 1074 de 2015 y de reglamentar parcialmente el artículo 23 de la Ley 222 de 1995, en los siguientes términos:</w:t>
      </w:r>
    </w:p>
    <w:p w14:paraId="303E6335" w14:textId="77777777" w:rsidR="0067341A" w:rsidRPr="001775CC" w:rsidRDefault="0067341A" w:rsidP="0067341A">
      <w:pPr>
        <w:spacing w:line="360" w:lineRule="auto"/>
        <w:jc w:val="both"/>
        <w:rPr>
          <w:rFonts w:ascii="Arial" w:hAnsi="Arial" w:cs="Arial"/>
          <w:lang w:val="es-CO"/>
        </w:rPr>
      </w:pPr>
    </w:p>
    <w:p w14:paraId="6470B833"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ARTÍCULO 2.2.2.3.1. </w:t>
      </w:r>
      <w:r w:rsidRPr="001775CC">
        <w:rPr>
          <w:rFonts w:ascii="Verdana" w:hAnsi="Verdana" w:cs="Arial"/>
          <w:sz w:val="22"/>
          <w:szCs w:val="22"/>
          <w:u w:val="single"/>
          <w:lang w:val="es-CO"/>
        </w:rPr>
        <w:t>Alcance del conflicto de intereses</w:t>
      </w:r>
      <w:r w:rsidRPr="001775CC">
        <w:rPr>
          <w:rFonts w:ascii="Verdana" w:hAnsi="Verdana" w:cs="Arial"/>
          <w:sz w:val="22"/>
          <w:szCs w:val="22"/>
          <w:lang w:val="es-CO"/>
        </w:rPr>
        <w:t xml:space="preserve">. Habrá conflicto de intereses en el marco de lo dispuesto en el numeral 7 del artículo 23 de la Ley 222 de 1995, de forma enunciativa y no limitativa, cuando exista, por parte del administrador un interés directo o indirecto que pueda comprometer su criterio o independencia en la toma de decisiones en el mejor interés de la sociedad, en lo relativo a uno o varios actos, en los </w:t>
      </w:r>
      <w:r w:rsidRPr="001775CC">
        <w:rPr>
          <w:rFonts w:ascii="Verdana" w:hAnsi="Verdana" w:cs="Arial"/>
          <w:sz w:val="22"/>
          <w:szCs w:val="22"/>
          <w:lang w:val="es-CO"/>
        </w:rPr>
        <w:lastRenderedPageBreak/>
        <w:t>que sea parte o esté involucrada la sociedad en la que dicho administrador ejerce sus funciones.</w:t>
      </w:r>
    </w:p>
    <w:p w14:paraId="53577576" w14:textId="77777777" w:rsidR="0067341A" w:rsidRPr="000B5F55" w:rsidRDefault="0067341A" w:rsidP="0067341A">
      <w:pPr>
        <w:spacing w:line="360" w:lineRule="auto"/>
        <w:jc w:val="both"/>
        <w:rPr>
          <w:rFonts w:ascii="Verdana" w:hAnsi="Verdana" w:cs="Arial"/>
          <w:sz w:val="22"/>
          <w:szCs w:val="22"/>
          <w:highlight w:val="yellow"/>
          <w:lang w:val="es-CO"/>
        </w:rPr>
      </w:pPr>
    </w:p>
    <w:p w14:paraId="5D421026"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Algunos posibles eventos de conflicto de intereses son los actos o negocios en que participe el administrador como representante de la sociedad, por una parte, y por otra, él mismo como persona natural o administrador de otra sociedad, o terceros de acuerdo con lo contemplado en el artículo 2.2.2.3.3.</w:t>
      </w:r>
    </w:p>
    <w:p w14:paraId="4A726B4E" w14:textId="77777777" w:rsidR="0067341A" w:rsidRPr="00240C46" w:rsidRDefault="0067341A" w:rsidP="0067341A">
      <w:pPr>
        <w:spacing w:line="360" w:lineRule="auto"/>
        <w:jc w:val="both"/>
        <w:rPr>
          <w:rFonts w:ascii="Arial" w:hAnsi="Arial" w:cs="Arial"/>
          <w:highlight w:val="yellow"/>
          <w:lang w:val="es-CO"/>
        </w:rPr>
      </w:pPr>
    </w:p>
    <w:p w14:paraId="228B5F96" w14:textId="79914E76"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ARTÍCULO 2.2.2.3.2. </w:t>
      </w:r>
      <w:r w:rsidRPr="001775CC">
        <w:rPr>
          <w:rFonts w:ascii="Verdana" w:hAnsi="Verdana" w:cs="Arial"/>
          <w:sz w:val="22"/>
          <w:szCs w:val="22"/>
          <w:u w:val="single"/>
          <w:lang w:val="es-CO"/>
        </w:rPr>
        <w:t>De las actividades que impliquen competencia con la sociedad</w:t>
      </w:r>
      <w:r w:rsidRPr="001775CC">
        <w:rPr>
          <w:rFonts w:ascii="Verdana" w:hAnsi="Verdana" w:cs="Arial"/>
          <w:sz w:val="22"/>
          <w:szCs w:val="22"/>
          <w:lang w:val="es-CO"/>
        </w:rPr>
        <w:t>. Se considera que son actos de competencia con la sociedad en el marco de lo dispuesto en el numeral 7 del artículo 23 de la Ley 222 de 1995, de forma enunciativa y no limitativa, aquellos que implican por parte del administrador, directamente o por interpuesta persona. la concurrencia en un mismo mercado, o cuando el administrador toma para para sí, directamente o por interpuesta persona, oportunidades de negocio que le correspondan o hubieran estado al alcance de la sociedad en la que este sujeto ejerce sus funciones.</w:t>
      </w:r>
    </w:p>
    <w:p w14:paraId="57DEC592" w14:textId="77777777" w:rsidR="0067341A" w:rsidRPr="001775CC" w:rsidRDefault="0067341A" w:rsidP="0067341A">
      <w:pPr>
        <w:spacing w:line="360" w:lineRule="auto"/>
        <w:jc w:val="both"/>
        <w:rPr>
          <w:rFonts w:ascii="Verdana" w:hAnsi="Verdana" w:cs="Arial"/>
          <w:sz w:val="22"/>
          <w:szCs w:val="22"/>
          <w:lang w:val="es-CO"/>
        </w:rPr>
      </w:pPr>
    </w:p>
    <w:p w14:paraId="184E6834"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La conducta de ley no califica la forma como se desarrolla esa competencia, es decir, no se exige que involucre una práctica restrictiva de la competencia o competencia desleal, basta que implique competencia con la sociedad.</w:t>
      </w:r>
    </w:p>
    <w:p w14:paraId="13005787" w14:textId="77777777" w:rsidR="0067341A" w:rsidRPr="001775CC" w:rsidRDefault="0067341A" w:rsidP="0067341A">
      <w:pPr>
        <w:spacing w:line="360" w:lineRule="auto"/>
        <w:jc w:val="both"/>
        <w:rPr>
          <w:rFonts w:ascii="Verdana" w:hAnsi="Verdana" w:cs="Arial"/>
          <w:sz w:val="22"/>
          <w:szCs w:val="22"/>
          <w:lang w:val="es-CO"/>
        </w:rPr>
      </w:pPr>
    </w:p>
    <w:p w14:paraId="0F2A9835"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ARTÍCULO 2.2,2.3.3. </w:t>
      </w:r>
      <w:r w:rsidRPr="001775CC">
        <w:rPr>
          <w:rFonts w:ascii="Verdana" w:hAnsi="Verdana" w:cs="Arial"/>
          <w:sz w:val="22"/>
          <w:szCs w:val="22"/>
          <w:u w:val="single"/>
          <w:lang w:val="es-CO"/>
        </w:rPr>
        <w:t>Conflicto de intereses por interpuesta persona</w:t>
      </w:r>
      <w:r w:rsidRPr="001775CC">
        <w:rPr>
          <w:rFonts w:ascii="Verdana" w:hAnsi="Verdana" w:cs="Arial"/>
          <w:sz w:val="22"/>
          <w:szCs w:val="22"/>
          <w:lang w:val="es-CO"/>
        </w:rPr>
        <w:t>. Para los fines del numeral 7 del artículo 23 de la Ley 222 de 1995, con carácter enunciativo y no limitativo, los administradores podrían estar incurriendo en competencia o conflicto de intereses por interpuesta persona, cuando en los actos correspondientes sean partes los siguientes sujetos:</w:t>
      </w:r>
    </w:p>
    <w:p w14:paraId="701DEBA3" w14:textId="77777777" w:rsidR="0067341A" w:rsidRPr="001775CC" w:rsidRDefault="0067341A" w:rsidP="0067341A">
      <w:pPr>
        <w:spacing w:line="360" w:lineRule="auto"/>
        <w:jc w:val="both"/>
        <w:rPr>
          <w:rFonts w:ascii="Verdana" w:hAnsi="Verdana" w:cs="Arial"/>
          <w:sz w:val="22"/>
          <w:szCs w:val="22"/>
          <w:lang w:val="es-CO"/>
        </w:rPr>
      </w:pPr>
    </w:p>
    <w:p w14:paraId="46E5C9DF" w14:textId="4A420A31" w:rsidR="0067341A" w:rsidRPr="001775CC" w:rsidRDefault="00772900"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1.</w:t>
      </w:r>
      <w:r w:rsidR="0067341A" w:rsidRPr="001775CC">
        <w:rPr>
          <w:rFonts w:ascii="Verdana" w:hAnsi="Verdana" w:cs="Arial"/>
          <w:sz w:val="22"/>
          <w:szCs w:val="22"/>
          <w:lang w:val="es-CO"/>
        </w:rPr>
        <w:t xml:space="preserve"> El cónyuge o compañero permanente del administrador;</w:t>
      </w:r>
    </w:p>
    <w:p w14:paraId="787E3B03"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lastRenderedPageBreak/>
        <w:t>2. Los parientes del administrador, de su cónyuge o de su compañero permanente, hasta el segundo grado de consanguinidad o civil, y segundo de afinidad;</w:t>
      </w:r>
    </w:p>
    <w:p w14:paraId="1DAADB7A"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3. Las sociedades en las que el administrador o cualquiera de las personas mencionadas en los numerales anteriores, detenten la calidad de controlantes, conforme al artículo 260 del Código de Comercio;</w:t>
      </w:r>
    </w:p>
    <w:p w14:paraId="3EB294B0"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4. Las sociedades representadas simultáneamente por el administrador;</w:t>
      </w:r>
    </w:p>
    <w:p w14:paraId="63FEF4B5"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5. Los patrimonios autónomos en los que el administrador, o cualquiera de las personas mencionadas en los numerales anteriores, sean fideicomitentes o beneficiarios, o que</w:t>
      </w:r>
      <w:r w:rsidRPr="001775CC">
        <w:rPr>
          <w:rFonts w:ascii="Arial" w:hAnsi="Arial" w:cs="Arial"/>
          <w:lang w:val="es-CO"/>
        </w:rPr>
        <w:t xml:space="preserve"> </w:t>
      </w:r>
      <w:r w:rsidRPr="001775CC">
        <w:rPr>
          <w:rFonts w:ascii="Verdana" w:hAnsi="Verdana" w:cs="Arial"/>
          <w:sz w:val="22"/>
          <w:szCs w:val="22"/>
          <w:lang w:val="es-CO"/>
        </w:rPr>
        <w:t>ejerza el control efectivo y/o final, o que tenga derecho a gozar y/o disponer de los activos, beneficios, resultados o utilidades; y</w:t>
      </w:r>
    </w:p>
    <w:p w14:paraId="46FEBC9D" w14:textId="7CDA5ED8"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6. Las personas que ejerzan control directo o indirecto sobre la sociedad en la que el administrador ejerce sus funciones o las subordinadas de </w:t>
      </w:r>
      <w:r w:rsidR="000B5F55" w:rsidRPr="001775CC">
        <w:rPr>
          <w:rFonts w:ascii="Verdana" w:hAnsi="Verdana" w:cs="Arial"/>
          <w:sz w:val="22"/>
          <w:szCs w:val="22"/>
          <w:lang w:val="es-CO"/>
        </w:rPr>
        <w:t>dichas controlantes</w:t>
      </w:r>
      <w:r w:rsidRPr="001775CC">
        <w:rPr>
          <w:rFonts w:ascii="Verdana" w:hAnsi="Verdana" w:cs="Arial"/>
          <w:sz w:val="22"/>
          <w:szCs w:val="22"/>
          <w:lang w:val="es-CO"/>
        </w:rPr>
        <w:t>.</w:t>
      </w:r>
    </w:p>
    <w:p w14:paraId="3596AC5A" w14:textId="77777777" w:rsidR="0067341A" w:rsidRPr="001775CC" w:rsidRDefault="0067341A" w:rsidP="0067341A">
      <w:pPr>
        <w:spacing w:line="360" w:lineRule="auto"/>
        <w:jc w:val="both"/>
        <w:rPr>
          <w:rFonts w:ascii="Arial" w:hAnsi="Arial" w:cs="Arial"/>
          <w:lang w:val="es-CO"/>
        </w:rPr>
      </w:pPr>
    </w:p>
    <w:p w14:paraId="705EBFF3"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PARÁGRAFO. Para los efectos aquí establecidos la situación de control no requiere que se encuentre inscrita en los términos del artículo 30 de la Ley 222 de 1995, dado que dicha omisión y sus consecuencias, no excluye la consideración de un eventual conflicto de intereses o competencia con la sociedad.</w:t>
      </w:r>
    </w:p>
    <w:p w14:paraId="7DF6C383" w14:textId="77777777" w:rsidR="0067341A" w:rsidRPr="001775CC" w:rsidRDefault="0067341A" w:rsidP="0067341A">
      <w:pPr>
        <w:spacing w:line="360" w:lineRule="auto"/>
        <w:jc w:val="both"/>
        <w:rPr>
          <w:rFonts w:ascii="Verdana" w:hAnsi="Verdana" w:cs="Arial"/>
          <w:sz w:val="22"/>
          <w:szCs w:val="22"/>
          <w:lang w:val="es-CO"/>
        </w:rPr>
      </w:pPr>
    </w:p>
    <w:p w14:paraId="7EB76AB4"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ARTÍCULO 2.2.2.3.4. </w:t>
      </w:r>
      <w:r w:rsidRPr="001775CC">
        <w:rPr>
          <w:rFonts w:ascii="Verdana" w:hAnsi="Verdana" w:cs="Arial"/>
          <w:sz w:val="22"/>
          <w:szCs w:val="22"/>
          <w:u w:val="single"/>
          <w:lang w:val="es-CO"/>
        </w:rPr>
        <w:t>Procedimiento en casos de conflicto de intereses o actividades que impliquen competencia con la sociedad</w:t>
      </w:r>
      <w:r w:rsidRPr="001775CC">
        <w:rPr>
          <w:rFonts w:ascii="Verdana" w:hAnsi="Verdana" w:cs="Arial"/>
          <w:sz w:val="22"/>
          <w:szCs w:val="22"/>
          <w:lang w:val="es-CO"/>
        </w:rPr>
        <w:t>. Salvo lo establecido en normas imperativas especiales, en caso de que cierto acto o negocio pueda implicar conflicto de intereses o competencia con la sociedad en la que el administrador ejerce sus funciones, el administrador se abstendrá de participar, a menos que se cumpla el siguiente procedimiento:</w:t>
      </w:r>
    </w:p>
    <w:p w14:paraId="5D856DCE" w14:textId="77777777" w:rsidR="0067341A" w:rsidRPr="001775CC" w:rsidRDefault="0067341A" w:rsidP="0067341A">
      <w:pPr>
        <w:spacing w:line="360" w:lineRule="auto"/>
        <w:jc w:val="both"/>
        <w:rPr>
          <w:rFonts w:ascii="Arial" w:hAnsi="Arial" w:cs="Arial"/>
          <w:lang w:val="es-CO"/>
        </w:rPr>
      </w:pPr>
    </w:p>
    <w:p w14:paraId="62D25FC2" w14:textId="77777777" w:rsidR="0067341A" w:rsidRPr="001775CC" w:rsidRDefault="0067341A" w:rsidP="0067341A">
      <w:pPr>
        <w:spacing w:line="360" w:lineRule="auto"/>
        <w:jc w:val="both"/>
        <w:rPr>
          <w:rFonts w:ascii="Verdana" w:hAnsi="Verdana" w:cs="Arial"/>
          <w:sz w:val="22"/>
          <w:szCs w:val="22"/>
          <w:lang w:val="es-CO"/>
        </w:rPr>
      </w:pPr>
      <w:r w:rsidRPr="001775CC">
        <w:rPr>
          <w:rFonts w:ascii="Verdana" w:hAnsi="Verdana" w:cs="Arial"/>
          <w:sz w:val="22"/>
          <w:szCs w:val="22"/>
          <w:lang w:val="es-CO"/>
        </w:rPr>
        <w:t xml:space="preserve">1. Si el administrador tuviere facultades para convocar a la asamblea general de accionistas o junta de socios, deberá efectuarla, o de </w:t>
      </w:r>
      <w:proofErr w:type="spellStart"/>
      <w:r w:rsidRPr="001775CC">
        <w:rPr>
          <w:rFonts w:ascii="Verdana" w:hAnsi="Verdana" w:cs="Arial"/>
          <w:sz w:val="22"/>
          <w:szCs w:val="22"/>
          <w:lang w:val="es-CO"/>
        </w:rPr>
        <w:t>Io</w:t>
      </w:r>
      <w:proofErr w:type="spellEnd"/>
      <w:r w:rsidRPr="001775CC">
        <w:rPr>
          <w:rFonts w:ascii="Verdana" w:hAnsi="Verdana" w:cs="Arial"/>
          <w:sz w:val="22"/>
          <w:szCs w:val="22"/>
          <w:lang w:val="es-CO"/>
        </w:rPr>
        <w:t xml:space="preserve"> contrario, revelarlo al representante legal, o a quien tenga facultades para convocar, para que se efectúe la convocatoria. Si la reunión es extraordinaria, deberá incluirse en el orden del día inserto </w:t>
      </w:r>
      <w:r w:rsidRPr="001775CC">
        <w:rPr>
          <w:rFonts w:ascii="Verdana" w:hAnsi="Verdana" w:cs="Arial"/>
          <w:sz w:val="22"/>
          <w:szCs w:val="22"/>
          <w:lang w:val="es-CO"/>
        </w:rPr>
        <w:lastRenderedPageBreak/>
        <w:t>en la convocatoria el punto relativo al sometimiento a consideración del máximo órgano social del acto o negocio jurídico respecto del cual exista o pueda existir conflicto de intereses o competencia con la sociedad. Lo anterior, sin perjuicio de que, en todo caso, al finalizar la reunión se considere la inclusión de este asunto dentro de un nuevo punto del orden del día, en los términos del artículo 425 del Código de Comercio.</w:t>
      </w:r>
    </w:p>
    <w:p w14:paraId="3BB09335" w14:textId="77777777" w:rsidR="0067341A" w:rsidRPr="00240C46" w:rsidRDefault="0067341A" w:rsidP="0067341A">
      <w:pPr>
        <w:spacing w:line="360" w:lineRule="auto"/>
        <w:jc w:val="both"/>
        <w:rPr>
          <w:rFonts w:ascii="Arial" w:hAnsi="Arial" w:cs="Arial"/>
          <w:highlight w:val="yellow"/>
          <w:lang w:val="es-CO"/>
        </w:rPr>
      </w:pPr>
    </w:p>
    <w:p w14:paraId="000C2A28"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 xml:space="preserve">Si la reunión es ordinaria, es igualmente posible que se considere </w:t>
      </w:r>
      <w:proofErr w:type="spellStart"/>
      <w:r w:rsidRPr="001813E6">
        <w:rPr>
          <w:rFonts w:ascii="Verdana" w:hAnsi="Verdana" w:cs="Arial"/>
          <w:sz w:val="22"/>
          <w:szCs w:val="22"/>
          <w:lang w:val="es-CO"/>
        </w:rPr>
        <w:t>ta</w:t>
      </w:r>
      <w:proofErr w:type="spellEnd"/>
      <w:r w:rsidRPr="001813E6">
        <w:rPr>
          <w:rFonts w:ascii="Verdana" w:hAnsi="Verdana" w:cs="Arial"/>
          <w:sz w:val="22"/>
          <w:szCs w:val="22"/>
          <w:lang w:val="es-CO"/>
        </w:rPr>
        <w:t xml:space="preserve"> inclusión del punto dentro del orden del día, conforme a lo dispuesto en el inciso primero del artículo 182 del Código de Comercio.</w:t>
      </w:r>
    </w:p>
    <w:p w14:paraId="6DB9E219" w14:textId="77777777" w:rsidR="0067341A" w:rsidRPr="001813E6" w:rsidRDefault="0067341A" w:rsidP="0067341A">
      <w:pPr>
        <w:spacing w:line="360" w:lineRule="auto"/>
        <w:jc w:val="both"/>
        <w:rPr>
          <w:rFonts w:ascii="Verdana" w:hAnsi="Verdana" w:cs="Arial"/>
          <w:sz w:val="22"/>
          <w:szCs w:val="22"/>
          <w:lang w:val="es-CO"/>
        </w:rPr>
      </w:pPr>
    </w:p>
    <w:p w14:paraId="0F23C150"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2. Durante la reunión el administrador deberá suministrar a los asociados toda la información que sea relevante para la toma de la decisión, de manera clara, veraz y suficiente, debiendo señalar además los hechos que dan lugar a la configuración del conflicto de intereses o al acto en competencia.</w:t>
      </w:r>
    </w:p>
    <w:p w14:paraId="69BBCE49" w14:textId="77777777" w:rsidR="0067341A" w:rsidRPr="001813E6" w:rsidRDefault="0067341A" w:rsidP="0067341A">
      <w:pPr>
        <w:spacing w:line="360" w:lineRule="auto"/>
        <w:jc w:val="both"/>
        <w:rPr>
          <w:rFonts w:ascii="Verdana" w:hAnsi="Verdana" w:cs="Arial"/>
          <w:sz w:val="22"/>
          <w:szCs w:val="22"/>
          <w:lang w:val="es-CO"/>
        </w:rPr>
      </w:pPr>
    </w:p>
    <w:p w14:paraId="64E5B782"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3. La autorización podrá otorgarse cuando el acto o negocio jurídico no perjudique los intereses de la sociedad. Para los efectos de la autorización para participar en el acto en conflicto de intereses o en competencia, deberá excluirse el voto del administrador si fuere asociado.</w:t>
      </w:r>
    </w:p>
    <w:p w14:paraId="5BBDF321" w14:textId="77777777" w:rsidR="0067341A" w:rsidRPr="001813E6" w:rsidRDefault="0067341A" w:rsidP="0067341A">
      <w:pPr>
        <w:spacing w:line="360" w:lineRule="auto"/>
        <w:jc w:val="both"/>
        <w:rPr>
          <w:rFonts w:ascii="Arial" w:hAnsi="Arial" w:cs="Arial"/>
          <w:lang w:val="es-CO"/>
        </w:rPr>
      </w:pPr>
    </w:p>
    <w:p w14:paraId="21253153"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4. Los accionistas o socios que hayan autorizado expresamente la realización de un acto respecto del cual exista conflicto de intereses o competencia con la sociedad, que perjudique los intereses de la sociedad, en contravía del mandato de votar en interés de la misma contemplado en el artículo 43 de la Ley 1258 de 2008 y el artículo 420 numeral 6 del Código de Comercio, serán responsables por los perjuicios que ocasionen a esta, a los socios y a terceros, salvo que dicha autorización se haya obtenido sin habérsele proporcionado la información suficiente para la toma de la decisión. Lo anterior, sin perjuicio de la declaratoria de nulidad que pudiese resultar de los actos amparados en tales decisiones por violación de la ley.</w:t>
      </w:r>
    </w:p>
    <w:p w14:paraId="2AE20C0E" w14:textId="77777777" w:rsidR="0067341A" w:rsidRPr="001813E6" w:rsidRDefault="0067341A" w:rsidP="0067341A">
      <w:pPr>
        <w:spacing w:line="360" w:lineRule="auto"/>
        <w:jc w:val="both"/>
        <w:rPr>
          <w:rFonts w:ascii="Verdana" w:hAnsi="Verdana" w:cs="Arial"/>
          <w:sz w:val="22"/>
          <w:szCs w:val="22"/>
          <w:lang w:val="es-CO"/>
        </w:rPr>
      </w:pPr>
    </w:p>
    <w:p w14:paraId="3CF532D4"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5. El proceso judicial para obtener la declaratoria de nulidad absoluta de los actos ejecutados en contra de los deberes de los administradores consagrados en el numeral 7 del artículo 23 de la Ley 222 de 1995, se adelantará mediante el proceso verbal de acuerdo con lo previsto en el Código General del Proceso.</w:t>
      </w:r>
    </w:p>
    <w:p w14:paraId="25ABBC45" w14:textId="77777777" w:rsidR="0067341A" w:rsidRPr="001813E6" w:rsidRDefault="0067341A" w:rsidP="0067341A">
      <w:pPr>
        <w:spacing w:line="360" w:lineRule="auto"/>
        <w:jc w:val="both"/>
        <w:rPr>
          <w:rFonts w:ascii="Arial" w:hAnsi="Arial" w:cs="Arial"/>
          <w:lang w:val="es-CO"/>
        </w:rPr>
      </w:pPr>
    </w:p>
    <w:p w14:paraId="486260F5"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6. Salvo los derechos de terceros que hayan obrado de buena fe, declarada la nulidad, se restituirán las cosas a su estado anterior, lo que podría incluir, entre otros, el reintegro de las ganancias obtenidas con la realización de la conducta sancionada, sin perjuicio de las acciones de impugnación de las decisiones, de conformidad con lo dispuesto en el artículo 191 y siguientes del Código de Comercio.</w:t>
      </w:r>
    </w:p>
    <w:p w14:paraId="012E7232" w14:textId="77777777" w:rsidR="0067341A" w:rsidRPr="001813E6" w:rsidRDefault="0067341A" w:rsidP="0067341A">
      <w:pPr>
        <w:spacing w:line="360" w:lineRule="auto"/>
        <w:jc w:val="both"/>
        <w:rPr>
          <w:rFonts w:ascii="Verdana" w:hAnsi="Verdana" w:cs="Arial"/>
          <w:sz w:val="22"/>
          <w:szCs w:val="22"/>
          <w:lang w:val="es-CO"/>
        </w:rPr>
      </w:pPr>
    </w:p>
    <w:p w14:paraId="6DDF9DCF"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 xml:space="preserve">7. Mediante este mismo trámite, el administrador que obre contrariando lo dispuesto en el artículo 23 de la Ley 222 de 1995, será condenado a indemnizar a quien hubiese causado perjuicios teniendo en cuenta </w:t>
      </w:r>
      <w:proofErr w:type="spellStart"/>
      <w:r w:rsidRPr="001813E6">
        <w:rPr>
          <w:rFonts w:ascii="Verdana" w:hAnsi="Verdana" w:cs="Arial"/>
          <w:sz w:val="22"/>
          <w:szCs w:val="22"/>
          <w:lang w:val="es-CO"/>
        </w:rPr>
        <w:t>Io</w:t>
      </w:r>
      <w:proofErr w:type="spellEnd"/>
      <w:r w:rsidRPr="001813E6">
        <w:rPr>
          <w:rFonts w:ascii="Verdana" w:hAnsi="Verdana" w:cs="Arial"/>
          <w:sz w:val="22"/>
          <w:szCs w:val="22"/>
          <w:lang w:val="es-CO"/>
        </w:rPr>
        <w:t xml:space="preserve"> previsto en los artículos 24 y 25 de la Ley 222 de 1995.</w:t>
      </w:r>
    </w:p>
    <w:p w14:paraId="36B61080" w14:textId="77777777" w:rsidR="0067341A" w:rsidRPr="001813E6" w:rsidRDefault="0067341A" w:rsidP="0067341A">
      <w:pPr>
        <w:spacing w:line="360" w:lineRule="auto"/>
        <w:jc w:val="both"/>
        <w:rPr>
          <w:rFonts w:ascii="Verdana" w:hAnsi="Verdana" w:cs="Arial"/>
          <w:sz w:val="22"/>
          <w:szCs w:val="22"/>
          <w:lang w:val="es-CO"/>
        </w:rPr>
      </w:pPr>
    </w:p>
    <w:p w14:paraId="01A3DF16"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8. Siempre que no se hubiere iniciado la acción social de responsabilidad, cualquier asociado podrá presentar, por su propia cuenta, pero en interés de la sociedad la acción para que se resarzan a la compañía los perjuicios sufridos por ésta como consecuencia de la conducta de los administradores.</w:t>
      </w:r>
    </w:p>
    <w:p w14:paraId="06B207A4" w14:textId="77777777" w:rsidR="0067341A" w:rsidRPr="001813E6" w:rsidRDefault="0067341A" w:rsidP="0067341A">
      <w:pPr>
        <w:spacing w:line="360" w:lineRule="auto"/>
        <w:jc w:val="both"/>
        <w:rPr>
          <w:rFonts w:ascii="Arial" w:hAnsi="Arial" w:cs="Arial"/>
          <w:lang w:val="es-CO"/>
        </w:rPr>
      </w:pPr>
    </w:p>
    <w:p w14:paraId="76DBDE57"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PARÁGRAFO 1°. Si el revisor fiscal de la sociedad tiene conocimiento de que algún administrador está participando o participó en un acto u operación en el cual potencialmente pueda existir conflicto de intereses o que pueda implicar competencia con la sociedad, sin autorización de la junta de socios o la asamblea general de accionistas, según el caso, deberá advertirlo, por escrito, al máximo órgano social y al representante legal, en los términos del numeral 2 del artículo 207 del Código de Comercio.</w:t>
      </w:r>
    </w:p>
    <w:p w14:paraId="6BEDAB0C" w14:textId="77777777" w:rsidR="0067341A" w:rsidRPr="001813E6" w:rsidRDefault="0067341A" w:rsidP="0067341A">
      <w:pPr>
        <w:spacing w:line="360" w:lineRule="auto"/>
        <w:jc w:val="both"/>
        <w:rPr>
          <w:rFonts w:ascii="Verdana" w:hAnsi="Verdana" w:cs="Arial"/>
          <w:sz w:val="22"/>
          <w:szCs w:val="22"/>
          <w:lang w:val="es-CO"/>
        </w:rPr>
      </w:pPr>
    </w:p>
    <w:p w14:paraId="17C7E220" w14:textId="77777777" w:rsidR="0067341A" w:rsidRPr="007C7FF0" w:rsidRDefault="0067341A" w:rsidP="0067341A">
      <w:pPr>
        <w:spacing w:line="360" w:lineRule="auto"/>
        <w:jc w:val="both"/>
        <w:rPr>
          <w:rFonts w:ascii="Verdana" w:hAnsi="Verdana" w:cs="Arial"/>
          <w:sz w:val="22"/>
          <w:szCs w:val="22"/>
          <w:highlight w:val="yellow"/>
          <w:lang w:val="es-CO"/>
        </w:rPr>
      </w:pPr>
      <w:r w:rsidRPr="001813E6">
        <w:rPr>
          <w:rFonts w:ascii="Verdana" w:hAnsi="Verdana" w:cs="Arial"/>
          <w:sz w:val="22"/>
          <w:szCs w:val="22"/>
          <w:lang w:val="es-CO"/>
        </w:rPr>
        <w:t>PARÁGRAFO 2°. Las operaciones autorizadas bajo este procedimiento, así como las que se vayan a someter a consideración del máximo órgano social deberán informarse adicionalmente como lo disponen los artículos 29 y 47, numeral 3° de la Ley 222 de 1995, en concordancia con el artículo 446, numeral 3 0 del Código de Comercio, según resulten aplicables.</w:t>
      </w:r>
    </w:p>
    <w:p w14:paraId="6A3A955A" w14:textId="77777777" w:rsidR="0067341A" w:rsidRPr="00240C46" w:rsidRDefault="0067341A" w:rsidP="0067341A">
      <w:pPr>
        <w:spacing w:line="360" w:lineRule="auto"/>
        <w:jc w:val="both"/>
        <w:rPr>
          <w:rFonts w:ascii="Arial" w:hAnsi="Arial" w:cs="Arial"/>
          <w:highlight w:val="yellow"/>
          <w:lang w:val="es-CO"/>
        </w:rPr>
      </w:pPr>
    </w:p>
    <w:p w14:paraId="64809295"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PARÁGRAFO 3°. El máximo órgano social podrá impartir autorizaciones generales, al amparo del numeral 7 del artículo 23 de la Ley 222 de 1995, para la celebración de operaciones recurrentes y del giro ordinario durante un determinado ejercicio social, siempre y cuando se señalen con suficiente claridad y precisión los actos o contratos que quedarán comprendidos por la referida autorización general, incluida su naturaleza, partes y temporalidad. En caso de que los actos en conflicto de intereses o competencia sean contrarios a los mejores intereses de la sociedad, no se considerarán amparados por la mencionada autorización general.</w:t>
      </w:r>
    </w:p>
    <w:p w14:paraId="338445C1" w14:textId="77777777" w:rsidR="0067341A" w:rsidRPr="001813E6" w:rsidRDefault="0067341A" w:rsidP="0067341A">
      <w:pPr>
        <w:spacing w:line="360" w:lineRule="auto"/>
        <w:jc w:val="both"/>
        <w:rPr>
          <w:rFonts w:ascii="Arial" w:hAnsi="Arial" w:cs="Arial"/>
          <w:lang w:val="es-CO"/>
        </w:rPr>
      </w:pPr>
    </w:p>
    <w:p w14:paraId="7474DEF7" w14:textId="77777777" w:rsidR="0067341A" w:rsidRPr="001813E6" w:rsidRDefault="0067341A" w:rsidP="0067341A">
      <w:pPr>
        <w:spacing w:line="360" w:lineRule="auto"/>
        <w:jc w:val="both"/>
        <w:rPr>
          <w:rFonts w:ascii="Verdana" w:hAnsi="Verdana" w:cs="Arial"/>
          <w:sz w:val="22"/>
          <w:szCs w:val="22"/>
          <w:lang w:val="es-CO"/>
        </w:rPr>
      </w:pPr>
      <w:r w:rsidRPr="001813E6">
        <w:rPr>
          <w:rFonts w:ascii="Verdana" w:hAnsi="Verdana" w:cs="Arial"/>
          <w:sz w:val="22"/>
          <w:szCs w:val="22"/>
          <w:lang w:val="es-CO"/>
        </w:rPr>
        <w:t>En estos casos, los administradores deberán llevar un registro fidedigno de las operaciones que se celebren al amparo de la autorización general, con el propósito de presentarlo ante los asociados durante la siguiente reunión ordinaria del máximo órgano social, de conformidad con los artículos 29 y 47, numeral 3° de la Ley 222 de 1995, en concordancia con el artículo 446, numeral 3 del Código de Comercio, según resulten aplicables.</w:t>
      </w:r>
    </w:p>
    <w:p w14:paraId="429AB27A" w14:textId="77777777" w:rsidR="0067341A" w:rsidRPr="001813E6" w:rsidRDefault="0067341A" w:rsidP="0067341A">
      <w:pPr>
        <w:spacing w:line="360" w:lineRule="auto"/>
        <w:jc w:val="both"/>
        <w:rPr>
          <w:rFonts w:ascii="Verdana" w:hAnsi="Verdana" w:cs="Arial"/>
          <w:sz w:val="22"/>
          <w:szCs w:val="22"/>
          <w:lang w:val="es-CO"/>
        </w:rPr>
      </w:pPr>
    </w:p>
    <w:p w14:paraId="43BDB8D4" w14:textId="77777777" w:rsidR="0067341A" w:rsidRDefault="0067341A" w:rsidP="0067341A">
      <w:pPr>
        <w:spacing w:line="360" w:lineRule="auto"/>
        <w:jc w:val="both"/>
        <w:rPr>
          <w:rFonts w:ascii="Arial" w:hAnsi="Arial" w:cs="Arial"/>
          <w:lang w:val="es-CO"/>
        </w:rPr>
      </w:pPr>
      <w:r w:rsidRPr="001813E6">
        <w:rPr>
          <w:rFonts w:ascii="Verdana" w:hAnsi="Verdana" w:cs="Arial"/>
          <w:sz w:val="22"/>
          <w:szCs w:val="22"/>
          <w:u w:val="single"/>
          <w:lang w:val="es-CO"/>
        </w:rPr>
        <w:t>ARTÍCULO 2.2.2.3.5. Deferencia al Criterio de Discrecionalidad Empresarial de los administradores.</w:t>
      </w:r>
      <w:r w:rsidRPr="001813E6">
        <w:rPr>
          <w:rFonts w:ascii="Verdana" w:hAnsi="Verdana" w:cs="Arial"/>
          <w:sz w:val="22"/>
          <w:szCs w:val="22"/>
          <w:lang w:val="es-CO"/>
        </w:rPr>
        <w:t xml:space="preserve"> En desarrollo del deber de actuar conforme a la diligencia de un buen hombre de negocios contenido en el artículo 23 de la Ley 222 de 1995, las autoridades respetarán el criterio adoptado por los administradores en la toma de decisiones de negocios, por cuanto se entenderá que se adoptaron de buena fe y en el mejor interés de la sociedad, bajo un juicio suficientemente informado. Lo anterior, salvo los casos </w:t>
      </w:r>
      <w:r w:rsidRPr="001813E6">
        <w:rPr>
          <w:rFonts w:ascii="Verdana" w:hAnsi="Verdana" w:cs="Arial"/>
          <w:sz w:val="22"/>
          <w:szCs w:val="22"/>
          <w:lang w:val="es-CO"/>
        </w:rPr>
        <w:lastRenderedPageBreak/>
        <w:t>de mala fe, extralimitación de sus funciones, incumplimiento o violación de la ley o de los estatutos, violación del deber de lealtad o cuando correspondan a una decisión manifiestamente mal informada</w:t>
      </w:r>
      <w:r w:rsidRPr="001813E6">
        <w:rPr>
          <w:rFonts w:ascii="Arial" w:hAnsi="Arial" w:cs="Arial"/>
          <w:lang w:val="es-CO"/>
        </w:rPr>
        <w:t>.</w:t>
      </w:r>
    </w:p>
    <w:p w14:paraId="1163A300" w14:textId="77777777" w:rsidR="00BD0BCD" w:rsidRDefault="00BD0BCD" w:rsidP="0067341A">
      <w:pPr>
        <w:spacing w:line="360" w:lineRule="auto"/>
        <w:jc w:val="both"/>
        <w:rPr>
          <w:rFonts w:ascii="Verdana" w:hAnsi="Verdana" w:cs="Arial"/>
          <w:b/>
          <w:bCs/>
          <w:sz w:val="22"/>
          <w:szCs w:val="22"/>
        </w:rPr>
      </w:pPr>
    </w:p>
    <w:p w14:paraId="6482CF76" w14:textId="0EC1F124" w:rsidR="0067341A" w:rsidRPr="00571F49" w:rsidRDefault="00745528" w:rsidP="0067341A">
      <w:pPr>
        <w:spacing w:line="360" w:lineRule="auto"/>
        <w:jc w:val="both"/>
        <w:rPr>
          <w:rFonts w:ascii="Verdana" w:hAnsi="Verdana" w:cs="Arial"/>
          <w:b/>
          <w:bCs/>
          <w:sz w:val="22"/>
          <w:szCs w:val="22"/>
        </w:rPr>
      </w:pPr>
      <w:r w:rsidRPr="00571F49">
        <w:rPr>
          <w:rFonts w:ascii="Verdana" w:hAnsi="Verdana" w:cs="Arial"/>
          <w:b/>
          <w:bCs/>
          <w:sz w:val="22"/>
          <w:szCs w:val="22"/>
        </w:rPr>
        <w:t>5.2.2.</w:t>
      </w:r>
      <w:r w:rsidR="00743840" w:rsidRPr="00571F49">
        <w:rPr>
          <w:rFonts w:ascii="Verdana" w:hAnsi="Verdana" w:cs="Arial"/>
          <w:b/>
          <w:bCs/>
          <w:sz w:val="22"/>
          <w:szCs w:val="22"/>
        </w:rPr>
        <w:t>3</w:t>
      </w:r>
      <w:r w:rsidR="00571F49" w:rsidRPr="00571F49">
        <w:rPr>
          <w:rFonts w:ascii="Verdana" w:hAnsi="Verdana" w:cs="Arial"/>
          <w:b/>
          <w:bCs/>
          <w:sz w:val="22"/>
          <w:szCs w:val="22"/>
        </w:rPr>
        <w:t xml:space="preserve"> </w:t>
      </w:r>
      <w:r w:rsidR="0067341A" w:rsidRPr="00571F49">
        <w:rPr>
          <w:rFonts w:ascii="Verdana" w:hAnsi="Verdana" w:cs="Arial"/>
          <w:b/>
          <w:bCs/>
          <w:sz w:val="22"/>
          <w:szCs w:val="22"/>
        </w:rPr>
        <w:t>Trámite procesal</w:t>
      </w:r>
    </w:p>
    <w:p w14:paraId="6DCC1C17" w14:textId="77777777" w:rsidR="00571F49" w:rsidRDefault="00571F49" w:rsidP="00571F49">
      <w:pPr>
        <w:spacing w:line="360" w:lineRule="auto"/>
        <w:jc w:val="both"/>
        <w:rPr>
          <w:rFonts w:ascii="Arial" w:hAnsi="Arial" w:cs="Arial"/>
        </w:rPr>
      </w:pPr>
    </w:p>
    <w:p w14:paraId="095DD7E2" w14:textId="3A8DD25D" w:rsidR="0067341A" w:rsidRPr="00240FD0" w:rsidRDefault="0067341A" w:rsidP="00571F49">
      <w:pPr>
        <w:spacing w:line="360" w:lineRule="auto"/>
        <w:jc w:val="both"/>
        <w:rPr>
          <w:rFonts w:ascii="Verdana" w:hAnsi="Verdana" w:cs="Arial"/>
          <w:sz w:val="22"/>
          <w:szCs w:val="22"/>
        </w:rPr>
      </w:pPr>
      <w:r w:rsidRPr="00240FD0">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702FAFCC" w14:textId="77777777" w:rsidR="0067341A" w:rsidRPr="009D308D" w:rsidRDefault="0067341A" w:rsidP="0067341A">
      <w:pPr>
        <w:spacing w:line="360" w:lineRule="auto"/>
        <w:ind w:firstLine="708"/>
        <w:jc w:val="both"/>
        <w:rPr>
          <w:rFonts w:ascii="Arial" w:hAnsi="Arial" w:cs="Arial"/>
        </w:rPr>
      </w:pPr>
    </w:p>
    <w:p w14:paraId="707815E0" w14:textId="6F7B891A" w:rsidR="0067341A" w:rsidRPr="00AC72A9" w:rsidRDefault="001F527D" w:rsidP="0067341A">
      <w:pPr>
        <w:spacing w:line="360" w:lineRule="auto"/>
        <w:jc w:val="both"/>
        <w:rPr>
          <w:rFonts w:ascii="Verdana" w:hAnsi="Verdana" w:cs="Arial"/>
          <w:b/>
          <w:bCs/>
          <w:sz w:val="22"/>
          <w:szCs w:val="22"/>
        </w:rPr>
      </w:pPr>
      <w:r w:rsidRPr="00AC72A9">
        <w:rPr>
          <w:rFonts w:ascii="Verdana" w:hAnsi="Verdana" w:cs="Arial"/>
          <w:b/>
          <w:bCs/>
          <w:sz w:val="22"/>
          <w:szCs w:val="22"/>
        </w:rPr>
        <w:t>5.2.2.</w:t>
      </w:r>
      <w:r w:rsidR="00EE0A58" w:rsidRPr="00AC72A9">
        <w:rPr>
          <w:rFonts w:ascii="Verdana" w:hAnsi="Verdana" w:cs="Arial"/>
          <w:b/>
          <w:bCs/>
          <w:sz w:val="22"/>
          <w:szCs w:val="22"/>
        </w:rPr>
        <w:t xml:space="preserve">4 </w:t>
      </w:r>
      <w:r w:rsidR="0067341A" w:rsidRPr="00AC72A9">
        <w:rPr>
          <w:rFonts w:ascii="Verdana" w:hAnsi="Verdana" w:cs="Arial"/>
          <w:b/>
          <w:bCs/>
          <w:sz w:val="22"/>
          <w:szCs w:val="22"/>
        </w:rPr>
        <w:t>Jurisprudencia</w:t>
      </w:r>
    </w:p>
    <w:p w14:paraId="6E88C7FE" w14:textId="77777777" w:rsidR="002E4955" w:rsidRPr="00240FD0" w:rsidRDefault="002E4955" w:rsidP="0067341A">
      <w:pPr>
        <w:spacing w:line="360" w:lineRule="auto"/>
        <w:jc w:val="both"/>
        <w:rPr>
          <w:rFonts w:ascii="Verdana" w:hAnsi="Verdana" w:cs="Arial"/>
          <w:b/>
          <w:bCs/>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79"/>
        <w:gridCol w:w="1570"/>
        <w:gridCol w:w="6685"/>
      </w:tblGrid>
      <w:tr w:rsidR="00967950" w:rsidRPr="005D272D" w14:paraId="57CBF0B1" w14:textId="77777777" w:rsidTr="00663F8C">
        <w:trPr>
          <w:tblHeader/>
        </w:trPr>
        <w:tc>
          <w:tcPr>
            <w:tcW w:w="1379" w:type="dxa"/>
            <w:shd w:val="clear" w:color="auto" w:fill="962D46"/>
          </w:tcPr>
          <w:p w14:paraId="4D34706C" w14:textId="77777777" w:rsidR="00967950" w:rsidRPr="002E4955" w:rsidRDefault="00967950" w:rsidP="00DA378C">
            <w:pPr>
              <w:jc w:val="center"/>
              <w:rPr>
                <w:rFonts w:ascii="Verdana" w:hAnsi="Verdana" w:cs="Arial"/>
                <w:b/>
                <w:color w:val="FFFFFF"/>
                <w:sz w:val="20"/>
                <w:szCs w:val="20"/>
              </w:rPr>
            </w:pPr>
            <w:r w:rsidRPr="002E4955">
              <w:rPr>
                <w:rFonts w:ascii="Verdana" w:hAnsi="Verdana" w:cs="Arial"/>
                <w:b/>
                <w:color w:val="FFFFFF"/>
                <w:sz w:val="20"/>
                <w:szCs w:val="20"/>
              </w:rPr>
              <w:t>Caso</w:t>
            </w:r>
          </w:p>
        </w:tc>
        <w:tc>
          <w:tcPr>
            <w:tcW w:w="1570" w:type="dxa"/>
            <w:shd w:val="clear" w:color="auto" w:fill="962D46"/>
          </w:tcPr>
          <w:p w14:paraId="6FC9B1A7" w14:textId="77777777" w:rsidR="00967950" w:rsidRPr="002E4955" w:rsidRDefault="00967950" w:rsidP="00DA378C">
            <w:pPr>
              <w:jc w:val="center"/>
              <w:rPr>
                <w:rFonts w:ascii="Verdana" w:hAnsi="Verdana" w:cs="Arial"/>
                <w:b/>
                <w:color w:val="FFFFFF"/>
                <w:sz w:val="20"/>
                <w:szCs w:val="20"/>
              </w:rPr>
            </w:pPr>
            <w:r w:rsidRPr="002E4955">
              <w:rPr>
                <w:rFonts w:ascii="Verdana" w:hAnsi="Verdana" w:cs="Arial"/>
                <w:b/>
                <w:color w:val="FFFFFF"/>
                <w:sz w:val="20"/>
                <w:szCs w:val="20"/>
              </w:rPr>
              <w:t>Asunto</w:t>
            </w:r>
          </w:p>
        </w:tc>
        <w:tc>
          <w:tcPr>
            <w:tcW w:w="6685" w:type="dxa"/>
            <w:shd w:val="clear" w:color="auto" w:fill="962D46"/>
          </w:tcPr>
          <w:p w14:paraId="27B14C61" w14:textId="77777777" w:rsidR="00967950" w:rsidRPr="002E4955" w:rsidRDefault="00967950" w:rsidP="00DA378C">
            <w:pPr>
              <w:jc w:val="center"/>
              <w:rPr>
                <w:rFonts w:ascii="Verdana" w:hAnsi="Verdana" w:cs="Arial"/>
                <w:b/>
                <w:color w:val="FFFFFF"/>
                <w:sz w:val="20"/>
                <w:szCs w:val="20"/>
              </w:rPr>
            </w:pPr>
            <w:r w:rsidRPr="002E4955">
              <w:rPr>
                <w:rFonts w:ascii="Verdana" w:hAnsi="Verdana" w:cs="Arial"/>
                <w:b/>
                <w:color w:val="FFFFFF"/>
                <w:sz w:val="20"/>
                <w:szCs w:val="20"/>
              </w:rPr>
              <w:t>Extracto</w:t>
            </w:r>
          </w:p>
        </w:tc>
      </w:tr>
      <w:tr w:rsidR="00967950" w:rsidRPr="005D272D" w14:paraId="355F132E" w14:textId="77777777" w:rsidTr="00C52FAB">
        <w:trPr>
          <w:trHeight w:val="4525"/>
        </w:trPr>
        <w:tc>
          <w:tcPr>
            <w:tcW w:w="1379" w:type="dxa"/>
            <w:shd w:val="clear" w:color="auto" w:fill="auto"/>
            <w:vAlign w:val="center"/>
          </w:tcPr>
          <w:p w14:paraId="45DD8CC5"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 xml:space="preserve">Interbolsa S.A. Sociedad Comisionista de Bolsa en Liquidación Forzosa Administrativa contra Alessandro </w:t>
            </w:r>
            <w:proofErr w:type="spellStart"/>
            <w:r w:rsidRPr="00545FDE">
              <w:rPr>
                <w:rFonts w:ascii="Verdana" w:hAnsi="Verdana" w:cs="Arial"/>
                <w:sz w:val="16"/>
                <w:szCs w:val="16"/>
              </w:rPr>
              <w:t>Corridori</w:t>
            </w:r>
            <w:proofErr w:type="spellEnd"/>
            <w:r w:rsidRPr="00545FDE">
              <w:rPr>
                <w:rFonts w:ascii="Verdana" w:hAnsi="Verdana" w:cs="Arial"/>
                <w:sz w:val="16"/>
                <w:szCs w:val="16"/>
              </w:rPr>
              <w:t xml:space="preserve"> y otros</w:t>
            </w:r>
          </w:p>
        </w:tc>
        <w:tc>
          <w:tcPr>
            <w:tcW w:w="1570" w:type="dxa"/>
            <w:shd w:val="clear" w:color="auto" w:fill="auto"/>
            <w:vAlign w:val="center"/>
          </w:tcPr>
          <w:p w14:paraId="5F6E2C91"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Artículo 82 de la Ley 1116 de 2006. Responsabilidad de socios, administradores, revisores fiscales y empleados en procesos de liquidación judicial</w:t>
            </w:r>
          </w:p>
        </w:tc>
        <w:tc>
          <w:tcPr>
            <w:tcW w:w="6685" w:type="dxa"/>
            <w:shd w:val="clear" w:color="auto" w:fill="auto"/>
          </w:tcPr>
          <w:p w14:paraId="20B0B010"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t xml:space="preserve">‘El referido artículo 82 establece los supuestos de responsabilidad civil de socios, administradores, revisores fiscales y empleados por el pasivo social, siempre y cuando su comportamiento doloso o culposo afecte la prenda general de los acreedores. Los individuos en comento responderán a título personal por el faltante del pasivo externo de la sociedad en liquidación, únicamente cuando se den los presupuestos establecidos en la aludida disposición normativa. […] El segundo inciso del artículo 82 contiene una presunción de culpabilidad, por cuya virtud si se ha acreditado la violación flagrante de la ley o de los estatutos sociales, así como el incumplimiento o la extralimitación de funciones, se presumirá la culpa del interviniente sin necesidad de que el juez evalúe su actuación particular. No puede perderse de vista, sin embargo, que para que opere la presunción en comento el demandante deberá acreditar con suficientes méritos la ocurrencia de las actuaciones anteriormente descritas. Al demandado, por su lado, le corresponderá demostrar que no ha incurrido en ninguna de ellas. […] [L]a desmejora de la prenda general de los acreedores se dio por vía de la celebración de operaciones repo, a través de </w:t>
            </w:r>
            <w:proofErr w:type="spellStart"/>
            <w:r w:rsidRPr="00545FDE">
              <w:rPr>
                <w:rFonts w:ascii="Verdana" w:hAnsi="Verdana" w:cs="Arial"/>
                <w:sz w:val="16"/>
                <w:szCs w:val="16"/>
              </w:rPr>
              <w:t>Invertácticas</w:t>
            </w:r>
            <w:proofErr w:type="spellEnd"/>
            <w:r w:rsidRPr="00545FDE">
              <w:rPr>
                <w:rFonts w:ascii="Verdana" w:hAnsi="Verdana" w:cs="Arial"/>
                <w:sz w:val="16"/>
                <w:szCs w:val="16"/>
              </w:rPr>
              <w:t xml:space="preserve"> S.A.S. [conocidas por </w:t>
            </w:r>
            <w:proofErr w:type="spellStart"/>
            <w:r w:rsidRPr="00545FDE">
              <w:rPr>
                <w:rFonts w:ascii="Verdana" w:hAnsi="Verdana" w:cs="Arial"/>
                <w:sz w:val="16"/>
                <w:szCs w:val="16"/>
              </w:rPr>
              <w:t>Alessadro</w:t>
            </w:r>
            <w:proofErr w:type="spellEnd"/>
            <w:r w:rsidRPr="00545FDE">
              <w:rPr>
                <w:rFonts w:ascii="Verdana" w:hAnsi="Verdana" w:cs="Arial"/>
                <w:sz w:val="16"/>
                <w:szCs w:val="16"/>
              </w:rPr>
              <w:t xml:space="preserve"> </w:t>
            </w:r>
            <w:proofErr w:type="spellStart"/>
            <w:r w:rsidRPr="00545FDE">
              <w:rPr>
                <w:rFonts w:ascii="Verdana" w:hAnsi="Verdana" w:cs="Arial"/>
                <w:sz w:val="16"/>
                <w:szCs w:val="16"/>
              </w:rPr>
              <w:t>Corridori</w:t>
            </w:r>
            <w:proofErr w:type="spellEnd"/>
            <w:r w:rsidRPr="00545FDE">
              <w:rPr>
                <w:rFonts w:ascii="Verdana" w:hAnsi="Verdana" w:cs="Arial"/>
                <w:sz w:val="16"/>
                <w:szCs w:val="16"/>
              </w:rPr>
              <w:t>], con el objetivo de aumentar artificialmente el valor de cotización de la acción de Fabricato S.A., así como por la adquisición de dichas acciones a precios por fuera de su valor real’. […] [P]</w:t>
            </w:r>
            <w:proofErr w:type="spellStart"/>
            <w:r w:rsidRPr="00545FDE">
              <w:rPr>
                <w:rFonts w:ascii="Verdana" w:hAnsi="Verdana" w:cs="Arial"/>
                <w:sz w:val="16"/>
                <w:szCs w:val="16"/>
              </w:rPr>
              <w:t>or</w:t>
            </w:r>
            <w:proofErr w:type="spellEnd"/>
            <w:r w:rsidRPr="00545FDE">
              <w:rPr>
                <w:rFonts w:ascii="Verdana" w:hAnsi="Verdana" w:cs="Arial"/>
                <w:sz w:val="16"/>
                <w:szCs w:val="16"/>
              </w:rPr>
              <w:t xml:space="preserve"> un lado, el señor </w:t>
            </w:r>
            <w:proofErr w:type="spellStart"/>
            <w:r w:rsidRPr="00545FDE">
              <w:rPr>
                <w:rFonts w:ascii="Verdana" w:hAnsi="Verdana" w:cs="Arial"/>
                <w:sz w:val="16"/>
                <w:szCs w:val="16"/>
              </w:rPr>
              <w:t>Corridori</w:t>
            </w:r>
            <w:proofErr w:type="spellEnd"/>
            <w:r w:rsidRPr="00545FDE">
              <w:rPr>
                <w:rFonts w:ascii="Verdana" w:hAnsi="Verdana" w:cs="Arial"/>
                <w:sz w:val="16"/>
                <w:szCs w:val="16"/>
              </w:rPr>
              <w:t xml:space="preserve"> utilizó a </w:t>
            </w:r>
            <w:proofErr w:type="spellStart"/>
            <w:r w:rsidRPr="00545FDE">
              <w:rPr>
                <w:rFonts w:ascii="Verdana" w:hAnsi="Verdana" w:cs="Arial"/>
                <w:sz w:val="16"/>
                <w:szCs w:val="16"/>
              </w:rPr>
              <w:t>Invertácticas</w:t>
            </w:r>
            <w:proofErr w:type="spellEnd"/>
            <w:r w:rsidRPr="00545FDE">
              <w:rPr>
                <w:rFonts w:ascii="Verdana" w:hAnsi="Verdana" w:cs="Arial"/>
                <w:sz w:val="16"/>
                <w:szCs w:val="16"/>
              </w:rPr>
              <w:t xml:space="preserve"> S.A.S. con el fin de defraudar a sus acreedores y, por el otro, […] con sus conductas llevó a la empresa a un situación de crisis económica, malversó o dilapidó bienes sociales y realizó actos simulados al no registrar en la contabilidad las operaciones de endeudamiento que se celebraban’.</w:t>
            </w:r>
          </w:p>
        </w:tc>
      </w:tr>
      <w:tr w:rsidR="00967950" w:rsidRPr="005D272D" w14:paraId="0030663E" w14:textId="77777777" w:rsidTr="007C2649">
        <w:tc>
          <w:tcPr>
            <w:tcW w:w="1379" w:type="dxa"/>
            <w:shd w:val="clear" w:color="auto" w:fill="F2DCDB"/>
            <w:vAlign w:val="center"/>
          </w:tcPr>
          <w:p w14:paraId="1B6F9C7C"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 xml:space="preserve">Industrias de Refrigeración </w:t>
            </w:r>
            <w:proofErr w:type="spellStart"/>
            <w:r w:rsidRPr="00545FDE">
              <w:rPr>
                <w:rFonts w:ascii="Verdana" w:hAnsi="Verdana" w:cs="Arial"/>
                <w:sz w:val="16"/>
                <w:szCs w:val="16"/>
              </w:rPr>
              <w:t>Hiver</w:t>
            </w:r>
            <w:proofErr w:type="spellEnd"/>
            <w:r w:rsidRPr="00545FDE">
              <w:rPr>
                <w:rFonts w:ascii="Verdana" w:hAnsi="Verdana" w:cs="Arial"/>
                <w:sz w:val="16"/>
                <w:szCs w:val="16"/>
              </w:rPr>
              <w:t xml:space="preserve"> S.A.S. contra Jorge Iván Echeverri y Alfonso </w:t>
            </w:r>
            <w:proofErr w:type="spellStart"/>
            <w:r w:rsidRPr="00545FDE">
              <w:rPr>
                <w:rFonts w:ascii="Verdana" w:hAnsi="Verdana" w:cs="Arial"/>
                <w:sz w:val="16"/>
                <w:szCs w:val="16"/>
              </w:rPr>
              <w:t>Antoñanzas</w:t>
            </w:r>
            <w:proofErr w:type="spellEnd"/>
          </w:p>
        </w:tc>
        <w:tc>
          <w:tcPr>
            <w:tcW w:w="1570" w:type="dxa"/>
            <w:shd w:val="clear" w:color="auto" w:fill="F2DCDB"/>
            <w:vAlign w:val="center"/>
          </w:tcPr>
          <w:p w14:paraId="23D3138C"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Violación al deber de lealtad. Actos de competencia</w:t>
            </w:r>
          </w:p>
        </w:tc>
        <w:tc>
          <w:tcPr>
            <w:tcW w:w="6685" w:type="dxa"/>
            <w:shd w:val="clear" w:color="auto" w:fill="F2DCDB"/>
          </w:tcPr>
          <w:p w14:paraId="73A194CF"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t>‘En el derecho societario comparado se ha hecho énfasis en la necesidad de fiscalizar rigurosamente las operaciones celebradas entre una compañía y aquellas personas que, como en el caso de los accionistas controlantes, puedan tener alguna influencia sobre la gestión de los negocios sociales (</w:t>
            </w:r>
            <w:proofErr w:type="spellStart"/>
            <w:r w:rsidRPr="00545FDE">
              <w:rPr>
                <w:rFonts w:ascii="Verdana" w:hAnsi="Verdana" w:cs="Arial"/>
                <w:i/>
                <w:sz w:val="16"/>
                <w:szCs w:val="16"/>
                <w:lang w:val="es-CO"/>
              </w:rPr>
              <w:t>related</w:t>
            </w:r>
            <w:proofErr w:type="spellEnd"/>
            <w:r w:rsidRPr="00545FDE">
              <w:rPr>
                <w:rFonts w:ascii="Verdana" w:hAnsi="Verdana" w:cs="Arial"/>
                <w:i/>
                <w:sz w:val="16"/>
                <w:szCs w:val="16"/>
                <w:lang w:val="es-CO"/>
              </w:rPr>
              <w:t xml:space="preserve"> </w:t>
            </w:r>
            <w:proofErr w:type="spellStart"/>
            <w:r w:rsidRPr="00545FDE">
              <w:rPr>
                <w:rFonts w:ascii="Verdana" w:hAnsi="Verdana" w:cs="Arial"/>
                <w:i/>
                <w:sz w:val="16"/>
                <w:szCs w:val="16"/>
                <w:lang w:val="es-CO"/>
              </w:rPr>
              <w:t>party</w:t>
            </w:r>
            <w:proofErr w:type="spellEnd"/>
            <w:r w:rsidRPr="00545FDE">
              <w:rPr>
                <w:rFonts w:ascii="Verdana" w:hAnsi="Verdana" w:cs="Arial"/>
                <w:i/>
                <w:sz w:val="16"/>
                <w:szCs w:val="16"/>
                <w:lang w:val="es-CO"/>
              </w:rPr>
              <w:t xml:space="preserve"> </w:t>
            </w:r>
            <w:proofErr w:type="spellStart"/>
            <w:r w:rsidRPr="00545FDE">
              <w:rPr>
                <w:rFonts w:ascii="Verdana" w:hAnsi="Verdana" w:cs="Arial"/>
                <w:i/>
                <w:sz w:val="16"/>
                <w:szCs w:val="16"/>
                <w:lang w:val="es-CO"/>
              </w:rPr>
              <w:t>transactions</w:t>
            </w:r>
            <w:proofErr w:type="spellEnd"/>
            <w:r w:rsidRPr="00545FDE">
              <w:rPr>
                <w:rFonts w:ascii="Verdana" w:hAnsi="Verdana" w:cs="Arial"/>
                <w:sz w:val="16"/>
                <w:szCs w:val="16"/>
              </w:rPr>
              <w:t>). Este especial escrutinio se justifica por la posibilidad de que tales personas, conocidas en la doctrina comparada como “partes vinculadas”, se valgan de su ascendencia sobre la sociedad para extraer prerrogativas económicas inmerecidas en el curso de una relación contractual. […]</w:t>
            </w:r>
          </w:p>
          <w:p w14:paraId="18D6B6D2"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lastRenderedPageBreak/>
              <w:t>Independientemente de que se hubiera tratado de una decisión acertada de negocios […], ciertamente debía contar con la autorización de la asamblea general de accionistas, por lo que los demandados incumplieron con sus deberes como administradores, de conformidad con lo establecido en el numeral 7 del artículo 23 de la Ley 222 de 1995. […] [C]</w:t>
            </w:r>
            <w:proofErr w:type="spellStart"/>
            <w:r w:rsidRPr="00545FDE">
              <w:rPr>
                <w:rFonts w:ascii="Verdana" w:hAnsi="Verdana" w:cs="Arial"/>
                <w:sz w:val="16"/>
                <w:szCs w:val="16"/>
              </w:rPr>
              <w:t>omo</w:t>
            </w:r>
            <w:proofErr w:type="spellEnd"/>
            <w:r w:rsidRPr="00545FDE">
              <w:rPr>
                <w:rFonts w:ascii="Verdana" w:hAnsi="Verdana" w:cs="Arial"/>
                <w:sz w:val="16"/>
                <w:szCs w:val="16"/>
              </w:rPr>
              <w:t xml:space="preserve"> lo ha [señalado] la doctrina y la jurisprudencia comparada, la sola circunstancia de que un administrador detente un interés en una compañía competidora, como ocurre con el [...] administrador de </w:t>
            </w:r>
            <w:proofErr w:type="spellStart"/>
            <w:r w:rsidRPr="00545FDE">
              <w:rPr>
                <w:rFonts w:ascii="Verdana" w:hAnsi="Verdana" w:cs="Arial"/>
                <w:sz w:val="16"/>
                <w:szCs w:val="16"/>
              </w:rPr>
              <w:t>Exkal</w:t>
            </w:r>
            <w:proofErr w:type="spellEnd"/>
            <w:r w:rsidRPr="00545FDE">
              <w:rPr>
                <w:rFonts w:ascii="Verdana" w:hAnsi="Verdana" w:cs="Arial"/>
                <w:sz w:val="16"/>
                <w:szCs w:val="16"/>
              </w:rPr>
              <w:t xml:space="preserve"> Colombia S.A.S. y de Exposición y Conservación de Alimentos S.A., no significa, necesariamente, una violación al deber de lealtad’. </w:t>
            </w:r>
          </w:p>
        </w:tc>
      </w:tr>
      <w:tr w:rsidR="00967950" w:rsidRPr="005D272D" w14:paraId="1B59BDE2" w14:textId="77777777" w:rsidTr="00430E65">
        <w:tc>
          <w:tcPr>
            <w:tcW w:w="1379" w:type="dxa"/>
            <w:shd w:val="clear" w:color="auto" w:fill="FFFFFF"/>
            <w:vAlign w:val="center"/>
          </w:tcPr>
          <w:p w14:paraId="5BCF04BB"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lastRenderedPageBreak/>
              <w:t>Compañía del Acueducto y Alcantarillado Metropolitano de Santa Marta (</w:t>
            </w:r>
            <w:proofErr w:type="spellStart"/>
            <w:r w:rsidRPr="00545FDE">
              <w:rPr>
                <w:rFonts w:ascii="Verdana" w:hAnsi="Verdana" w:cs="Arial"/>
                <w:sz w:val="16"/>
                <w:szCs w:val="16"/>
              </w:rPr>
              <w:t>Metroagua</w:t>
            </w:r>
            <w:proofErr w:type="spellEnd"/>
            <w:r w:rsidRPr="00545FDE">
              <w:rPr>
                <w:rFonts w:ascii="Verdana" w:hAnsi="Verdana" w:cs="Arial"/>
                <w:sz w:val="16"/>
                <w:szCs w:val="16"/>
              </w:rPr>
              <w:t>) S.A. E.S.P. contra Distrito Turístico, Cultural e Histórico de Santa Marta y otro</w:t>
            </w:r>
          </w:p>
        </w:tc>
        <w:tc>
          <w:tcPr>
            <w:tcW w:w="1570" w:type="dxa"/>
            <w:shd w:val="clear" w:color="auto" w:fill="FFFFFF"/>
            <w:vAlign w:val="center"/>
          </w:tcPr>
          <w:p w14:paraId="2FF55A38"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Posibilidad de que un administrador demande a la sociedad sin que constituya infracción de los deberes a su cargo</w:t>
            </w:r>
          </w:p>
        </w:tc>
        <w:tc>
          <w:tcPr>
            <w:tcW w:w="6685" w:type="dxa"/>
            <w:shd w:val="clear" w:color="auto" w:fill="FFFFFF"/>
          </w:tcPr>
          <w:p w14:paraId="7292E7DD" w14:textId="344EA9F7" w:rsidR="00967950" w:rsidRPr="00545FDE" w:rsidRDefault="00967950" w:rsidP="00DA378C">
            <w:pPr>
              <w:jc w:val="both"/>
              <w:rPr>
                <w:rFonts w:ascii="Verdana" w:hAnsi="Verdana" w:cs="Arial"/>
                <w:sz w:val="16"/>
                <w:szCs w:val="16"/>
              </w:rPr>
            </w:pPr>
            <w:r w:rsidRPr="00545FDE">
              <w:rPr>
                <w:rFonts w:ascii="Verdana" w:hAnsi="Verdana" w:cs="Arial"/>
                <w:sz w:val="16"/>
                <w:szCs w:val="16"/>
              </w:rPr>
              <w:t xml:space="preserve">‘Parece entonces bastante claro que un administrador puede demandar a la sociedad en la que ejerce sus funciones sin que tal actuación constituya necesariamente una infracción de los deberes a su cargo. En la medida en que exista una razón legítima para hacerlo, no sería factible concluir que con la sola presentación de la demanda se produce inmediatamente una actuación desleal. Ahora bien, si el funcionario se vale de su posición como administrador para obtener una ventaja injustificada en detrimento de los intereses de la compañía, podría configurarse una infracción de la naturaleza </w:t>
            </w:r>
            <w:r w:rsidR="00430E65" w:rsidRPr="00545FDE">
              <w:rPr>
                <w:rFonts w:ascii="Verdana" w:hAnsi="Verdana" w:cs="Arial"/>
                <w:sz w:val="16"/>
                <w:szCs w:val="16"/>
              </w:rPr>
              <w:t>indicada. [</w:t>
            </w:r>
            <w:r w:rsidRPr="00545FDE">
              <w:rPr>
                <w:rFonts w:ascii="Verdana" w:hAnsi="Verdana" w:cs="Arial"/>
                <w:sz w:val="16"/>
                <w:szCs w:val="16"/>
              </w:rPr>
              <w:t>…] [En este caso,] el Distrito de Santa Marta no se valió de su posición como administrador de la sociedad demandante para acceder y usar indebidamente información social privilegiada. En efecto, no solo le era posible consultar los documentos presentados con la acción popular, sino que, además, la demandante no acreditó que para efectos de iniciar la demanda se hubiera hecho uso indebido de ese tipo de información.</w:t>
            </w:r>
          </w:p>
          <w:p w14:paraId="08D5FB1B"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t xml:space="preserve">Por lo demás, tampoco se demostró que el Distrito hubiera actuado, en forma exclusiva, para proteger intereses económicos directamente contrapuestos a los de </w:t>
            </w:r>
            <w:proofErr w:type="spellStart"/>
            <w:r w:rsidRPr="00545FDE">
              <w:rPr>
                <w:rFonts w:ascii="Verdana" w:hAnsi="Verdana" w:cs="Arial"/>
                <w:sz w:val="16"/>
                <w:szCs w:val="16"/>
              </w:rPr>
              <w:t>Metroagua</w:t>
            </w:r>
            <w:proofErr w:type="spellEnd"/>
            <w:r w:rsidRPr="00545FDE">
              <w:rPr>
                <w:rFonts w:ascii="Verdana" w:hAnsi="Verdana" w:cs="Arial"/>
                <w:sz w:val="16"/>
                <w:szCs w:val="16"/>
              </w:rPr>
              <w:t xml:space="preserve"> S.A. E.S.P.</w:t>
            </w:r>
          </w:p>
          <w:p w14:paraId="140EEAFE"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t>’[D]</w:t>
            </w:r>
            <w:proofErr w:type="spellStart"/>
            <w:r w:rsidRPr="00545FDE">
              <w:rPr>
                <w:rFonts w:ascii="Verdana" w:hAnsi="Verdana" w:cs="Arial"/>
                <w:sz w:val="16"/>
                <w:szCs w:val="16"/>
              </w:rPr>
              <w:t>ebe</w:t>
            </w:r>
            <w:proofErr w:type="spellEnd"/>
            <w:r w:rsidRPr="00545FDE">
              <w:rPr>
                <w:rFonts w:ascii="Verdana" w:hAnsi="Verdana" w:cs="Arial"/>
                <w:sz w:val="16"/>
                <w:szCs w:val="16"/>
              </w:rPr>
              <w:t xml:space="preserve"> recordarse que el Distrito, además de que fungía como administrador de la compañía al momento de presentar la acción, también ostentaba la condición de arrendador y autoridad encargada de garantizar los intereses de la comunidad de Santa Marta. En tales calidades, el Distrito justificó con suficientes méritos —tanto en el texto de la acción popular como ante este Despacho— que la necesidad de protección de los derechos colectivos a la moralidad administrativa y el patrimonio público, así como las evidentes falencias en la prestación de los servicios públicos por parte de </w:t>
            </w:r>
            <w:proofErr w:type="spellStart"/>
            <w:r w:rsidRPr="00545FDE">
              <w:rPr>
                <w:rFonts w:ascii="Verdana" w:hAnsi="Verdana" w:cs="Arial"/>
                <w:sz w:val="16"/>
                <w:szCs w:val="16"/>
              </w:rPr>
              <w:t>Metroagua</w:t>
            </w:r>
            <w:proofErr w:type="spellEnd"/>
            <w:r w:rsidRPr="00545FDE">
              <w:rPr>
                <w:rFonts w:ascii="Verdana" w:hAnsi="Verdana" w:cs="Arial"/>
                <w:sz w:val="16"/>
                <w:szCs w:val="16"/>
              </w:rPr>
              <w:t xml:space="preserve"> S.A. E.S.P., lo llevaron a formular las pretensiones contenidas en la acción popular, entre ellas, la atinente al pago de mejoras. […] [E]n el presente caso no se acreditó que la presentación de la acción popular, propiamente invocada como infracción, fuera incompatible con los deberes a cargo del Distrito como miembro de la junta directiva de </w:t>
            </w:r>
            <w:proofErr w:type="spellStart"/>
            <w:r w:rsidRPr="00545FDE">
              <w:rPr>
                <w:rFonts w:ascii="Verdana" w:hAnsi="Verdana" w:cs="Arial"/>
                <w:sz w:val="16"/>
                <w:szCs w:val="16"/>
              </w:rPr>
              <w:t>Metroagua</w:t>
            </w:r>
            <w:proofErr w:type="spellEnd"/>
            <w:r w:rsidRPr="00545FDE">
              <w:rPr>
                <w:rFonts w:ascii="Verdana" w:hAnsi="Verdana" w:cs="Arial"/>
                <w:sz w:val="16"/>
                <w:szCs w:val="16"/>
              </w:rPr>
              <w:t xml:space="preserve"> S.A. E.S.P.’</w:t>
            </w:r>
          </w:p>
        </w:tc>
      </w:tr>
      <w:tr w:rsidR="00967950" w:rsidRPr="005D272D" w14:paraId="7336AAB3" w14:textId="77777777" w:rsidTr="007C2649">
        <w:tc>
          <w:tcPr>
            <w:tcW w:w="1379" w:type="dxa"/>
            <w:shd w:val="clear" w:color="auto" w:fill="F2DCDB"/>
            <w:vAlign w:val="center"/>
          </w:tcPr>
          <w:p w14:paraId="5CD65600"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Nydia Rocío Cepeda Lemus e Hijos y Cía. S. en C. contra Jorge Alberto Montañez Vásquez</w:t>
            </w:r>
          </w:p>
        </w:tc>
        <w:tc>
          <w:tcPr>
            <w:tcW w:w="1570" w:type="dxa"/>
            <w:shd w:val="clear" w:color="auto" w:fill="F2DCDB"/>
            <w:vAlign w:val="center"/>
          </w:tcPr>
          <w:p w14:paraId="25AE221B"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Violación al deber de lealtad. Actos de competencia</w:t>
            </w:r>
          </w:p>
        </w:tc>
        <w:tc>
          <w:tcPr>
            <w:tcW w:w="6685" w:type="dxa"/>
            <w:shd w:val="clear" w:color="auto" w:fill="F2DCDB"/>
          </w:tcPr>
          <w:p w14:paraId="245F3310" w14:textId="77777777" w:rsidR="00967950" w:rsidRPr="00545FDE" w:rsidRDefault="00967950" w:rsidP="00DA378C">
            <w:pPr>
              <w:jc w:val="both"/>
              <w:rPr>
                <w:rFonts w:ascii="Verdana" w:hAnsi="Verdana" w:cs="Arial"/>
                <w:sz w:val="16"/>
                <w:szCs w:val="16"/>
              </w:rPr>
            </w:pPr>
            <w:r w:rsidRPr="00545FDE">
              <w:rPr>
                <w:rFonts w:ascii="Verdana" w:hAnsi="Verdana" w:cs="Arial"/>
                <w:sz w:val="16"/>
                <w:szCs w:val="16"/>
              </w:rPr>
              <w:t xml:space="preserve">‘[L]a participación de los administradores por sí o por interpuesta persona en interés personal o de terceros, en actividades que impliquen competencia con la sociedad o en actos respecto de los cuales exista conflicto de intereses, salvo autorización expresa de la junta de socios o asamblea general de accionistas, constituye una violación del deber de lealtad, en los términos del numeral 7 del artículo 23 de la Ley 222 de 1995. […] [E]l deber de lealtad en cabeza de los administradores no implica solamente la abstención de actuaciones que estén en conflicto con los intereses de la compañía, sino que, además, en palabras de Reyes Villamizar, comprende “una serie de obligaciones específicas de acción u omisión, orientadas a proteger secretos de la sociedad, […] el respeto por las oportunidades de negocios de la sociedad’ y, especialmente, “la necesidad de que el administrador actúe en la forma que consulte «los mejores intereses de la sociedad»”. […] [P]ara determinar si un administrador ejecutó actos de competencia, deberán analizarse que las actividades desplegadas por éste persiguen el mismo objetivo que el de la sociedad. […] [E]n cuanto al respeto de las oportunidades de negocio de la sociedad, es pertinente poner de presente que debe examinarse en cada caso particular si, efectivamente, se constituye en una verdadera oportunidad, para lo cual resulta imperioso determinar si la </w:t>
            </w:r>
            <w:r w:rsidRPr="00545FDE">
              <w:rPr>
                <w:rFonts w:ascii="Verdana" w:hAnsi="Verdana" w:cs="Arial"/>
                <w:sz w:val="16"/>
                <w:szCs w:val="16"/>
              </w:rPr>
              <w:lastRenderedPageBreak/>
              <w:t>actividad que se pretende desarrollar se encuentra dentro de la línea de negocio de la compañía.</w:t>
            </w:r>
          </w:p>
        </w:tc>
      </w:tr>
      <w:tr w:rsidR="00967950" w:rsidRPr="005D272D" w14:paraId="50464B4B" w14:textId="77777777" w:rsidTr="00430E65">
        <w:tc>
          <w:tcPr>
            <w:tcW w:w="1379" w:type="dxa"/>
            <w:shd w:val="clear" w:color="auto" w:fill="FFFFFF"/>
            <w:vAlign w:val="center"/>
          </w:tcPr>
          <w:p w14:paraId="133F9695"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lastRenderedPageBreak/>
              <w:t xml:space="preserve">Luz Amparo Mancilla Castillo y Alfonso Bolívar Correa contra </w:t>
            </w:r>
            <w:proofErr w:type="spellStart"/>
            <w:r w:rsidRPr="00545FDE">
              <w:rPr>
                <w:rFonts w:ascii="Verdana" w:hAnsi="Verdana" w:cs="Arial"/>
                <w:sz w:val="16"/>
                <w:szCs w:val="16"/>
              </w:rPr>
              <w:t>Handler</w:t>
            </w:r>
            <w:proofErr w:type="spellEnd"/>
            <w:r w:rsidRPr="00545FDE">
              <w:rPr>
                <w:rFonts w:ascii="Verdana" w:hAnsi="Verdana" w:cs="Arial"/>
                <w:sz w:val="16"/>
                <w:szCs w:val="16"/>
              </w:rPr>
              <w:t xml:space="preserve"> S.A.S. y otros</w:t>
            </w:r>
          </w:p>
        </w:tc>
        <w:tc>
          <w:tcPr>
            <w:tcW w:w="1570" w:type="dxa"/>
            <w:shd w:val="clear" w:color="auto" w:fill="FFFFFF"/>
            <w:vAlign w:val="center"/>
          </w:tcPr>
          <w:p w14:paraId="098087DB" w14:textId="77777777" w:rsidR="00967950" w:rsidRPr="00545FDE" w:rsidRDefault="00967950" w:rsidP="00DA378C">
            <w:pPr>
              <w:jc w:val="center"/>
              <w:rPr>
                <w:rFonts w:ascii="Verdana" w:hAnsi="Verdana" w:cs="Arial"/>
                <w:sz w:val="16"/>
                <w:szCs w:val="16"/>
              </w:rPr>
            </w:pPr>
            <w:r w:rsidRPr="00545FDE">
              <w:rPr>
                <w:rFonts w:ascii="Verdana" w:hAnsi="Verdana" w:cs="Arial"/>
                <w:sz w:val="16"/>
                <w:szCs w:val="16"/>
              </w:rPr>
              <w:t>Operaciones con partes vinculadas</w:t>
            </w:r>
          </w:p>
        </w:tc>
        <w:tc>
          <w:tcPr>
            <w:tcW w:w="6685" w:type="dxa"/>
            <w:shd w:val="clear" w:color="auto" w:fill="FFFFFF"/>
          </w:tcPr>
          <w:p w14:paraId="22E8991A" w14:textId="197BD6B4" w:rsidR="00967950" w:rsidRPr="00545FDE" w:rsidRDefault="00967950" w:rsidP="00DA378C">
            <w:pPr>
              <w:jc w:val="both"/>
              <w:rPr>
                <w:rFonts w:ascii="Verdana" w:hAnsi="Verdana" w:cs="Arial"/>
                <w:sz w:val="16"/>
                <w:szCs w:val="16"/>
              </w:rPr>
            </w:pPr>
            <w:r w:rsidRPr="00545FDE">
              <w:rPr>
                <w:rFonts w:ascii="Verdana" w:hAnsi="Verdana" w:cs="Arial"/>
                <w:sz w:val="16"/>
                <w:szCs w:val="16"/>
              </w:rPr>
              <w:t>‘En el derecho societario comparado se ha hecho énfasis en la necesidad de fiscalizar rigurosamente las operaciones celebradas entre una compañía y aquellas personas que, como en el caso de los accionistas controlantes, puedan tener alguna influencia sobre la gestión de los negocios sociales (</w:t>
            </w:r>
            <w:proofErr w:type="spellStart"/>
            <w:r w:rsidRPr="00545FDE">
              <w:rPr>
                <w:rFonts w:ascii="Verdana" w:hAnsi="Verdana" w:cs="Arial"/>
                <w:i/>
                <w:sz w:val="16"/>
                <w:szCs w:val="16"/>
                <w:lang w:val="es-CO"/>
              </w:rPr>
              <w:t>related</w:t>
            </w:r>
            <w:proofErr w:type="spellEnd"/>
            <w:r w:rsidRPr="00545FDE">
              <w:rPr>
                <w:rFonts w:ascii="Verdana" w:hAnsi="Verdana" w:cs="Arial"/>
                <w:i/>
                <w:sz w:val="16"/>
                <w:szCs w:val="16"/>
                <w:lang w:val="es-CO"/>
              </w:rPr>
              <w:t xml:space="preserve"> </w:t>
            </w:r>
            <w:proofErr w:type="spellStart"/>
            <w:r w:rsidRPr="00545FDE">
              <w:rPr>
                <w:rFonts w:ascii="Verdana" w:hAnsi="Verdana" w:cs="Arial"/>
                <w:i/>
                <w:sz w:val="16"/>
                <w:szCs w:val="16"/>
                <w:lang w:val="es-CO"/>
              </w:rPr>
              <w:t>party</w:t>
            </w:r>
            <w:proofErr w:type="spellEnd"/>
            <w:r w:rsidRPr="00545FDE">
              <w:rPr>
                <w:rFonts w:ascii="Verdana" w:hAnsi="Verdana" w:cs="Arial"/>
                <w:i/>
                <w:sz w:val="16"/>
                <w:szCs w:val="16"/>
                <w:lang w:val="es-CO"/>
              </w:rPr>
              <w:t xml:space="preserve"> </w:t>
            </w:r>
            <w:proofErr w:type="spellStart"/>
            <w:r w:rsidRPr="00545FDE">
              <w:rPr>
                <w:rFonts w:ascii="Verdana" w:hAnsi="Verdana" w:cs="Arial"/>
                <w:i/>
                <w:sz w:val="16"/>
                <w:szCs w:val="16"/>
                <w:lang w:val="es-CO"/>
              </w:rPr>
              <w:t>transactions</w:t>
            </w:r>
            <w:proofErr w:type="spellEnd"/>
            <w:r w:rsidRPr="00545FDE">
              <w:rPr>
                <w:rFonts w:ascii="Verdana" w:hAnsi="Verdana" w:cs="Arial"/>
                <w:sz w:val="16"/>
                <w:szCs w:val="16"/>
              </w:rPr>
              <w:t xml:space="preserve">). 24 Este especial escrutinio se justifica por la posibilidad de que tales personas, conocidas en la doctrina comparada como ‘partes vinculadas’, se valgan de su ascendencia sobre la sociedad para extraer prerrogativas económicas inmerecidas en el curso de una relación contractual. [...] En Colombia, parece suficientemente claro que las normas que regulan los conflictos de interés de los administradores abarcan la celebración de operaciones con el accionista controlante de una sociedad. [...] De suerte que los administradores que se propongan participar en operaciones con los asociados controlantes deberán surtir el trámite de autorización contemplado en la Ley 222 de 1995 y el Decreto 1925 de 2009 para los conflictos de interés. El referido trámite también deberá cumplirse cuando se celebren operaciones entre compañías sujetas al control de una misma persona. [...] Las pruebas recaudadas durante el curso del presente proceso dan cuenta de la expropiación de [los minoritarios], concertada entre el liquidador de </w:t>
            </w:r>
            <w:proofErr w:type="spellStart"/>
            <w:r w:rsidRPr="00545FDE">
              <w:rPr>
                <w:rFonts w:ascii="Verdana" w:hAnsi="Verdana" w:cs="Arial"/>
                <w:sz w:val="16"/>
                <w:szCs w:val="16"/>
              </w:rPr>
              <w:t>Farben</w:t>
            </w:r>
            <w:proofErr w:type="spellEnd"/>
            <w:r w:rsidRPr="00545FDE">
              <w:rPr>
                <w:rFonts w:ascii="Verdana" w:hAnsi="Verdana" w:cs="Arial"/>
                <w:sz w:val="16"/>
                <w:szCs w:val="16"/>
              </w:rPr>
              <w:t xml:space="preserve"> S.A. y los accionistas controlantes de la compañía. En efecto, los demandados se valieron de operaciones de diversa índole para distraer recursos sociales hacia </w:t>
            </w:r>
            <w:proofErr w:type="spellStart"/>
            <w:r w:rsidRPr="00545FDE">
              <w:rPr>
                <w:rFonts w:ascii="Verdana" w:hAnsi="Verdana" w:cs="Arial"/>
                <w:sz w:val="16"/>
                <w:szCs w:val="16"/>
              </w:rPr>
              <w:t>Handler</w:t>
            </w:r>
            <w:proofErr w:type="spellEnd"/>
            <w:r w:rsidRPr="00545FDE">
              <w:rPr>
                <w:rFonts w:ascii="Verdana" w:hAnsi="Verdana" w:cs="Arial"/>
                <w:sz w:val="16"/>
                <w:szCs w:val="16"/>
              </w:rPr>
              <w:t xml:space="preserve"> S.A.S., una sociedad en la que [</w:t>
            </w:r>
            <w:r w:rsidR="00B810E0" w:rsidRPr="00545FDE">
              <w:rPr>
                <w:rFonts w:ascii="Verdana" w:hAnsi="Verdana" w:cs="Arial"/>
                <w:sz w:val="16"/>
                <w:szCs w:val="16"/>
              </w:rPr>
              <w:t>las referidas controlantes</w:t>
            </w:r>
            <w:r w:rsidRPr="00545FDE">
              <w:rPr>
                <w:rFonts w:ascii="Verdana" w:hAnsi="Verdana" w:cs="Arial"/>
                <w:sz w:val="16"/>
                <w:szCs w:val="16"/>
              </w:rPr>
              <w:t>] detentan la totalidad de las acciones en circulación’.</w:t>
            </w:r>
          </w:p>
        </w:tc>
      </w:tr>
      <w:tr w:rsidR="00967950" w:rsidRPr="005D272D" w14:paraId="370C3BD1" w14:textId="77777777" w:rsidTr="007C2649">
        <w:tc>
          <w:tcPr>
            <w:tcW w:w="1379" w:type="dxa"/>
            <w:shd w:val="clear" w:color="auto" w:fill="F2DCDB"/>
            <w:vAlign w:val="center"/>
          </w:tcPr>
          <w:p w14:paraId="33C355B6" w14:textId="77777777" w:rsidR="00967950" w:rsidRPr="00263F4F" w:rsidRDefault="00967950" w:rsidP="00DA378C">
            <w:pPr>
              <w:jc w:val="center"/>
              <w:rPr>
                <w:rFonts w:ascii="Verdana" w:hAnsi="Verdana" w:cs="Arial"/>
                <w:sz w:val="16"/>
                <w:szCs w:val="16"/>
              </w:rPr>
            </w:pPr>
            <w:r w:rsidRPr="00263F4F">
              <w:rPr>
                <w:rFonts w:ascii="Verdana" w:hAnsi="Verdana" w:cs="Arial"/>
                <w:sz w:val="16"/>
                <w:szCs w:val="16"/>
              </w:rPr>
              <w:t>María Virginia</w:t>
            </w:r>
          </w:p>
          <w:p w14:paraId="67BBFC4F" w14:textId="77777777" w:rsidR="00967950" w:rsidRPr="00263F4F" w:rsidRDefault="00967950" w:rsidP="00DA378C">
            <w:pPr>
              <w:jc w:val="center"/>
              <w:rPr>
                <w:rFonts w:ascii="Verdana" w:hAnsi="Verdana" w:cs="Arial"/>
                <w:sz w:val="16"/>
                <w:szCs w:val="16"/>
              </w:rPr>
            </w:pPr>
            <w:r w:rsidRPr="00263F4F">
              <w:rPr>
                <w:rFonts w:ascii="Verdana" w:hAnsi="Verdana" w:cs="Arial"/>
                <w:sz w:val="16"/>
                <w:szCs w:val="16"/>
              </w:rPr>
              <w:t>Cadena López y Fernando Alfredo Cadena López contra Hacienda Los Mangos López de C. &amp; Cía. S. en C. y otros</w:t>
            </w:r>
          </w:p>
        </w:tc>
        <w:tc>
          <w:tcPr>
            <w:tcW w:w="1570" w:type="dxa"/>
            <w:shd w:val="clear" w:color="auto" w:fill="F2DCDB"/>
            <w:vAlign w:val="center"/>
          </w:tcPr>
          <w:p w14:paraId="31CB50B2" w14:textId="77777777" w:rsidR="00967950" w:rsidRPr="00263F4F" w:rsidRDefault="00967950" w:rsidP="00DA378C">
            <w:pPr>
              <w:jc w:val="center"/>
              <w:rPr>
                <w:rFonts w:ascii="Verdana" w:hAnsi="Verdana" w:cs="Arial"/>
                <w:sz w:val="16"/>
                <w:szCs w:val="16"/>
              </w:rPr>
            </w:pPr>
            <w:r w:rsidRPr="00263F4F">
              <w:rPr>
                <w:rFonts w:ascii="Verdana" w:hAnsi="Verdana" w:cs="Arial"/>
                <w:sz w:val="16"/>
                <w:szCs w:val="16"/>
              </w:rPr>
              <w:t>Conflictos de interés en la apropiación de recursos sociales</w:t>
            </w:r>
          </w:p>
        </w:tc>
        <w:tc>
          <w:tcPr>
            <w:tcW w:w="6685" w:type="dxa"/>
            <w:shd w:val="clear" w:color="auto" w:fill="F2DCDB"/>
          </w:tcPr>
          <w:p w14:paraId="5FE38904" w14:textId="77777777" w:rsidR="00967950" w:rsidRPr="00263F4F" w:rsidRDefault="00967950" w:rsidP="00DA378C">
            <w:pPr>
              <w:jc w:val="both"/>
              <w:rPr>
                <w:rFonts w:ascii="Verdana" w:hAnsi="Verdana" w:cs="Arial"/>
                <w:sz w:val="16"/>
                <w:szCs w:val="16"/>
              </w:rPr>
            </w:pPr>
            <w:r w:rsidRPr="00263F4F">
              <w:rPr>
                <w:rFonts w:ascii="Verdana" w:hAnsi="Verdana" w:cs="Arial"/>
                <w:sz w:val="16"/>
                <w:szCs w:val="16"/>
              </w:rPr>
              <w:t xml:space="preserve">‘El amplísimo acervo probatorio recaudado en el curso de este proceso apunta a que Amira López de Cadena y Miguel Eduardo Cadena López se apropiaron, en forma indebida, de recursos líquidos de propiedad de Hacienda Los Mangos López de C. &amp; Cía. S. en C. por un valor de $17.231.722.796. Para tal efecto, los demandados en cuestión recurrieron a operaciones de diversa índole, desde la celebración de contratos de mutuo con la compañía hasta la simple transferencia de recursos sociales a sus cuentas personales en el extranjero. Por virtud de este profuso catálogo de actuaciones desleales, las personas encargadas de gestionar los negocios de Hacienda Los Mangos López de C. &amp; Cía. S. en C. consumaron una expropiación sistemática de los asociados minoritarios de la compañía. En su defensa, los demandados han dicho que los activos que componen el patrimonio de Hacienda Los Mangos López de C. &amp; Cía. S. en C. le pertenecen, en realidad, a Amira López de Cadena. Sin embargo, el Despacho debe rechazar enérgicamente esta postura. Cuando se aportan activos al fondo social, los aportantes dejan de ser propietarios de tales bienes para convertirse en titulares de derechos económicos sobre la plusvalía generada por la actividad de la sociedad, así como de la respectiva cuota social de liquidación. De suerte que, una vez constituida una compañía, se produce una separación total entre el patrimonio social y el de los asociados individualmente considerados. En la continuada vigencia de este principio de separación patrimonial, conocido en la doctrina especializada como </w:t>
            </w:r>
            <w:proofErr w:type="spellStart"/>
            <w:r w:rsidRPr="00263F4F">
              <w:rPr>
                <w:rFonts w:ascii="Verdana" w:hAnsi="Verdana" w:cs="Arial"/>
                <w:sz w:val="16"/>
                <w:szCs w:val="16"/>
              </w:rPr>
              <w:t>affirmative</w:t>
            </w:r>
            <w:proofErr w:type="spellEnd"/>
            <w:r w:rsidRPr="00263F4F">
              <w:rPr>
                <w:rFonts w:ascii="Verdana" w:hAnsi="Verdana" w:cs="Arial"/>
                <w:sz w:val="16"/>
                <w:szCs w:val="16"/>
              </w:rPr>
              <w:t xml:space="preserve"> </w:t>
            </w:r>
            <w:proofErr w:type="spellStart"/>
            <w:r w:rsidRPr="00263F4F">
              <w:rPr>
                <w:rFonts w:ascii="Verdana" w:hAnsi="Verdana" w:cs="Arial"/>
                <w:sz w:val="16"/>
                <w:szCs w:val="16"/>
              </w:rPr>
              <w:t>asset</w:t>
            </w:r>
            <w:proofErr w:type="spellEnd"/>
            <w:r w:rsidRPr="00263F4F">
              <w:rPr>
                <w:rFonts w:ascii="Verdana" w:hAnsi="Verdana" w:cs="Arial"/>
                <w:sz w:val="16"/>
                <w:szCs w:val="16"/>
              </w:rPr>
              <w:t xml:space="preserve"> </w:t>
            </w:r>
            <w:proofErr w:type="spellStart"/>
            <w:r w:rsidRPr="00263F4F">
              <w:rPr>
                <w:rFonts w:ascii="Verdana" w:hAnsi="Verdana" w:cs="Arial"/>
                <w:sz w:val="16"/>
                <w:szCs w:val="16"/>
              </w:rPr>
              <w:t>partitioning</w:t>
            </w:r>
            <w:proofErr w:type="spellEnd"/>
            <w:r w:rsidRPr="00263F4F">
              <w:rPr>
                <w:rFonts w:ascii="Verdana" w:hAnsi="Verdana" w:cs="Arial"/>
                <w:sz w:val="16"/>
                <w:szCs w:val="16"/>
              </w:rPr>
              <w:t>, se funda la existencia de las sociedades de capital con limitación de responsabilidad, así como de los mercados públicos de valores. No puede entonces aceptarse que un asociado controlante intente justificar la grosera expropiación de los minoritarios con el argumento de que los activos aportados al fondo social fueron alguna vez de su propiedad’.</w:t>
            </w:r>
          </w:p>
        </w:tc>
      </w:tr>
      <w:tr w:rsidR="00967950" w:rsidRPr="005D272D" w14:paraId="6A5BFB45" w14:textId="77777777" w:rsidTr="00430E65">
        <w:tc>
          <w:tcPr>
            <w:tcW w:w="1379" w:type="dxa"/>
            <w:shd w:val="clear" w:color="auto" w:fill="FFFFFF"/>
            <w:vAlign w:val="center"/>
          </w:tcPr>
          <w:p w14:paraId="6B5F80D6" w14:textId="77777777" w:rsidR="00967950" w:rsidRPr="00263F4F" w:rsidRDefault="00967950" w:rsidP="00DA378C">
            <w:pPr>
              <w:jc w:val="center"/>
              <w:rPr>
                <w:rFonts w:ascii="Verdana" w:hAnsi="Verdana" w:cs="Arial"/>
                <w:sz w:val="16"/>
                <w:szCs w:val="16"/>
              </w:rPr>
            </w:pPr>
            <w:r w:rsidRPr="00263F4F">
              <w:rPr>
                <w:rFonts w:ascii="Verdana" w:hAnsi="Verdana" w:cs="Arial"/>
                <w:sz w:val="16"/>
                <w:szCs w:val="16"/>
              </w:rPr>
              <w:t>Sucesores de María del Pilar Luque de Schaefer contra Luque Torres Ltda., en Liquidación</w:t>
            </w:r>
          </w:p>
        </w:tc>
        <w:tc>
          <w:tcPr>
            <w:tcW w:w="1570" w:type="dxa"/>
            <w:shd w:val="clear" w:color="auto" w:fill="FFFFFF"/>
            <w:vAlign w:val="center"/>
          </w:tcPr>
          <w:p w14:paraId="49DE8F9F" w14:textId="77777777" w:rsidR="00967950" w:rsidRPr="00263F4F" w:rsidRDefault="00967950" w:rsidP="00DA378C">
            <w:pPr>
              <w:jc w:val="center"/>
              <w:rPr>
                <w:rFonts w:ascii="Verdana" w:hAnsi="Verdana" w:cs="Arial"/>
                <w:sz w:val="16"/>
                <w:szCs w:val="16"/>
              </w:rPr>
            </w:pPr>
            <w:r w:rsidRPr="00263F4F">
              <w:rPr>
                <w:rFonts w:ascii="Verdana" w:hAnsi="Verdana" w:cs="Arial"/>
                <w:sz w:val="16"/>
                <w:szCs w:val="16"/>
              </w:rPr>
              <w:t>Responsabilidad por infracción al deber de lealtad. Definición de conflictos de interés</w:t>
            </w:r>
          </w:p>
        </w:tc>
        <w:tc>
          <w:tcPr>
            <w:tcW w:w="6685" w:type="dxa"/>
            <w:shd w:val="clear" w:color="auto" w:fill="FFFFFF"/>
          </w:tcPr>
          <w:p w14:paraId="7A38A697" w14:textId="77777777" w:rsidR="00967950" w:rsidRPr="00263F4F" w:rsidRDefault="00967950" w:rsidP="00DA378C">
            <w:pPr>
              <w:jc w:val="both"/>
              <w:rPr>
                <w:rFonts w:ascii="Verdana" w:hAnsi="Verdana" w:cs="Arial"/>
                <w:sz w:val="16"/>
                <w:szCs w:val="16"/>
              </w:rPr>
            </w:pPr>
            <w:r w:rsidRPr="00263F4F">
              <w:rPr>
                <w:rFonts w:ascii="Verdana" w:hAnsi="Verdana" w:cs="Arial"/>
                <w:sz w:val="16"/>
                <w:szCs w:val="16"/>
              </w:rPr>
              <w:t xml:space="preserve">‘En Colombia no se ha previsto una definición legal que permita identificar la configuración de conflictos de interés en el ámbito societario. Mientras subsista este vacío, les corresponderá a los jueces determinar cuándo existen circunstancias que puedan encajar dentro de la hipótesis regulada en el numeral 7 del artículo 23 de la Ley 222 de 1995. […] Tras un análisis de las pruebas disponibles, el Despacho no encontró suficientes indicios de que el juicio objetivo del señor Luque Torres se haya visto comprometido por sus vínculos con los accionistas controlantes de Constructora Urbana San Rafael S.A. En </w:t>
            </w:r>
            <w:r w:rsidRPr="00263F4F">
              <w:rPr>
                <w:rFonts w:ascii="Verdana" w:hAnsi="Verdana" w:cs="Arial"/>
                <w:sz w:val="16"/>
                <w:szCs w:val="16"/>
              </w:rPr>
              <w:lastRenderedPageBreak/>
              <w:t>consecuencia, debe concluirse que la operación controvertida en este proceso no le representó un conflicto de interés al señor Santiago Luque Torres’.</w:t>
            </w:r>
          </w:p>
        </w:tc>
      </w:tr>
      <w:tr w:rsidR="00967950" w:rsidRPr="005D272D" w14:paraId="02F34480" w14:textId="77777777" w:rsidTr="007C2649">
        <w:tc>
          <w:tcPr>
            <w:tcW w:w="1379" w:type="dxa"/>
            <w:shd w:val="clear" w:color="auto" w:fill="F2DCDB"/>
            <w:vAlign w:val="center"/>
          </w:tcPr>
          <w:p w14:paraId="65C36F30" w14:textId="77777777" w:rsidR="00967950" w:rsidRPr="008C24DE" w:rsidRDefault="00967950" w:rsidP="00DA378C">
            <w:pPr>
              <w:jc w:val="center"/>
              <w:rPr>
                <w:rFonts w:ascii="Verdana" w:hAnsi="Verdana" w:cs="Arial"/>
                <w:sz w:val="16"/>
                <w:szCs w:val="16"/>
              </w:rPr>
            </w:pPr>
            <w:r w:rsidRPr="008C24DE">
              <w:rPr>
                <w:rFonts w:ascii="Verdana" w:hAnsi="Verdana" w:cs="Arial"/>
                <w:sz w:val="16"/>
                <w:szCs w:val="16"/>
              </w:rPr>
              <w:lastRenderedPageBreak/>
              <w:t>Ángela María Azuero Figueroa y María Teresa Figueroa Clausen contra El Puente S.A.</w:t>
            </w:r>
          </w:p>
        </w:tc>
        <w:tc>
          <w:tcPr>
            <w:tcW w:w="1570" w:type="dxa"/>
            <w:shd w:val="clear" w:color="auto" w:fill="F2DCDB"/>
            <w:vAlign w:val="center"/>
          </w:tcPr>
          <w:p w14:paraId="158D7E93" w14:textId="77777777" w:rsidR="00967950" w:rsidRPr="008C24DE" w:rsidRDefault="00967950" w:rsidP="00DA378C">
            <w:pPr>
              <w:jc w:val="center"/>
              <w:rPr>
                <w:rFonts w:ascii="Verdana" w:hAnsi="Verdana" w:cs="Arial"/>
                <w:sz w:val="16"/>
                <w:szCs w:val="16"/>
              </w:rPr>
            </w:pPr>
            <w:r w:rsidRPr="008C24DE">
              <w:rPr>
                <w:rFonts w:ascii="Verdana" w:hAnsi="Verdana" w:cs="Arial"/>
                <w:sz w:val="16"/>
                <w:szCs w:val="16"/>
              </w:rPr>
              <w:t>Conflictos de interés cuando median intereses afines a los de la sociedad</w:t>
            </w:r>
          </w:p>
        </w:tc>
        <w:tc>
          <w:tcPr>
            <w:tcW w:w="6685" w:type="dxa"/>
            <w:shd w:val="clear" w:color="auto" w:fill="F2DCDB"/>
          </w:tcPr>
          <w:p w14:paraId="703D83B9" w14:textId="77777777" w:rsidR="00967950" w:rsidRPr="008C24DE" w:rsidRDefault="00967950" w:rsidP="00DA378C">
            <w:pPr>
              <w:jc w:val="both"/>
              <w:rPr>
                <w:rFonts w:ascii="Verdana" w:hAnsi="Verdana" w:cs="Arial"/>
                <w:sz w:val="16"/>
                <w:szCs w:val="16"/>
              </w:rPr>
            </w:pPr>
            <w:r w:rsidRPr="008C24DE">
              <w:rPr>
                <w:rFonts w:ascii="Verdana" w:hAnsi="Verdana" w:cs="Arial"/>
                <w:sz w:val="16"/>
                <w:szCs w:val="16"/>
              </w:rPr>
              <w:t xml:space="preserve">‘A la luz de las consideraciones antes expresadas, debe concluirse que el director Juan Camilo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Figueroa se encontraba incurso en un conflicto de interés al momento de estudiar, en el seno de la junta directiva de El Puente S.A., la autorización requerida para celebrar un contrato de promesa de compraventa con Marval S.A. Ello se debe a que el padre del director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Figueroa—es decir, el señor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Villamizar—contaba con un interés económico directo en que se impartiera la autorización analizada por los directores de El Puente S.A. durante la reunión del 29 de octubre de 2014. Así, pues, al momento de estudiar si debía impartirse la autorización concerniente, el director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Figueroa estaba en la posición de velar tanto por los intereses de la compañía, como por los de su padre, el señor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Villamizar. La simple confluencia de ambos intereses en cabeza del director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Figueroa lo dejó incurso en la hipótesis regulada en el numeral 7 del artículo 23 de la Ley 222 de 1995. Por lo demás, debe insistirse en que el conflicto mencionado no desapareció por el hecho de que tanto el señor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Villamizar como El Puente S.A. hubieran fungido como promitentes vendedores en la operación celebrada con Marval S.A., ni porque la venta de los inmuebles le hubiera reportado ganancias a la compañía demandada, ni, finalmente, en vista de que El Puente S.A. pudiera ser considerada como una sociedad de familia. Así las cosas, en vista de que el director </w:t>
            </w:r>
            <w:proofErr w:type="spellStart"/>
            <w:r w:rsidRPr="008C24DE">
              <w:rPr>
                <w:rFonts w:ascii="Verdana" w:hAnsi="Verdana" w:cs="Arial"/>
                <w:sz w:val="16"/>
                <w:szCs w:val="16"/>
              </w:rPr>
              <w:t>Verswyvel</w:t>
            </w:r>
            <w:proofErr w:type="spellEnd"/>
            <w:r w:rsidRPr="008C24DE">
              <w:rPr>
                <w:rFonts w:ascii="Verdana" w:hAnsi="Verdana" w:cs="Arial"/>
                <w:sz w:val="16"/>
                <w:szCs w:val="16"/>
              </w:rPr>
              <w:t xml:space="preserve"> Figueroa no surtió el procedimiento previsto en el numeral 7 del artículo 23 de la Ley 222 de 1995 a pesar de encontrarse incurso en un conflicto de interés, el Despacho accederá a la única pretensión de la demanda. En consecuencia, se declarará la nulidad absoluta de la decisión aprobada por la junta directiva de El Puente S.A., el 29 de octubre de 2014, en el sentido de autorizar a la representante legal de la compañía para enajenar activos sociales, según lo consignado en el punto tercero del acta </w:t>
            </w:r>
            <w:proofErr w:type="spellStart"/>
            <w:r w:rsidRPr="008C24DE">
              <w:rPr>
                <w:rFonts w:ascii="Verdana" w:hAnsi="Verdana" w:cs="Arial"/>
                <w:sz w:val="16"/>
                <w:szCs w:val="16"/>
              </w:rPr>
              <w:t>n.°</w:t>
            </w:r>
            <w:proofErr w:type="spellEnd"/>
            <w:r w:rsidRPr="008C24DE">
              <w:rPr>
                <w:rFonts w:ascii="Verdana" w:hAnsi="Verdana" w:cs="Arial"/>
                <w:sz w:val="16"/>
                <w:szCs w:val="16"/>
              </w:rPr>
              <w:t xml:space="preserve"> 37 […]’.</w:t>
            </w:r>
          </w:p>
        </w:tc>
      </w:tr>
      <w:tr w:rsidR="00967950" w:rsidRPr="005D272D" w14:paraId="5EF5F085" w14:textId="77777777" w:rsidTr="00430E65">
        <w:tc>
          <w:tcPr>
            <w:tcW w:w="1379" w:type="dxa"/>
            <w:shd w:val="clear" w:color="auto" w:fill="FFFFFF"/>
            <w:vAlign w:val="center"/>
          </w:tcPr>
          <w:p w14:paraId="49979261" w14:textId="77777777" w:rsidR="00967950" w:rsidRPr="00E575A3" w:rsidRDefault="00967950" w:rsidP="00DA378C">
            <w:pPr>
              <w:jc w:val="center"/>
              <w:rPr>
                <w:rFonts w:ascii="Verdana" w:hAnsi="Verdana" w:cs="Arial"/>
                <w:sz w:val="16"/>
                <w:szCs w:val="16"/>
              </w:rPr>
            </w:pPr>
            <w:r w:rsidRPr="00E575A3">
              <w:rPr>
                <w:rFonts w:ascii="Verdana" w:hAnsi="Verdana" w:cs="Arial"/>
                <w:sz w:val="16"/>
                <w:szCs w:val="16"/>
              </w:rPr>
              <w:t>Morocota Gold S.A.S. contra Alejandro Rincón Ocampo y Luz Mery Martínez Vergara</w:t>
            </w:r>
          </w:p>
        </w:tc>
        <w:tc>
          <w:tcPr>
            <w:tcW w:w="1570" w:type="dxa"/>
            <w:shd w:val="clear" w:color="auto" w:fill="FFFFFF"/>
            <w:vAlign w:val="center"/>
          </w:tcPr>
          <w:p w14:paraId="56D76FB3" w14:textId="77777777" w:rsidR="00967950" w:rsidRPr="00E575A3" w:rsidRDefault="00967950" w:rsidP="00DA378C">
            <w:pPr>
              <w:jc w:val="center"/>
              <w:rPr>
                <w:rFonts w:ascii="Verdana" w:hAnsi="Verdana" w:cs="Arial"/>
                <w:sz w:val="16"/>
                <w:szCs w:val="16"/>
              </w:rPr>
            </w:pPr>
            <w:r w:rsidRPr="00E575A3">
              <w:rPr>
                <w:rFonts w:ascii="Verdana" w:hAnsi="Verdana" w:cs="Arial"/>
                <w:sz w:val="16"/>
                <w:szCs w:val="16"/>
              </w:rPr>
              <w:t>Violación de deberes de cuidado y lealtad.</w:t>
            </w:r>
          </w:p>
          <w:p w14:paraId="21E51C6B" w14:textId="77777777" w:rsidR="00967950" w:rsidRPr="00E575A3" w:rsidRDefault="00967950" w:rsidP="00DA378C">
            <w:pPr>
              <w:jc w:val="center"/>
              <w:rPr>
                <w:rFonts w:ascii="Verdana" w:hAnsi="Verdana" w:cs="Arial"/>
                <w:sz w:val="16"/>
                <w:szCs w:val="16"/>
              </w:rPr>
            </w:pPr>
            <w:r w:rsidRPr="00E575A3">
              <w:rPr>
                <w:rFonts w:ascii="Verdana" w:hAnsi="Verdana" w:cs="Arial"/>
                <w:sz w:val="16"/>
                <w:szCs w:val="16"/>
              </w:rPr>
              <w:t>Extralimitación de funciones del representante legal</w:t>
            </w:r>
          </w:p>
        </w:tc>
        <w:tc>
          <w:tcPr>
            <w:tcW w:w="6685" w:type="dxa"/>
            <w:shd w:val="clear" w:color="auto" w:fill="FFFFFF"/>
          </w:tcPr>
          <w:p w14:paraId="6D7FE80B" w14:textId="77777777" w:rsidR="00967950" w:rsidRPr="00E575A3" w:rsidRDefault="00967950" w:rsidP="00DA378C">
            <w:pPr>
              <w:jc w:val="both"/>
              <w:rPr>
                <w:rFonts w:ascii="Verdana" w:hAnsi="Verdana" w:cs="Arial"/>
                <w:sz w:val="16"/>
                <w:szCs w:val="16"/>
              </w:rPr>
            </w:pPr>
            <w:r w:rsidRPr="00E575A3">
              <w:rPr>
                <w:rFonts w:ascii="Verdana" w:hAnsi="Verdana" w:cs="Arial"/>
                <w:sz w:val="16"/>
                <w:szCs w:val="16"/>
              </w:rPr>
              <w:t>‘Una vez revisadas las pruebas disponibles en el expediente, el Despacho pudo constatar que, durante la época en que el señor Rincón fungió como representante legal de Morocota Gold S.A.S., estuvo vigente una limitación estatutaria respecto de sus facultades. Bajo esta restricción, la celebración de negocios jurídicos por un valor superior a 200 salarios mínimos requería la autorización de la asamblea general de accionistas (vid. Folio 39 y 43). A pesar de lo anterior, el señor Rincón celebró varios contratos en exceso de la suma antes mencionada, sin obtener la anuencia del máximo órgano social. [...] El Despacho también pudo establecer que el señor Rincón utilizó los cupos de crédito de Morocota Gold S.A.S. para beneficio personal. [...] El Despacho considera que esta conducta constituye una violación del deber general de lealtad a cargo del señor Rincón, antiguo representante legal de la sociedad demandante. En efecto, mal podría obrar con lealtad quien distrae, para beneficio propio, recursos que le han sido confiados para adelantar la gestión de los negocios de una compañía. [...] En el presente caso, la sociedad demandante logró demostrar que el señor Rincón llevó a cabo la construcción de una vía de acceso a las instalaciones de la compañía sin contar con las licencias ambientales requeridas para el efecto. La precitada violación de las normas ambientales colombianas, derivada en forma directa del descuido injustificado del señor Rincón, dio lugar a que la Corporación Autónoma Regional del Centro de Antioquia le impusiera diversas sanciones a Morocota Gold S.A.S. Por consiguiente, es claro que la omisión negligente en el cumplimiento de las funciones de representación legal compromete la responsabilidad del señor Rincón, a la luz de lo previsto en los artículos 200 del Código de Comercio y 23 de la Ley 222 de 1995’.</w:t>
            </w:r>
          </w:p>
        </w:tc>
      </w:tr>
      <w:tr w:rsidR="00967950" w:rsidRPr="005D272D" w14:paraId="15E5002F" w14:textId="77777777" w:rsidTr="007C2649">
        <w:tc>
          <w:tcPr>
            <w:tcW w:w="1379" w:type="dxa"/>
            <w:shd w:val="clear" w:color="auto" w:fill="F2DCDB"/>
            <w:vAlign w:val="center"/>
          </w:tcPr>
          <w:p w14:paraId="1C190858" w14:textId="77777777" w:rsidR="00967950" w:rsidRPr="00E575A3" w:rsidRDefault="00967950" w:rsidP="00DA378C">
            <w:pPr>
              <w:jc w:val="center"/>
              <w:rPr>
                <w:rFonts w:ascii="Verdana" w:hAnsi="Verdana" w:cs="Arial"/>
                <w:sz w:val="16"/>
                <w:szCs w:val="16"/>
              </w:rPr>
            </w:pPr>
            <w:r w:rsidRPr="00E575A3">
              <w:rPr>
                <w:rFonts w:ascii="Verdana" w:hAnsi="Verdana" w:cs="Arial"/>
                <w:sz w:val="16"/>
                <w:szCs w:val="16"/>
              </w:rPr>
              <w:t xml:space="preserve">SAC Estructuras Metálicas S.A. contra José </w:t>
            </w:r>
            <w:r w:rsidRPr="00E575A3">
              <w:rPr>
                <w:rFonts w:ascii="Verdana" w:hAnsi="Verdana" w:cs="Arial"/>
                <w:sz w:val="16"/>
                <w:szCs w:val="16"/>
              </w:rPr>
              <w:lastRenderedPageBreak/>
              <w:t>Daniel Correa Senior y otros</w:t>
            </w:r>
          </w:p>
        </w:tc>
        <w:tc>
          <w:tcPr>
            <w:tcW w:w="1570" w:type="dxa"/>
            <w:shd w:val="clear" w:color="auto" w:fill="F2DCDB"/>
            <w:vAlign w:val="center"/>
          </w:tcPr>
          <w:p w14:paraId="0761CC46" w14:textId="77777777" w:rsidR="00967950" w:rsidRPr="00E575A3" w:rsidRDefault="00967950" w:rsidP="00DA378C">
            <w:pPr>
              <w:jc w:val="center"/>
              <w:rPr>
                <w:rFonts w:ascii="Verdana" w:hAnsi="Verdana" w:cs="Arial"/>
                <w:sz w:val="16"/>
                <w:szCs w:val="16"/>
              </w:rPr>
            </w:pPr>
            <w:r w:rsidRPr="00E575A3">
              <w:rPr>
                <w:rFonts w:ascii="Verdana" w:hAnsi="Verdana" w:cs="Arial"/>
                <w:sz w:val="16"/>
                <w:szCs w:val="16"/>
              </w:rPr>
              <w:lastRenderedPageBreak/>
              <w:t xml:space="preserve">Valoración de perjuicios derivados de operaciones viciadas por </w:t>
            </w:r>
            <w:r w:rsidRPr="00E575A3">
              <w:rPr>
                <w:rFonts w:ascii="Verdana" w:hAnsi="Verdana" w:cs="Arial"/>
                <w:sz w:val="16"/>
                <w:szCs w:val="16"/>
              </w:rPr>
              <w:lastRenderedPageBreak/>
              <w:t>conflictos de interés</w:t>
            </w:r>
          </w:p>
        </w:tc>
        <w:tc>
          <w:tcPr>
            <w:tcW w:w="6685" w:type="dxa"/>
            <w:shd w:val="clear" w:color="auto" w:fill="F2DCDB"/>
          </w:tcPr>
          <w:p w14:paraId="4DE644AA" w14:textId="77777777" w:rsidR="00967950" w:rsidRPr="00E575A3" w:rsidRDefault="00967950" w:rsidP="00DA378C">
            <w:pPr>
              <w:jc w:val="both"/>
              <w:rPr>
                <w:rFonts w:ascii="Verdana" w:hAnsi="Verdana" w:cs="Arial"/>
                <w:sz w:val="16"/>
                <w:szCs w:val="16"/>
              </w:rPr>
            </w:pPr>
            <w:r w:rsidRPr="00E575A3">
              <w:rPr>
                <w:rFonts w:ascii="Verdana" w:hAnsi="Verdana" w:cs="Arial"/>
                <w:sz w:val="16"/>
                <w:szCs w:val="16"/>
              </w:rPr>
              <w:lastRenderedPageBreak/>
              <w:t xml:space="preserve">A pesar de las infracciones legales descritas en los párrafos anteriores, el Despacho considera que los administradores demandados obraron en concordancia con los mejores intereses de SAC Estructuras Metálicas S.A. Como ya se dijo, es factible que las operaciones viciadas por un conflicto de interés le reporten importantes beneficios a una sociedad, como en efecto parece haber </w:t>
            </w:r>
            <w:r w:rsidRPr="00E575A3">
              <w:rPr>
                <w:rFonts w:ascii="Verdana" w:hAnsi="Verdana" w:cs="Arial"/>
                <w:sz w:val="16"/>
                <w:szCs w:val="16"/>
              </w:rPr>
              <w:lastRenderedPageBreak/>
              <w:t>ocurrido en el presente caso. […] ambos administradores dieron cuenta de los problemas económicos que afectaron la operación de SAC Estructuras Metálicas S.A., lo cual puede constatarse fácilmente en el hecho de que la compañía estuvo incursa, durante varios años, en un proceso de restructuración empresarial bajo la Ley 550 de 1999. Ante las aparentes dificultades para obtener créditos bancarios, los administradores demandados adquirieron, a título personal, sendos préstamos con Banco de Bogotá S.A., cuyo importe fue utilizado para celebrar los contratos de mutuo controvertidos ante este Despacho’.</w:t>
            </w:r>
          </w:p>
        </w:tc>
      </w:tr>
    </w:tbl>
    <w:p w14:paraId="65A856AB" w14:textId="2DF6E64F" w:rsidR="0067341A" w:rsidRDefault="0067341A" w:rsidP="0067341A">
      <w:pPr>
        <w:rPr>
          <w:rFonts w:ascii="Verdana" w:hAnsi="Verdana" w:cs="Arial"/>
          <w:color w:val="FF0000"/>
          <w:sz w:val="22"/>
          <w:szCs w:val="22"/>
        </w:rPr>
      </w:pPr>
    </w:p>
    <w:p w14:paraId="73AEBA49" w14:textId="77777777" w:rsidR="0054635D" w:rsidRDefault="0054635D" w:rsidP="0067341A">
      <w:pPr>
        <w:rPr>
          <w:rFonts w:ascii="Verdana" w:hAnsi="Verdana" w:cs="Arial"/>
          <w:color w:val="FF0000"/>
          <w:sz w:val="22"/>
          <w:szCs w:val="22"/>
        </w:rPr>
      </w:pPr>
    </w:p>
    <w:p w14:paraId="73385806" w14:textId="2913B255" w:rsidR="00F4562A" w:rsidRDefault="00772900" w:rsidP="00F4562A">
      <w:pPr>
        <w:spacing w:line="360" w:lineRule="auto"/>
        <w:jc w:val="both"/>
        <w:rPr>
          <w:rFonts w:ascii="Verdana" w:hAnsi="Verdana" w:cs="Arial"/>
          <w:b/>
          <w:bCs/>
          <w:smallCaps/>
          <w:spacing w:val="4"/>
          <w:sz w:val="22"/>
          <w:szCs w:val="22"/>
        </w:rPr>
      </w:pPr>
      <w:r w:rsidRPr="0088656C">
        <w:rPr>
          <w:rFonts w:ascii="Verdana" w:hAnsi="Verdana" w:cs="Arial"/>
          <w:b/>
          <w:bCs/>
          <w:smallCaps/>
          <w:spacing w:val="4"/>
          <w:sz w:val="22"/>
          <w:szCs w:val="22"/>
        </w:rPr>
        <w:t>5.2.3</w:t>
      </w:r>
      <w:r>
        <w:rPr>
          <w:rFonts w:ascii="Verdana" w:hAnsi="Verdana" w:cs="Arial"/>
          <w:b/>
          <w:bCs/>
          <w:smallCaps/>
          <w:spacing w:val="4"/>
          <w:sz w:val="22"/>
          <w:szCs w:val="22"/>
        </w:rPr>
        <w:t xml:space="preserve"> </w:t>
      </w:r>
      <w:r w:rsidRPr="00AE10BD">
        <w:rPr>
          <w:rFonts w:ascii="Verdana" w:hAnsi="Verdana" w:cs="Arial"/>
          <w:b/>
          <w:bCs/>
          <w:smallCaps/>
          <w:spacing w:val="4"/>
          <w:sz w:val="22"/>
          <w:szCs w:val="22"/>
        </w:rPr>
        <w:t>CONFLICTOS</w:t>
      </w:r>
      <w:r w:rsidR="006453EB" w:rsidRPr="00AE10BD">
        <w:rPr>
          <w:rFonts w:ascii="Verdana" w:hAnsi="Verdana" w:cs="Arial"/>
          <w:b/>
          <w:bCs/>
          <w:smallCaps/>
          <w:spacing w:val="4"/>
          <w:sz w:val="22"/>
          <w:szCs w:val="22"/>
        </w:rPr>
        <w:t xml:space="preserve"> SOCIETARIOS</w:t>
      </w:r>
      <w:r w:rsidR="00F4562A" w:rsidRPr="0088656C">
        <w:rPr>
          <w:rFonts w:ascii="Verdana" w:hAnsi="Verdana" w:cs="Arial"/>
          <w:b/>
          <w:bCs/>
          <w:smallCaps/>
          <w:spacing w:val="4"/>
          <w:sz w:val="22"/>
          <w:szCs w:val="22"/>
        </w:rPr>
        <w:t xml:space="preserve"> </w:t>
      </w:r>
    </w:p>
    <w:p w14:paraId="538BFEED" w14:textId="77777777" w:rsidR="0088656C" w:rsidRPr="007657B0" w:rsidRDefault="0088656C" w:rsidP="00F4562A">
      <w:pPr>
        <w:spacing w:line="360" w:lineRule="auto"/>
        <w:jc w:val="both"/>
        <w:rPr>
          <w:rFonts w:ascii="Verdana" w:hAnsi="Verdana" w:cs="Arial"/>
          <w:sz w:val="22"/>
          <w:szCs w:val="22"/>
        </w:rPr>
      </w:pPr>
    </w:p>
    <w:p w14:paraId="5395CE46" w14:textId="25EFD474" w:rsidR="00F4562A" w:rsidRPr="007657B0" w:rsidRDefault="00A57CD1" w:rsidP="00F4562A">
      <w:pPr>
        <w:spacing w:line="360" w:lineRule="auto"/>
        <w:jc w:val="both"/>
        <w:rPr>
          <w:rFonts w:ascii="Verdana" w:hAnsi="Verdana" w:cs="Arial"/>
          <w:b/>
          <w:bCs/>
          <w:spacing w:val="4"/>
          <w:sz w:val="22"/>
          <w:szCs w:val="22"/>
        </w:rPr>
      </w:pPr>
      <w:r>
        <w:rPr>
          <w:rFonts w:ascii="Verdana" w:hAnsi="Verdana" w:cs="Arial"/>
          <w:b/>
          <w:bCs/>
          <w:spacing w:val="4"/>
          <w:sz w:val="22"/>
          <w:szCs w:val="22"/>
        </w:rPr>
        <w:t>5</w:t>
      </w:r>
      <w:r w:rsidR="0088656C" w:rsidRPr="007657B0">
        <w:rPr>
          <w:rFonts w:ascii="Verdana" w:hAnsi="Verdana" w:cs="Arial"/>
          <w:b/>
          <w:bCs/>
          <w:spacing w:val="4"/>
          <w:sz w:val="22"/>
          <w:szCs w:val="22"/>
        </w:rPr>
        <w:t>.2.</w:t>
      </w:r>
      <w:r w:rsidR="007657B0" w:rsidRPr="007657B0">
        <w:rPr>
          <w:rFonts w:ascii="Verdana" w:hAnsi="Verdana" w:cs="Arial"/>
          <w:b/>
          <w:bCs/>
          <w:spacing w:val="4"/>
          <w:sz w:val="22"/>
          <w:szCs w:val="22"/>
        </w:rPr>
        <w:t xml:space="preserve">3.1 </w:t>
      </w:r>
      <w:r w:rsidR="00F4562A" w:rsidRPr="007657B0">
        <w:rPr>
          <w:rFonts w:ascii="Verdana" w:hAnsi="Verdana" w:cs="Arial"/>
          <w:b/>
          <w:bCs/>
          <w:spacing w:val="4"/>
          <w:sz w:val="22"/>
          <w:szCs w:val="22"/>
        </w:rPr>
        <w:t>Descripción general</w:t>
      </w:r>
    </w:p>
    <w:p w14:paraId="7CFFD468" w14:textId="77777777" w:rsidR="007657B0" w:rsidRDefault="007657B0" w:rsidP="007657B0">
      <w:pPr>
        <w:spacing w:line="360" w:lineRule="auto"/>
        <w:jc w:val="both"/>
        <w:rPr>
          <w:rFonts w:ascii="Verdana" w:hAnsi="Verdana" w:cs="Arial"/>
          <w:b/>
          <w:bCs/>
          <w:i/>
          <w:iCs/>
          <w:spacing w:val="4"/>
          <w:sz w:val="22"/>
          <w:szCs w:val="22"/>
        </w:rPr>
      </w:pPr>
    </w:p>
    <w:p w14:paraId="35172314" w14:textId="0FE5C694" w:rsidR="00F4562A" w:rsidRPr="002D6FA3" w:rsidRDefault="00F4562A" w:rsidP="007657B0">
      <w:pPr>
        <w:spacing w:line="360" w:lineRule="auto"/>
        <w:jc w:val="both"/>
        <w:rPr>
          <w:rFonts w:ascii="Verdana" w:hAnsi="Verdana" w:cs="Arial"/>
          <w:iCs/>
          <w:sz w:val="22"/>
          <w:szCs w:val="22"/>
        </w:rPr>
      </w:pPr>
      <w:r w:rsidRPr="002D6FA3">
        <w:rPr>
          <w:rFonts w:ascii="Verdana" w:hAnsi="Verdana" w:cs="Arial"/>
          <w:iCs/>
          <w:sz w:val="22"/>
          <w:szCs w:val="22"/>
        </w:rPr>
        <w:t>La Superintendencia de Sociedades cuenta con facultades jurisdiccionales para conocer sobre toda clase de controversias de naturaleza societaria, incluidas aquellas que se presenten entre accionistas, entre éstos y la sociedad o entre éstos y los administradores. Tales controversias, por supuesto, deben involucrar la aplicación de las reglas que componen el régimen societario colombiano, por ejemplo, aquellas dispuestas en el Libro Segundo del Código de Comercio, en la Ley 222 de 1995 y en la Ley 1258 de 2008.</w:t>
      </w:r>
    </w:p>
    <w:p w14:paraId="0FF09334" w14:textId="77777777" w:rsidR="00DA019D" w:rsidRPr="009D308D" w:rsidRDefault="00DA019D" w:rsidP="006071D4">
      <w:pPr>
        <w:spacing w:line="360" w:lineRule="auto"/>
        <w:ind w:left="708" w:hanging="708"/>
        <w:jc w:val="both"/>
        <w:rPr>
          <w:rFonts w:ascii="Arial" w:hAnsi="Arial" w:cs="Arial"/>
          <w:iCs/>
        </w:rPr>
      </w:pPr>
    </w:p>
    <w:p w14:paraId="775FA5AF" w14:textId="44244FBD" w:rsidR="00827292" w:rsidRPr="006453EB" w:rsidRDefault="00A57CD1" w:rsidP="00827292">
      <w:pPr>
        <w:spacing w:line="360" w:lineRule="auto"/>
        <w:jc w:val="both"/>
        <w:rPr>
          <w:rFonts w:ascii="Verdana" w:hAnsi="Verdana" w:cs="Arial"/>
          <w:b/>
          <w:bCs/>
          <w:sz w:val="22"/>
          <w:szCs w:val="22"/>
        </w:rPr>
      </w:pPr>
      <w:r w:rsidRPr="006453EB">
        <w:rPr>
          <w:rFonts w:ascii="Verdana" w:hAnsi="Verdana" w:cs="Arial"/>
          <w:b/>
          <w:bCs/>
          <w:sz w:val="22"/>
          <w:szCs w:val="22"/>
        </w:rPr>
        <w:t>5.2.3</w:t>
      </w:r>
      <w:r w:rsidR="00827292" w:rsidRPr="006453EB">
        <w:rPr>
          <w:rFonts w:ascii="Verdana" w:hAnsi="Verdana" w:cs="Arial"/>
          <w:b/>
          <w:bCs/>
          <w:sz w:val="22"/>
          <w:szCs w:val="22"/>
        </w:rPr>
        <w:t>.2 Fundamento</w:t>
      </w:r>
      <w:r w:rsidR="00F4562A" w:rsidRPr="006453EB">
        <w:rPr>
          <w:rFonts w:ascii="Verdana" w:hAnsi="Verdana" w:cs="Arial"/>
          <w:b/>
          <w:bCs/>
          <w:sz w:val="22"/>
          <w:szCs w:val="22"/>
        </w:rPr>
        <w:t xml:space="preserve"> Jurídico</w:t>
      </w:r>
    </w:p>
    <w:p w14:paraId="3C9BE81C" w14:textId="77777777" w:rsidR="00827292" w:rsidRDefault="00827292" w:rsidP="00827292">
      <w:pPr>
        <w:spacing w:line="360" w:lineRule="auto"/>
        <w:jc w:val="both"/>
        <w:rPr>
          <w:rFonts w:ascii="Arial" w:hAnsi="Arial" w:cs="Arial"/>
          <w:b/>
          <w:bCs/>
        </w:rPr>
      </w:pPr>
    </w:p>
    <w:p w14:paraId="09249CDA" w14:textId="1B4BFCAC" w:rsidR="00F4562A" w:rsidRDefault="00F4562A" w:rsidP="00DA019D">
      <w:pPr>
        <w:spacing w:line="360" w:lineRule="auto"/>
        <w:jc w:val="both"/>
        <w:rPr>
          <w:rFonts w:ascii="Verdana" w:hAnsi="Verdana" w:cs="Arial"/>
          <w:b/>
          <w:bCs/>
          <w:sz w:val="22"/>
          <w:szCs w:val="22"/>
        </w:rPr>
      </w:pPr>
      <w:r w:rsidRPr="00827292">
        <w:rPr>
          <w:rFonts w:ascii="Verdana" w:hAnsi="Verdana" w:cs="Arial"/>
          <w:sz w:val="22"/>
          <w:szCs w:val="22"/>
        </w:rPr>
        <w:t>Código General del Proceso, artículo 24, numeral 5º, literal b). ‘La Superintendencia de Sociedades tendrá facultades jurisdiccionales en materia societaria, referidas a [la resolución de las diferencias que ocurran entre los accionistas, o entre estos y la sociedad o entre estos y sus administradores, en desarrollo del contrato social o del acto unilateral’.</w:t>
      </w:r>
    </w:p>
    <w:p w14:paraId="3B6EADAD" w14:textId="77777777" w:rsidR="00DA019D" w:rsidRPr="00DA019D" w:rsidRDefault="00DA019D" w:rsidP="00DA019D">
      <w:pPr>
        <w:spacing w:line="360" w:lineRule="auto"/>
        <w:jc w:val="both"/>
        <w:rPr>
          <w:rFonts w:ascii="Verdana" w:hAnsi="Verdana" w:cs="Arial"/>
          <w:b/>
          <w:bCs/>
          <w:sz w:val="22"/>
          <w:szCs w:val="22"/>
        </w:rPr>
      </w:pPr>
    </w:p>
    <w:p w14:paraId="5CA1FE9B" w14:textId="77777777" w:rsidR="00F4562A" w:rsidRPr="00827292" w:rsidRDefault="00F4562A" w:rsidP="00827292">
      <w:pPr>
        <w:spacing w:line="360" w:lineRule="auto"/>
        <w:jc w:val="both"/>
        <w:rPr>
          <w:rFonts w:ascii="Verdana" w:hAnsi="Verdana" w:cs="Arial"/>
          <w:sz w:val="22"/>
          <w:szCs w:val="22"/>
        </w:rPr>
      </w:pPr>
      <w:r w:rsidRPr="00827292">
        <w:rPr>
          <w:rFonts w:ascii="Verdana" w:hAnsi="Verdana" w:cs="Arial"/>
          <w:sz w:val="22"/>
          <w:szCs w:val="22"/>
        </w:rPr>
        <w:t>Código de Comercio</w:t>
      </w:r>
    </w:p>
    <w:p w14:paraId="4DB16EFA" w14:textId="77777777" w:rsidR="00F4562A" w:rsidRPr="00827292" w:rsidRDefault="00F4562A" w:rsidP="00827292">
      <w:pPr>
        <w:spacing w:line="360" w:lineRule="auto"/>
        <w:jc w:val="both"/>
        <w:rPr>
          <w:rFonts w:ascii="Verdana" w:hAnsi="Verdana" w:cs="Arial"/>
          <w:sz w:val="22"/>
          <w:szCs w:val="22"/>
        </w:rPr>
      </w:pPr>
      <w:r w:rsidRPr="00827292">
        <w:rPr>
          <w:rFonts w:ascii="Verdana" w:hAnsi="Verdana" w:cs="Arial"/>
          <w:sz w:val="22"/>
          <w:szCs w:val="22"/>
        </w:rPr>
        <w:t>Ley 222 de 1995</w:t>
      </w:r>
    </w:p>
    <w:p w14:paraId="02822FF1" w14:textId="21DA054C" w:rsidR="00AE10BD" w:rsidRPr="009D308D" w:rsidRDefault="00F4562A" w:rsidP="00F4562A">
      <w:pPr>
        <w:spacing w:line="360" w:lineRule="auto"/>
        <w:jc w:val="both"/>
        <w:rPr>
          <w:rFonts w:ascii="Arial" w:hAnsi="Arial" w:cs="Arial"/>
        </w:rPr>
      </w:pPr>
      <w:r w:rsidRPr="00827292">
        <w:rPr>
          <w:rFonts w:ascii="Verdana" w:hAnsi="Verdana" w:cs="Arial"/>
          <w:sz w:val="22"/>
          <w:szCs w:val="22"/>
        </w:rPr>
        <w:t>Ley 1258 de 2008</w:t>
      </w:r>
    </w:p>
    <w:p w14:paraId="1342C6B7" w14:textId="6A8CEA7B" w:rsidR="00F4562A" w:rsidRDefault="001E7347" w:rsidP="00F4562A">
      <w:pPr>
        <w:spacing w:line="360" w:lineRule="auto"/>
        <w:jc w:val="both"/>
        <w:rPr>
          <w:rFonts w:ascii="Verdana" w:hAnsi="Verdana" w:cs="Arial"/>
          <w:b/>
          <w:bCs/>
          <w:sz w:val="22"/>
          <w:szCs w:val="22"/>
        </w:rPr>
      </w:pPr>
      <w:r w:rsidRPr="00FB7C8D">
        <w:rPr>
          <w:rFonts w:ascii="Verdana" w:hAnsi="Verdana" w:cs="Arial"/>
          <w:b/>
          <w:bCs/>
          <w:sz w:val="22"/>
          <w:szCs w:val="22"/>
        </w:rPr>
        <w:lastRenderedPageBreak/>
        <w:t>5.2.3</w:t>
      </w:r>
      <w:r w:rsidR="00FB7C8D" w:rsidRPr="00FB7C8D">
        <w:rPr>
          <w:rFonts w:ascii="Verdana" w:hAnsi="Verdana" w:cs="Arial"/>
          <w:b/>
          <w:bCs/>
          <w:sz w:val="22"/>
          <w:szCs w:val="22"/>
        </w:rPr>
        <w:t xml:space="preserve">.3 </w:t>
      </w:r>
      <w:r w:rsidR="00F4562A" w:rsidRPr="00FB7C8D">
        <w:rPr>
          <w:rFonts w:ascii="Verdana" w:hAnsi="Verdana" w:cs="Arial"/>
          <w:b/>
          <w:bCs/>
          <w:sz w:val="22"/>
          <w:szCs w:val="22"/>
        </w:rPr>
        <w:t>Trámite procesal</w:t>
      </w:r>
    </w:p>
    <w:p w14:paraId="04ED0421" w14:textId="77777777" w:rsidR="00FB7C8D" w:rsidRDefault="00FB7C8D" w:rsidP="00FB7C8D">
      <w:pPr>
        <w:spacing w:line="360" w:lineRule="auto"/>
        <w:jc w:val="both"/>
        <w:rPr>
          <w:rFonts w:ascii="Verdana" w:hAnsi="Verdana" w:cs="Arial"/>
          <w:b/>
          <w:bCs/>
          <w:sz w:val="22"/>
          <w:szCs w:val="22"/>
        </w:rPr>
      </w:pPr>
    </w:p>
    <w:p w14:paraId="03CE124E" w14:textId="659AF670" w:rsidR="00F4562A" w:rsidRPr="00FB7C8D" w:rsidRDefault="00F4562A" w:rsidP="00FB7C8D">
      <w:pPr>
        <w:spacing w:line="360" w:lineRule="auto"/>
        <w:jc w:val="both"/>
        <w:rPr>
          <w:rFonts w:ascii="Verdana" w:hAnsi="Verdana" w:cs="Arial"/>
          <w:sz w:val="22"/>
          <w:szCs w:val="22"/>
        </w:rPr>
      </w:pPr>
      <w:r w:rsidRPr="00FB7C8D">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13A0FA2E" w14:textId="77777777" w:rsidR="00F4562A" w:rsidRPr="009D308D" w:rsidRDefault="00F4562A" w:rsidP="00F4562A">
      <w:pPr>
        <w:spacing w:line="360" w:lineRule="auto"/>
        <w:ind w:firstLine="708"/>
        <w:jc w:val="both"/>
        <w:rPr>
          <w:rFonts w:ascii="Arial" w:hAnsi="Arial" w:cs="Arial"/>
        </w:rPr>
      </w:pPr>
    </w:p>
    <w:p w14:paraId="21AA60E6" w14:textId="503408AA" w:rsidR="00F4562A" w:rsidRPr="00115580" w:rsidRDefault="00FB7C8D" w:rsidP="00F4562A">
      <w:pPr>
        <w:spacing w:line="360" w:lineRule="auto"/>
        <w:jc w:val="both"/>
        <w:rPr>
          <w:rFonts w:ascii="Verdana" w:hAnsi="Verdana" w:cs="Arial"/>
          <w:b/>
          <w:bCs/>
          <w:sz w:val="22"/>
          <w:szCs w:val="22"/>
        </w:rPr>
      </w:pPr>
      <w:r w:rsidRPr="00115580">
        <w:rPr>
          <w:rFonts w:ascii="Verdana" w:hAnsi="Verdana" w:cs="Arial"/>
          <w:b/>
          <w:bCs/>
          <w:sz w:val="22"/>
          <w:szCs w:val="22"/>
        </w:rPr>
        <w:t>5.2.</w:t>
      </w:r>
      <w:r w:rsidR="00115580" w:rsidRPr="00115580">
        <w:rPr>
          <w:rFonts w:ascii="Verdana" w:hAnsi="Verdana" w:cs="Arial"/>
          <w:b/>
          <w:bCs/>
          <w:sz w:val="22"/>
          <w:szCs w:val="22"/>
        </w:rPr>
        <w:t xml:space="preserve">3.4 </w:t>
      </w:r>
      <w:r w:rsidR="00F4562A" w:rsidRPr="00115580">
        <w:rPr>
          <w:rFonts w:ascii="Verdana" w:hAnsi="Verdana" w:cs="Arial"/>
          <w:b/>
          <w:bCs/>
          <w:sz w:val="22"/>
          <w:szCs w:val="22"/>
        </w:rPr>
        <w:t>Jurisprudencia</w:t>
      </w:r>
    </w:p>
    <w:p w14:paraId="01B43ED0" w14:textId="77777777" w:rsidR="00115580" w:rsidRPr="009D308D" w:rsidRDefault="00115580" w:rsidP="00F4562A">
      <w:pPr>
        <w:spacing w:line="360" w:lineRule="auto"/>
        <w:jc w:val="both"/>
        <w:rPr>
          <w:rFonts w:ascii="Arial" w:hAnsi="Arial" w:cs="Arial"/>
          <w:i/>
          <w:iCs/>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41"/>
        <w:gridCol w:w="1400"/>
        <w:gridCol w:w="6993"/>
      </w:tblGrid>
      <w:tr w:rsidR="00F4562A" w:rsidRPr="005D272D" w14:paraId="5545FE21" w14:textId="77777777" w:rsidTr="00663F8C">
        <w:trPr>
          <w:tblHeader/>
        </w:trPr>
        <w:tc>
          <w:tcPr>
            <w:tcW w:w="1241" w:type="dxa"/>
            <w:shd w:val="clear" w:color="auto" w:fill="962D46"/>
          </w:tcPr>
          <w:p w14:paraId="20541526" w14:textId="77777777" w:rsidR="00F4562A" w:rsidRPr="00115580" w:rsidRDefault="00F4562A" w:rsidP="00DA378C">
            <w:pPr>
              <w:jc w:val="center"/>
              <w:rPr>
                <w:rFonts w:ascii="Verdana" w:hAnsi="Verdana" w:cs="Arial"/>
                <w:b/>
                <w:color w:val="FFFFFF"/>
                <w:sz w:val="20"/>
                <w:szCs w:val="20"/>
              </w:rPr>
            </w:pPr>
            <w:r w:rsidRPr="00115580">
              <w:rPr>
                <w:rFonts w:ascii="Verdana" w:hAnsi="Verdana" w:cs="Arial"/>
                <w:b/>
                <w:color w:val="FFFFFF"/>
                <w:sz w:val="20"/>
                <w:szCs w:val="20"/>
              </w:rPr>
              <w:t>Caso</w:t>
            </w:r>
          </w:p>
        </w:tc>
        <w:tc>
          <w:tcPr>
            <w:tcW w:w="1400" w:type="dxa"/>
            <w:shd w:val="clear" w:color="auto" w:fill="962D46"/>
          </w:tcPr>
          <w:p w14:paraId="54BC121E" w14:textId="77777777" w:rsidR="00F4562A" w:rsidRPr="00115580" w:rsidRDefault="00F4562A" w:rsidP="00DA378C">
            <w:pPr>
              <w:jc w:val="center"/>
              <w:rPr>
                <w:rFonts w:ascii="Verdana" w:hAnsi="Verdana" w:cs="Arial"/>
                <w:b/>
                <w:color w:val="FFFFFF"/>
                <w:sz w:val="20"/>
                <w:szCs w:val="20"/>
              </w:rPr>
            </w:pPr>
            <w:r w:rsidRPr="00115580">
              <w:rPr>
                <w:rFonts w:ascii="Verdana" w:hAnsi="Verdana" w:cs="Arial"/>
                <w:b/>
                <w:color w:val="FFFFFF"/>
                <w:sz w:val="20"/>
                <w:szCs w:val="20"/>
              </w:rPr>
              <w:t>Asunto</w:t>
            </w:r>
          </w:p>
        </w:tc>
        <w:tc>
          <w:tcPr>
            <w:tcW w:w="6993" w:type="dxa"/>
            <w:shd w:val="clear" w:color="auto" w:fill="962D46"/>
          </w:tcPr>
          <w:p w14:paraId="4E0FF565" w14:textId="77777777" w:rsidR="00F4562A" w:rsidRPr="00115580" w:rsidRDefault="00F4562A" w:rsidP="00DA378C">
            <w:pPr>
              <w:jc w:val="center"/>
              <w:rPr>
                <w:rFonts w:ascii="Verdana" w:hAnsi="Verdana" w:cs="Arial"/>
                <w:b/>
                <w:color w:val="FFFFFF"/>
                <w:sz w:val="20"/>
                <w:szCs w:val="20"/>
              </w:rPr>
            </w:pPr>
            <w:r w:rsidRPr="00115580">
              <w:rPr>
                <w:rFonts w:ascii="Verdana" w:hAnsi="Verdana" w:cs="Arial"/>
                <w:b/>
                <w:color w:val="FFFFFF"/>
                <w:sz w:val="20"/>
                <w:szCs w:val="20"/>
              </w:rPr>
              <w:t>Extracto</w:t>
            </w:r>
          </w:p>
        </w:tc>
      </w:tr>
      <w:tr w:rsidR="00F4562A" w:rsidRPr="005D272D" w14:paraId="51839D8D" w14:textId="77777777" w:rsidTr="00E774E1">
        <w:tc>
          <w:tcPr>
            <w:tcW w:w="1241" w:type="dxa"/>
            <w:shd w:val="clear" w:color="auto" w:fill="FFFFFF"/>
            <w:vAlign w:val="center"/>
          </w:tcPr>
          <w:p w14:paraId="79331B0A" w14:textId="77777777" w:rsidR="00F4562A" w:rsidRPr="00115580" w:rsidRDefault="00F4562A" w:rsidP="00DA378C">
            <w:pPr>
              <w:jc w:val="center"/>
              <w:rPr>
                <w:rFonts w:ascii="Verdana" w:hAnsi="Verdana" w:cs="Arial"/>
                <w:sz w:val="16"/>
                <w:szCs w:val="16"/>
                <w:lang w:val="en-US"/>
              </w:rPr>
            </w:pPr>
            <w:r w:rsidRPr="00115580">
              <w:rPr>
                <w:rFonts w:ascii="Verdana" w:hAnsi="Verdana" w:cs="Arial"/>
                <w:sz w:val="16"/>
                <w:szCs w:val="16"/>
                <w:lang w:val="en-US"/>
              </w:rPr>
              <w:t>Oceanis Global Investments LLC y Step Group Corp. contra Solla S.A.</w:t>
            </w:r>
          </w:p>
        </w:tc>
        <w:tc>
          <w:tcPr>
            <w:tcW w:w="1400" w:type="dxa"/>
            <w:shd w:val="clear" w:color="auto" w:fill="FFFFFF"/>
            <w:vAlign w:val="center"/>
          </w:tcPr>
          <w:p w14:paraId="38A153C8" w14:textId="77777777" w:rsidR="00F4562A" w:rsidRPr="00115580" w:rsidRDefault="00F4562A" w:rsidP="00DA378C">
            <w:pPr>
              <w:jc w:val="center"/>
              <w:rPr>
                <w:rFonts w:ascii="Verdana" w:hAnsi="Verdana" w:cs="Arial"/>
                <w:sz w:val="16"/>
                <w:szCs w:val="16"/>
                <w:lang w:val="es-CO"/>
              </w:rPr>
            </w:pPr>
            <w:r w:rsidRPr="00115580">
              <w:rPr>
                <w:rFonts w:ascii="Verdana" w:hAnsi="Verdana" w:cs="Arial"/>
                <w:sz w:val="16"/>
                <w:szCs w:val="16"/>
                <w:lang w:val="es-CO"/>
              </w:rPr>
              <w:t>Regulación del derecho de inspección</w:t>
            </w:r>
          </w:p>
        </w:tc>
        <w:tc>
          <w:tcPr>
            <w:tcW w:w="6993" w:type="dxa"/>
            <w:shd w:val="clear" w:color="auto" w:fill="FFFFFF"/>
          </w:tcPr>
          <w:p w14:paraId="2017F0F5" w14:textId="77777777" w:rsidR="00F4562A" w:rsidRPr="00115580" w:rsidRDefault="00F4562A" w:rsidP="00DA378C">
            <w:pPr>
              <w:jc w:val="both"/>
              <w:rPr>
                <w:rFonts w:ascii="Verdana" w:hAnsi="Verdana" w:cs="Arial"/>
                <w:sz w:val="16"/>
                <w:szCs w:val="16"/>
                <w:lang w:val="es-CO"/>
              </w:rPr>
            </w:pPr>
            <w:r w:rsidRPr="00115580">
              <w:rPr>
                <w:rFonts w:ascii="Verdana" w:hAnsi="Verdana" w:cs="Arial"/>
                <w:sz w:val="16"/>
                <w:szCs w:val="16"/>
                <w:lang w:val="es-CO"/>
              </w:rPr>
              <w:t xml:space="preserve">‘[E]l derecho de fiscalización individual es una de las prerrogativas subjetivas de mayor entidad que surge de la calidad de asociado. Constituye, además, un elemento fundamental en el establecimiento de prácticas de gobierno corporativo, pues resulta ser una verdadera vía de mitigación de problemas de agencia. “Consiste en la facultad que les asiste a los asociados de examinar, directamente o mediante persona delegada para el efecto, los libros y papeles de la sociedad, con el fin de enterarse de la situación administrativa, financiera, contable y jurídica de la sociedad en la cual realizaron sus aportes. Este derecho, de manera correlativa, implica la obligación de los administradores de entregar la referida información, en los términos y condiciones que exigen tanto las normas contables, como las normas propias del ordenamiento societario, y los estatutos sociales de cada sociedad” […]. El derecho de inspección, sin embargo, “no tiene carácter absoluto, comoquiera que no puede convertirse en un obstáculo permanente que atente contra la buena marcha de la [sociedad]”. Es por ello que resulta posible su regulación por decisión del máximo órgano social, siempre que no se alteren sus presupuestos mínimos, que no son más que los establecidos en la ley. […] [A]demás de la limitación temporal […] esta prerrogativa no puede extenderse indefinidamente a toda clase de libros y papeles de comercio, sino a aquellos que guarden relación directa con los asuntos propios de las reuniones ordinarias. Adicionalmente, conforme acaba de indicarse, la ley señala expresamente que no son objeto de inspección los documentos que versen sobre secretos industriales o que puedan ser utilizados en detrimento de la sociedad en caso de ser divulgados. […] En todo caso, no debe perderse de vista que, siempre que no se afecte el alcance esencial de este derecho en los términos legales, los asociados pueden regular lo ateniente a su ejercicio. En línea con lo anterior, y al tenor de lo establecido en la ley, debe también entenderse que “[l]a libertad del asociado según las voces del artículo 369, es la de examinar, vocablo este que no tiene una connotación diferente a la de escudriñar con cuidado y diligencia el tema de su interés, pero no va más allá de una simple inspección; esto es, que el asociado no puede, con base en la norma en comento, reclamar a los administradores nada distinto”’. </w:t>
            </w:r>
          </w:p>
        </w:tc>
      </w:tr>
      <w:tr w:rsidR="00F4562A" w:rsidRPr="005D272D" w14:paraId="448F683F" w14:textId="77777777" w:rsidTr="00C52FAB">
        <w:tc>
          <w:tcPr>
            <w:tcW w:w="1241" w:type="dxa"/>
            <w:shd w:val="clear" w:color="auto" w:fill="F2DCDB"/>
            <w:vAlign w:val="center"/>
          </w:tcPr>
          <w:p w14:paraId="41400D0E" w14:textId="77777777" w:rsidR="00F4562A" w:rsidRPr="00115580" w:rsidRDefault="00F4562A" w:rsidP="00DA378C">
            <w:pPr>
              <w:jc w:val="center"/>
              <w:rPr>
                <w:rFonts w:ascii="Verdana" w:hAnsi="Verdana" w:cs="Arial"/>
                <w:sz w:val="16"/>
                <w:szCs w:val="16"/>
              </w:rPr>
            </w:pPr>
            <w:r w:rsidRPr="00115580">
              <w:rPr>
                <w:rFonts w:ascii="Verdana" w:hAnsi="Verdana" w:cs="Arial"/>
                <w:sz w:val="16"/>
                <w:szCs w:val="16"/>
              </w:rPr>
              <w:t xml:space="preserve">Francisco A. Martínez Quintero y Lucía Martínez de </w:t>
            </w:r>
            <w:proofErr w:type="spellStart"/>
            <w:r w:rsidRPr="00115580">
              <w:rPr>
                <w:rFonts w:ascii="Verdana" w:hAnsi="Verdana" w:cs="Arial"/>
                <w:sz w:val="16"/>
                <w:szCs w:val="16"/>
              </w:rPr>
              <w:t>Kurday</w:t>
            </w:r>
            <w:proofErr w:type="spellEnd"/>
            <w:r w:rsidRPr="00115580">
              <w:rPr>
                <w:rFonts w:ascii="Verdana" w:hAnsi="Verdana" w:cs="Arial"/>
                <w:sz w:val="16"/>
                <w:szCs w:val="16"/>
              </w:rPr>
              <w:t xml:space="preserve"> contra </w:t>
            </w:r>
            <w:proofErr w:type="spellStart"/>
            <w:r w:rsidRPr="00115580">
              <w:rPr>
                <w:rFonts w:ascii="Verdana" w:hAnsi="Verdana" w:cs="Arial"/>
                <w:sz w:val="16"/>
                <w:szCs w:val="16"/>
              </w:rPr>
              <w:t>Sabajón</w:t>
            </w:r>
            <w:proofErr w:type="spellEnd"/>
            <w:r w:rsidRPr="00115580">
              <w:rPr>
                <w:rFonts w:ascii="Verdana" w:hAnsi="Verdana" w:cs="Arial"/>
                <w:sz w:val="16"/>
                <w:szCs w:val="16"/>
              </w:rPr>
              <w:t xml:space="preserve"> Apolo S.A. y otros</w:t>
            </w:r>
          </w:p>
        </w:tc>
        <w:tc>
          <w:tcPr>
            <w:tcW w:w="1400" w:type="dxa"/>
            <w:shd w:val="clear" w:color="auto" w:fill="F2DCDB"/>
            <w:vAlign w:val="center"/>
          </w:tcPr>
          <w:p w14:paraId="51419BF7" w14:textId="77777777" w:rsidR="00F4562A" w:rsidRPr="00115580" w:rsidRDefault="00F4562A" w:rsidP="00DA378C">
            <w:pPr>
              <w:jc w:val="center"/>
              <w:rPr>
                <w:rFonts w:ascii="Verdana" w:hAnsi="Verdana" w:cs="Arial"/>
                <w:sz w:val="16"/>
                <w:szCs w:val="16"/>
              </w:rPr>
            </w:pPr>
            <w:r w:rsidRPr="00115580">
              <w:rPr>
                <w:rFonts w:ascii="Verdana" w:hAnsi="Verdana" w:cs="Arial"/>
                <w:sz w:val="16"/>
                <w:szCs w:val="16"/>
              </w:rPr>
              <w:t>Nulidad absoluta de contratos de compraventa de acciones por la violación de lo previsto en el artículo 404 del Código de Comercio</w:t>
            </w:r>
          </w:p>
        </w:tc>
        <w:tc>
          <w:tcPr>
            <w:tcW w:w="6993" w:type="dxa"/>
            <w:shd w:val="clear" w:color="auto" w:fill="F2DCDB"/>
          </w:tcPr>
          <w:p w14:paraId="5D093051" w14:textId="77777777" w:rsidR="00F4562A" w:rsidRPr="00115580" w:rsidRDefault="00F4562A" w:rsidP="00DA378C">
            <w:pPr>
              <w:jc w:val="both"/>
              <w:rPr>
                <w:rFonts w:ascii="Verdana" w:hAnsi="Verdana" w:cs="Arial"/>
                <w:sz w:val="16"/>
                <w:szCs w:val="16"/>
              </w:rPr>
            </w:pPr>
            <w:r w:rsidRPr="00115580">
              <w:rPr>
                <w:rFonts w:ascii="Verdana" w:hAnsi="Verdana" w:cs="Arial"/>
                <w:sz w:val="16"/>
                <w:szCs w:val="16"/>
              </w:rPr>
              <w:t xml:space="preserve">Por virtud de lo anterior, debe concluirse que tanto Sofía </w:t>
            </w:r>
            <w:proofErr w:type="spellStart"/>
            <w:r w:rsidRPr="00115580">
              <w:rPr>
                <w:rFonts w:ascii="Verdana" w:hAnsi="Verdana" w:cs="Arial"/>
                <w:sz w:val="16"/>
                <w:szCs w:val="16"/>
              </w:rPr>
              <w:t>Velosa</w:t>
            </w:r>
            <w:proofErr w:type="spellEnd"/>
            <w:r w:rsidRPr="00115580">
              <w:rPr>
                <w:rFonts w:ascii="Verdana" w:hAnsi="Verdana" w:cs="Arial"/>
                <w:sz w:val="16"/>
                <w:szCs w:val="16"/>
              </w:rPr>
              <w:t xml:space="preserve"> de Martínez como Jaime Martínez Quintero detentaban la calidad de administradores de </w:t>
            </w:r>
            <w:proofErr w:type="spellStart"/>
            <w:r w:rsidRPr="00115580">
              <w:rPr>
                <w:rFonts w:ascii="Verdana" w:hAnsi="Verdana" w:cs="Arial"/>
                <w:sz w:val="16"/>
                <w:szCs w:val="16"/>
              </w:rPr>
              <w:t>Sabajón</w:t>
            </w:r>
            <w:proofErr w:type="spellEnd"/>
            <w:r w:rsidRPr="00115580">
              <w:rPr>
                <w:rFonts w:ascii="Verdana" w:hAnsi="Verdana" w:cs="Arial"/>
                <w:sz w:val="16"/>
                <w:szCs w:val="16"/>
              </w:rPr>
              <w:t xml:space="preserve"> Apolo S.A. para la fecha en que se celebraron los contratos de compraventa de acciones controvertidos en este proceso. En verdad, tales negocios jurídicos se celebraron durante el segundo semestre de 2011, en algún momento entre la formulación de las ofertas de venta en julio de 2011 y la inscripción de las transferencias en el libro de registro de accionistas en diciembre de ese mismo año. Por consiguiente, en los términos previstos en el artículo 404 del Código de Comercio, Sofía </w:t>
            </w:r>
            <w:proofErr w:type="spellStart"/>
            <w:r w:rsidRPr="00115580">
              <w:rPr>
                <w:rFonts w:ascii="Verdana" w:hAnsi="Verdana" w:cs="Arial"/>
                <w:sz w:val="16"/>
                <w:szCs w:val="16"/>
              </w:rPr>
              <w:t>Velosa</w:t>
            </w:r>
            <w:proofErr w:type="spellEnd"/>
            <w:r w:rsidRPr="00115580">
              <w:rPr>
                <w:rFonts w:ascii="Verdana" w:hAnsi="Verdana" w:cs="Arial"/>
                <w:sz w:val="16"/>
                <w:szCs w:val="16"/>
              </w:rPr>
              <w:t xml:space="preserve"> de Martínez y Jaime Martínez Quintero estaban obligados a solicitar la autorización requerida en esa norma para poder celebrar los contratos de compraventa a que se ha hecho referencia’.</w:t>
            </w:r>
          </w:p>
        </w:tc>
      </w:tr>
      <w:tr w:rsidR="00F4562A" w:rsidRPr="005D272D" w14:paraId="3CCA817E" w14:textId="77777777" w:rsidTr="00C52FAB">
        <w:tc>
          <w:tcPr>
            <w:tcW w:w="1241" w:type="dxa"/>
            <w:shd w:val="clear" w:color="auto" w:fill="auto"/>
            <w:vAlign w:val="center"/>
          </w:tcPr>
          <w:p w14:paraId="4C9F040A" w14:textId="77777777" w:rsidR="00F4562A" w:rsidRPr="00115580" w:rsidRDefault="00F4562A" w:rsidP="00DA378C">
            <w:pPr>
              <w:jc w:val="center"/>
              <w:rPr>
                <w:rFonts w:ascii="Verdana" w:hAnsi="Verdana" w:cs="Arial"/>
                <w:sz w:val="16"/>
                <w:szCs w:val="16"/>
              </w:rPr>
            </w:pPr>
            <w:r w:rsidRPr="00115580">
              <w:rPr>
                <w:rFonts w:ascii="Verdana" w:hAnsi="Verdana" w:cs="Arial"/>
                <w:sz w:val="16"/>
                <w:szCs w:val="16"/>
              </w:rPr>
              <w:lastRenderedPageBreak/>
              <w:t>Colombiana de Envases Industriales (</w:t>
            </w:r>
            <w:proofErr w:type="spellStart"/>
            <w:r w:rsidRPr="00115580">
              <w:rPr>
                <w:rFonts w:ascii="Verdana" w:hAnsi="Verdana" w:cs="Arial"/>
                <w:sz w:val="16"/>
                <w:szCs w:val="16"/>
              </w:rPr>
              <w:t>Colvinsa</w:t>
            </w:r>
            <w:proofErr w:type="spellEnd"/>
            <w:r w:rsidRPr="00115580">
              <w:rPr>
                <w:rFonts w:ascii="Verdana" w:hAnsi="Verdana" w:cs="Arial"/>
                <w:sz w:val="16"/>
                <w:szCs w:val="16"/>
              </w:rPr>
              <w:t>) S.A. contra Adelaida Portilla Lizarazo y otros</w:t>
            </w:r>
          </w:p>
        </w:tc>
        <w:tc>
          <w:tcPr>
            <w:tcW w:w="1400" w:type="dxa"/>
            <w:shd w:val="clear" w:color="auto" w:fill="auto"/>
            <w:vAlign w:val="center"/>
          </w:tcPr>
          <w:p w14:paraId="0B6AD498" w14:textId="77777777" w:rsidR="00F4562A" w:rsidRPr="00115580" w:rsidRDefault="00F4562A" w:rsidP="00DA378C">
            <w:pPr>
              <w:jc w:val="center"/>
              <w:rPr>
                <w:rFonts w:ascii="Verdana" w:hAnsi="Verdana" w:cs="Arial"/>
                <w:sz w:val="16"/>
                <w:szCs w:val="16"/>
              </w:rPr>
            </w:pPr>
            <w:r w:rsidRPr="00115580">
              <w:rPr>
                <w:rFonts w:ascii="Verdana" w:hAnsi="Verdana" w:cs="Arial"/>
                <w:sz w:val="16"/>
                <w:szCs w:val="16"/>
              </w:rPr>
              <w:t>Valoración de la conducta de accionistas en la pugna por el control de una compañía</w:t>
            </w:r>
          </w:p>
        </w:tc>
        <w:tc>
          <w:tcPr>
            <w:tcW w:w="6993" w:type="dxa"/>
            <w:shd w:val="clear" w:color="auto" w:fill="auto"/>
          </w:tcPr>
          <w:p w14:paraId="1C6A8058" w14:textId="77777777" w:rsidR="00F4562A" w:rsidRPr="00115580" w:rsidRDefault="00F4562A" w:rsidP="00DA378C">
            <w:pPr>
              <w:jc w:val="both"/>
              <w:rPr>
                <w:rFonts w:ascii="Verdana" w:hAnsi="Verdana" w:cs="Arial"/>
                <w:sz w:val="16"/>
                <w:szCs w:val="16"/>
              </w:rPr>
            </w:pPr>
            <w:r w:rsidRPr="00115580">
              <w:rPr>
                <w:rFonts w:ascii="Verdana" w:hAnsi="Verdana" w:cs="Arial"/>
                <w:sz w:val="16"/>
                <w:szCs w:val="16"/>
              </w:rPr>
              <w:t xml:space="preserve">‘'Al momento de constituirse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las acciones ordinarias de la compañía se distribuyeron entre […] antiguos trabajadores de </w:t>
            </w:r>
            <w:proofErr w:type="spellStart"/>
            <w:r w:rsidRPr="00115580">
              <w:rPr>
                <w:rFonts w:ascii="Verdana" w:hAnsi="Verdana" w:cs="Arial"/>
                <w:sz w:val="16"/>
                <w:szCs w:val="16"/>
              </w:rPr>
              <w:t>Metalibec</w:t>
            </w:r>
            <w:proofErr w:type="spellEnd"/>
            <w:r w:rsidRPr="00115580">
              <w:rPr>
                <w:rFonts w:ascii="Verdana" w:hAnsi="Verdana" w:cs="Arial"/>
                <w:sz w:val="16"/>
                <w:szCs w:val="16"/>
              </w:rPr>
              <w:t xml:space="preserve"> S.A. Según aparece registrado en los libros de la compañía, ninguno de los [69] accionistas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al 30 de septiembre de 2007 era propietario de un número de acciones que le permitiera configurar una mayoría en las reuniones del máximo órgano social. El Despacho tampoco encontró pruebas acerca de la existencia de acuerdos de voto entre los accionistas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Ante la carencia de un bloque mayoritario, las decisiones de la asamblea general de accionistas de la compañía se adoptaban por virtud de consensos obtenidos luego de prolongadas deliberaciones entre los asociados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 En el año 2007, el señor </w:t>
            </w:r>
            <w:proofErr w:type="spellStart"/>
            <w:r w:rsidRPr="00115580">
              <w:rPr>
                <w:rFonts w:ascii="Verdana" w:hAnsi="Verdana" w:cs="Arial"/>
                <w:sz w:val="16"/>
                <w:szCs w:val="16"/>
              </w:rPr>
              <w:t>Nayib</w:t>
            </w:r>
            <w:proofErr w:type="spellEnd"/>
            <w:r w:rsidRPr="00115580">
              <w:rPr>
                <w:rFonts w:ascii="Verdana" w:hAnsi="Verdana" w:cs="Arial"/>
                <w:sz w:val="16"/>
                <w:szCs w:val="16"/>
              </w:rPr>
              <w:t xml:space="preserve">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encontró una importante oportunidad de negocios en la dispersión accionaria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 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no sólo empezó a comprar acciones de la sociedad a partir de octubre de 2007, sino que, además, obtuvo poderes de varios de los 69 accionistas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para representarlos en las reuniones del máximo órgano social […]. En el año 2010, 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había concentrado suficientes acciones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para asumir el control sobre la administración de la compañía […] durante el primer semestre de ese año se presentaron agudos enfrentamientos entre el bloque accionario liderado por 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y aquél conformado por los antiguos administradores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representada en este proceso por el señor </w:t>
            </w:r>
            <w:proofErr w:type="spellStart"/>
            <w:r w:rsidRPr="00115580">
              <w:rPr>
                <w:rFonts w:ascii="Verdana" w:hAnsi="Verdana" w:cs="Arial"/>
                <w:sz w:val="16"/>
                <w:szCs w:val="16"/>
              </w:rPr>
              <w:t>Nayib</w:t>
            </w:r>
            <w:proofErr w:type="spellEnd"/>
            <w:r w:rsidRPr="00115580">
              <w:rPr>
                <w:rFonts w:ascii="Verdana" w:hAnsi="Verdana" w:cs="Arial"/>
                <w:sz w:val="16"/>
                <w:szCs w:val="16"/>
              </w:rPr>
              <w:t xml:space="preserve">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considera que los demandados se comportaron de manera indebida durante el curso del conflicto reseñado, por lo cual deben resarcir los perjuicios sufridos por la sociedad […]. […] Los demandados recurrieron al ejercicio de sus derechos políticos en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como un mecanismo de defensa ante las actuaciones del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Si bien es cierto que los demandados hicieron uso de la regla especial prevista en el artículo 429 del Código de Comercio para proteger la antigua estructura administrativa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también lo es que 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se valió de esa misma norma para expulsar a los demandados de la junta directiva de la compañía. Posteriormente, ambos bloques de accionistas emplearon el foro de la asamblea general para intentar obtener una posición ventajosa en la pugna por el control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 las medidas adoptadas por los demandados fueron proporcionales a las estrategias diseñadas por el señor </w:t>
            </w:r>
            <w:proofErr w:type="spellStart"/>
            <w:r w:rsidRPr="00115580">
              <w:rPr>
                <w:rFonts w:ascii="Verdana" w:hAnsi="Verdana" w:cs="Arial"/>
                <w:sz w:val="16"/>
                <w:szCs w:val="16"/>
              </w:rPr>
              <w:t>Kassem</w:t>
            </w:r>
            <w:proofErr w:type="spellEnd"/>
            <w:r w:rsidRPr="00115580">
              <w:rPr>
                <w:rFonts w:ascii="Verdana" w:hAnsi="Verdana" w:cs="Arial"/>
                <w:sz w:val="16"/>
                <w:szCs w:val="16"/>
              </w:rPr>
              <w:t xml:space="preserve"> para hacerse al control de </w:t>
            </w:r>
            <w:proofErr w:type="spellStart"/>
            <w:r w:rsidRPr="00115580">
              <w:rPr>
                <w:rFonts w:ascii="Verdana" w:hAnsi="Verdana" w:cs="Arial"/>
                <w:sz w:val="16"/>
                <w:szCs w:val="16"/>
              </w:rPr>
              <w:t>Colvinsa</w:t>
            </w:r>
            <w:proofErr w:type="spellEnd"/>
            <w:r w:rsidRPr="00115580">
              <w:rPr>
                <w:rFonts w:ascii="Verdana" w:hAnsi="Verdana" w:cs="Arial"/>
                <w:sz w:val="16"/>
                <w:szCs w:val="16"/>
              </w:rPr>
              <w:t xml:space="preserve"> S.A. Aunque esta circunstancia no sanea el carácter reprochable de las actuaciones desplegadas por ambas partes en la disputa por el control de la compañía, la naturaleza de las medidas de defensa estudiadas debe ser tenida en cuenta por el Despacho al momento de pronunciarse sobre la responsabilidad que pretende imputársele a los demandados […]’.</w:t>
            </w:r>
          </w:p>
        </w:tc>
      </w:tr>
    </w:tbl>
    <w:p w14:paraId="1650CF2C" w14:textId="77777777" w:rsidR="0054635D" w:rsidRDefault="0054635D" w:rsidP="0067341A">
      <w:pPr>
        <w:rPr>
          <w:rFonts w:ascii="Verdana" w:hAnsi="Verdana" w:cs="Arial"/>
          <w:color w:val="FF0000"/>
          <w:sz w:val="22"/>
          <w:szCs w:val="22"/>
        </w:rPr>
      </w:pPr>
    </w:p>
    <w:p w14:paraId="5A6583F9" w14:textId="77777777" w:rsidR="0054635D" w:rsidRDefault="0054635D" w:rsidP="0067341A">
      <w:pPr>
        <w:rPr>
          <w:rFonts w:ascii="Verdana" w:hAnsi="Verdana" w:cs="Arial"/>
          <w:color w:val="FF0000"/>
          <w:sz w:val="22"/>
          <w:szCs w:val="22"/>
        </w:rPr>
      </w:pPr>
    </w:p>
    <w:p w14:paraId="0611C5E7" w14:textId="4E382F64" w:rsidR="0067341A" w:rsidRPr="006453EB" w:rsidRDefault="00BF67E4" w:rsidP="0067341A">
      <w:pPr>
        <w:spacing w:line="360" w:lineRule="auto"/>
        <w:jc w:val="both"/>
        <w:rPr>
          <w:rFonts w:ascii="Verdana" w:hAnsi="Verdana" w:cs="Arial"/>
          <w:b/>
          <w:bCs/>
          <w:spacing w:val="4"/>
        </w:rPr>
      </w:pPr>
      <w:r w:rsidRPr="00BF67E4">
        <w:rPr>
          <w:rFonts w:ascii="Verdana" w:hAnsi="Verdana" w:cs="Arial"/>
          <w:b/>
          <w:bCs/>
          <w:smallCaps/>
          <w:spacing w:val="4"/>
          <w:sz w:val="22"/>
          <w:szCs w:val="22"/>
        </w:rPr>
        <w:t xml:space="preserve">5.2.4 </w:t>
      </w:r>
      <w:r w:rsidR="006453EB" w:rsidRPr="00AE10BD">
        <w:rPr>
          <w:rFonts w:ascii="Verdana" w:hAnsi="Verdana" w:cs="Arial"/>
          <w:b/>
          <w:bCs/>
          <w:smallCaps/>
          <w:spacing w:val="4"/>
          <w:sz w:val="22"/>
          <w:szCs w:val="22"/>
        </w:rPr>
        <w:t>DESESTIMACIÓN DE LA PERSONALIDAD JURÍDICA, DECLARATORIA DE NULIDAD DE ACTOS DEFRAUDATORIOS E INDEMNIZACIÓN DE PERJUICIOS.</w:t>
      </w:r>
      <w:r w:rsidR="006453EB">
        <w:rPr>
          <w:rFonts w:ascii="Verdana" w:hAnsi="Verdana" w:cs="Arial"/>
          <w:b/>
          <w:bCs/>
          <w:smallCaps/>
          <w:spacing w:val="4"/>
          <w:sz w:val="22"/>
          <w:szCs w:val="22"/>
        </w:rPr>
        <w:t xml:space="preserve"> </w:t>
      </w:r>
    </w:p>
    <w:p w14:paraId="46B3FE8C" w14:textId="77777777" w:rsidR="00BF67E4" w:rsidRPr="006453EB" w:rsidRDefault="00BF67E4" w:rsidP="0067341A">
      <w:pPr>
        <w:spacing w:line="360" w:lineRule="auto"/>
        <w:jc w:val="both"/>
        <w:rPr>
          <w:rFonts w:ascii="Verdana" w:hAnsi="Verdana" w:cs="Arial"/>
          <w:b/>
          <w:bCs/>
          <w:spacing w:val="4"/>
        </w:rPr>
      </w:pPr>
    </w:p>
    <w:p w14:paraId="72E1D1FB" w14:textId="11CEC4E2" w:rsidR="0067341A" w:rsidRPr="00EA1D62" w:rsidRDefault="00BF67E4" w:rsidP="0067341A">
      <w:pPr>
        <w:spacing w:line="360" w:lineRule="auto"/>
        <w:jc w:val="both"/>
        <w:rPr>
          <w:rFonts w:ascii="Verdana" w:hAnsi="Verdana" w:cs="Arial"/>
          <w:b/>
          <w:bCs/>
          <w:spacing w:val="4"/>
          <w:sz w:val="22"/>
          <w:szCs w:val="22"/>
        </w:rPr>
      </w:pPr>
      <w:r w:rsidRPr="00EA1D62">
        <w:rPr>
          <w:rFonts w:ascii="Verdana" w:hAnsi="Verdana" w:cs="Arial"/>
          <w:b/>
          <w:bCs/>
          <w:spacing w:val="4"/>
          <w:sz w:val="22"/>
          <w:szCs w:val="22"/>
        </w:rPr>
        <w:t>5.2</w:t>
      </w:r>
      <w:r w:rsidR="00AF3632" w:rsidRPr="00EA1D62">
        <w:rPr>
          <w:rFonts w:ascii="Verdana" w:hAnsi="Verdana" w:cs="Arial"/>
          <w:b/>
          <w:bCs/>
          <w:spacing w:val="4"/>
          <w:sz w:val="22"/>
          <w:szCs w:val="22"/>
        </w:rPr>
        <w:t xml:space="preserve">.4.1 </w:t>
      </w:r>
      <w:r w:rsidR="0067341A" w:rsidRPr="00EA1D62">
        <w:rPr>
          <w:rFonts w:ascii="Verdana" w:hAnsi="Verdana" w:cs="Arial"/>
          <w:b/>
          <w:bCs/>
          <w:spacing w:val="4"/>
          <w:sz w:val="22"/>
          <w:szCs w:val="22"/>
        </w:rPr>
        <w:t>Descripción general</w:t>
      </w:r>
    </w:p>
    <w:p w14:paraId="414F3F92" w14:textId="77777777" w:rsidR="00AF3632" w:rsidRPr="009D308D" w:rsidRDefault="00AF3632" w:rsidP="0067341A">
      <w:pPr>
        <w:spacing w:line="360" w:lineRule="auto"/>
        <w:jc w:val="both"/>
        <w:rPr>
          <w:rFonts w:ascii="Arial" w:hAnsi="Arial" w:cs="Arial"/>
          <w:i/>
          <w:iCs/>
          <w:spacing w:val="4"/>
        </w:rPr>
      </w:pPr>
    </w:p>
    <w:p w14:paraId="5C418AAF" w14:textId="77777777" w:rsidR="0067341A" w:rsidRPr="00AF3632" w:rsidRDefault="0067341A" w:rsidP="00AF3632">
      <w:pPr>
        <w:spacing w:line="360" w:lineRule="auto"/>
        <w:jc w:val="both"/>
        <w:rPr>
          <w:rFonts w:ascii="Verdana" w:hAnsi="Verdana" w:cs="Arial"/>
          <w:iCs/>
          <w:sz w:val="22"/>
          <w:szCs w:val="22"/>
        </w:rPr>
      </w:pPr>
      <w:r w:rsidRPr="00AF3632">
        <w:rPr>
          <w:rFonts w:ascii="Verdana" w:hAnsi="Verdana" w:cs="Arial"/>
          <w:iCs/>
          <w:sz w:val="22"/>
          <w:szCs w:val="22"/>
        </w:rPr>
        <w:t xml:space="preserve">Estas acciones están relacionadas con aquellas hipótesis en las que, según el artículo 24 del Código General del Proceso, ‘se utilice la sociedad en fraude a la ley o en perjuicio de terceros’. En tales casos, podrá solicitarse ante esta Superintendencia no sólo la desestimación de la personalidad jurídica y la nulidad de los actos defraudatorios, sino </w:t>
      </w:r>
      <w:r w:rsidRPr="00AF3632">
        <w:rPr>
          <w:rFonts w:ascii="Verdana" w:hAnsi="Verdana" w:cs="Arial"/>
          <w:iCs/>
          <w:sz w:val="22"/>
          <w:szCs w:val="22"/>
        </w:rPr>
        <w:lastRenderedPageBreak/>
        <w:t>también la correspondiente indemnización de perjuicios. Para que prosperen las pretensiones en una acción de esta naturaleza, se requiere una altísima carga probatoria por parte de quien la propone, pues conlleva a una de las sanciones más drásticas previstas en el ordenamiento societario colombiano, vale decir, el desconocimiento del beneficio de limitación de responsabilidad o de personificación jurídica independiente. Por último, tales acciones judiciales sólo son procedentes respecto de sociedades sometidas a la supervisión de la Superintendencia de Sociedades.</w:t>
      </w:r>
    </w:p>
    <w:p w14:paraId="59724931" w14:textId="77777777" w:rsidR="0067341A" w:rsidRPr="009D308D" w:rsidRDefault="0067341A" w:rsidP="0067341A">
      <w:pPr>
        <w:spacing w:line="360" w:lineRule="auto"/>
        <w:jc w:val="both"/>
        <w:rPr>
          <w:rFonts w:ascii="Arial" w:hAnsi="Arial" w:cs="Arial"/>
          <w:i/>
          <w:iCs/>
        </w:rPr>
      </w:pPr>
    </w:p>
    <w:p w14:paraId="106ED30A" w14:textId="75BB68EA" w:rsidR="0067341A" w:rsidRPr="00EA1D62" w:rsidRDefault="00AF3632" w:rsidP="0067341A">
      <w:pPr>
        <w:spacing w:line="360" w:lineRule="auto"/>
        <w:jc w:val="both"/>
        <w:rPr>
          <w:rFonts w:ascii="Verdana" w:hAnsi="Verdana" w:cs="Arial"/>
          <w:b/>
          <w:bCs/>
          <w:sz w:val="22"/>
          <w:szCs w:val="22"/>
        </w:rPr>
      </w:pPr>
      <w:r w:rsidRPr="00EA1D62">
        <w:rPr>
          <w:rFonts w:ascii="Verdana" w:hAnsi="Verdana" w:cs="Arial"/>
          <w:b/>
          <w:bCs/>
          <w:sz w:val="22"/>
          <w:szCs w:val="22"/>
        </w:rPr>
        <w:t>5.2.4.2</w:t>
      </w:r>
      <w:r w:rsidR="00B34EC1" w:rsidRPr="00EA1D62">
        <w:rPr>
          <w:rFonts w:ascii="Verdana" w:hAnsi="Verdana" w:cs="Arial"/>
          <w:b/>
          <w:bCs/>
          <w:sz w:val="22"/>
          <w:szCs w:val="22"/>
        </w:rPr>
        <w:t xml:space="preserve"> </w:t>
      </w:r>
      <w:r w:rsidR="0067341A" w:rsidRPr="00EA1D62">
        <w:rPr>
          <w:rFonts w:ascii="Verdana" w:hAnsi="Verdana" w:cs="Arial"/>
          <w:b/>
          <w:bCs/>
          <w:sz w:val="22"/>
          <w:szCs w:val="22"/>
        </w:rPr>
        <w:t>Fundamento Jurídico</w:t>
      </w:r>
    </w:p>
    <w:p w14:paraId="2D356DA0" w14:textId="77777777" w:rsidR="00B34EC1" w:rsidRPr="00EA1D62" w:rsidRDefault="00B34EC1" w:rsidP="0067341A">
      <w:pPr>
        <w:spacing w:line="360" w:lineRule="auto"/>
        <w:jc w:val="both"/>
        <w:rPr>
          <w:rFonts w:ascii="Arial" w:hAnsi="Arial" w:cs="Arial"/>
          <w:i/>
          <w:iCs/>
          <w:sz w:val="22"/>
          <w:szCs w:val="22"/>
        </w:rPr>
      </w:pPr>
    </w:p>
    <w:p w14:paraId="06A2F23D" w14:textId="77777777" w:rsidR="0067341A" w:rsidRPr="005D0C85" w:rsidRDefault="0067341A" w:rsidP="00B34EC1">
      <w:pPr>
        <w:spacing w:line="360" w:lineRule="auto"/>
        <w:jc w:val="both"/>
        <w:rPr>
          <w:rFonts w:ascii="Verdana" w:hAnsi="Verdana" w:cs="Arial"/>
          <w:sz w:val="22"/>
          <w:szCs w:val="22"/>
          <w:lang w:val="es-CO"/>
        </w:rPr>
      </w:pPr>
      <w:r w:rsidRPr="00B34EC1">
        <w:rPr>
          <w:rFonts w:ascii="Verdana" w:hAnsi="Verdana" w:cs="Arial"/>
          <w:sz w:val="22"/>
          <w:szCs w:val="22"/>
          <w:lang w:val="es-CO"/>
        </w:rPr>
        <w:t xml:space="preserve">Código General del Proceso, artículo 24, numeral 5º, literal d). ‘La Superintendencia de Sociedades tendrá facultades jurisdiccionales en materia societaria, referidas a […] la declaratoria de nulidad de los actos defraudatorios y la desestimación de la personalidad jurídica de las sociedades sometidas a su supervisión, cuando se utilice la sociedad en fraude a la ley o en perjuicio de terceros, los accionistas y los administradores que hubieren realizado, participado o facilitado los actos defraudatorios, responderán </w:t>
      </w:r>
      <w:r w:rsidRPr="005D0C85">
        <w:rPr>
          <w:rFonts w:ascii="Verdana" w:hAnsi="Verdana" w:cs="Arial"/>
          <w:sz w:val="22"/>
          <w:szCs w:val="22"/>
          <w:lang w:val="es-CO"/>
        </w:rPr>
        <w:t>solidariamente por las obligaciones nacidas de tales actos y por los perjuicios causados. Así mismo, conocerá de la acción indemnizatoria a que haya lugar por los posibles perjuicios que se deriven de los actos defraudatorios’.</w:t>
      </w:r>
    </w:p>
    <w:p w14:paraId="1BDF1A6B" w14:textId="77777777" w:rsidR="008472B2" w:rsidRDefault="008472B2" w:rsidP="005D0C85">
      <w:pPr>
        <w:spacing w:line="360" w:lineRule="auto"/>
        <w:jc w:val="both"/>
        <w:rPr>
          <w:rFonts w:ascii="Verdana" w:hAnsi="Verdana" w:cs="Arial"/>
          <w:sz w:val="22"/>
          <w:szCs w:val="22"/>
          <w:lang w:val="es-CO"/>
        </w:rPr>
      </w:pPr>
    </w:p>
    <w:p w14:paraId="3433CC34" w14:textId="74131A26" w:rsidR="0067341A" w:rsidRPr="005D0C85" w:rsidRDefault="0067341A" w:rsidP="005D0C85">
      <w:pPr>
        <w:spacing w:line="360" w:lineRule="auto"/>
        <w:jc w:val="both"/>
        <w:rPr>
          <w:rFonts w:ascii="Verdana" w:hAnsi="Verdana" w:cs="Arial"/>
          <w:sz w:val="22"/>
          <w:szCs w:val="22"/>
          <w:lang w:val="es-CO"/>
        </w:rPr>
      </w:pPr>
      <w:r w:rsidRPr="005D0C85">
        <w:rPr>
          <w:rFonts w:ascii="Verdana" w:hAnsi="Verdana" w:cs="Arial"/>
          <w:sz w:val="22"/>
          <w:szCs w:val="22"/>
          <w:lang w:val="es-CO"/>
        </w:rPr>
        <w:t xml:space="preserve">Ley 1258 de 2008, artículo 42. ‘Cuando se utilice la sociedad por acciones simplificada en fraude a la ley o en perjuicio de terceros, los accionistas y los administradores que hubieren realizado, participado o facilitado los actos defraudatorios, responderán solidariamente por las obligaciones nacidas de tales actos y por los perjuicios causados. La declaratoria de nulidad de los actos defraudatorios se adelantará ante la Superintendencia de Sociedades […]. La acción indemnizatoria a que haya lugar por los posibles perjuicios que se deriven de los actos defraudatorios será de competencia, a prevención, de la Superintendencia de Sociedades o de los jueces civiles del circuito </w:t>
      </w:r>
      <w:r w:rsidRPr="005D0C85">
        <w:rPr>
          <w:rFonts w:ascii="Verdana" w:hAnsi="Verdana" w:cs="Arial"/>
          <w:sz w:val="22"/>
          <w:szCs w:val="22"/>
          <w:lang w:val="es-CO"/>
        </w:rPr>
        <w:lastRenderedPageBreak/>
        <w:t>especializados, y a falta de estos, por los civiles del circuito del domicilio del demandante […]’.</w:t>
      </w:r>
    </w:p>
    <w:p w14:paraId="422DA9A7" w14:textId="77777777" w:rsidR="0067341A" w:rsidRPr="009D308D" w:rsidRDefault="0067341A" w:rsidP="0067341A">
      <w:pPr>
        <w:spacing w:line="360" w:lineRule="auto"/>
        <w:jc w:val="both"/>
        <w:rPr>
          <w:rFonts w:ascii="Arial" w:hAnsi="Arial" w:cs="Arial"/>
          <w:lang w:val="es-CO"/>
        </w:rPr>
      </w:pPr>
    </w:p>
    <w:p w14:paraId="6CD23F6F" w14:textId="53D64EEF" w:rsidR="0067341A" w:rsidRDefault="005D0C85" w:rsidP="0067341A">
      <w:pPr>
        <w:spacing w:line="360" w:lineRule="auto"/>
        <w:jc w:val="both"/>
        <w:rPr>
          <w:rFonts w:ascii="Verdana" w:hAnsi="Verdana" w:cs="Arial"/>
          <w:b/>
          <w:bCs/>
          <w:sz w:val="22"/>
          <w:szCs w:val="22"/>
        </w:rPr>
      </w:pPr>
      <w:r w:rsidRPr="00440410">
        <w:rPr>
          <w:rFonts w:ascii="Verdana" w:hAnsi="Verdana" w:cs="Arial"/>
          <w:b/>
          <w:bCs/>
          <w:sz w:val="22"/>
          <w:szCs w:val="22"/>
        </w:rPr>
        <w:t>5.2.4</w:t>
      </w:r>
      <w:r w:rsidR="00440410" w:rsidRPr="00440410">
        <w:rPr>
          <w:rFonts w:ascii="Verdana" w:hAnsi="Verdana" w:cs="Arial"/>
          <w:b/>
          <w:bCs/>
          <w:sz w:val="22"/>
          <w:szCs w:val="22"/>
        </w:rPr>
        <w:t xml:space="preserve">.3 </w:t>
      </w:r>
      <w:r w:rsidR="0067341A" w:rsidRPr="00440410">
        <w:rPr>
          <w:rFonts w:ascii="Verdana" w:hAnsi="Verdana" w:cs="Arial"/>
          <w:b/>
          <w:bCs/>
          <w:sz w:val="22"/>
          <w:szCs w:val="22"/>
        </w:rPr>
        <w:t>Trámite procesal</w:t>
      </w:r>
    </w:p>
    <w:p w14:paraId="444C8EFD" w14:textId="77777777" w:rsidR="00440410" w:rsidRDefault="00440410" w:rsidP="00440410">
      <w:pPr>
        <w:spacing w:line="360" w:lineRule="auto"/>
        <w:jc w:val="both"/>
        <w:rPr>
          <w:rFonts w:ascii="Verdana" w:hAnsi="Verdana" w:cs="Arial"/>
          <w:b/>
          <w:bCs/>
          <w:sz w:val="22"/>
          <w:szCs w:val="22"/>
        </w:rPr>
      </w:pPr>
    </w:p>
    <w:p w14:paraId="58D8885F" w14:textId="43408540" w:rsidR="0067341A" w:rsidRPr="00921B00" w:rsidRDefault="0067341A" w:rsidP="00440410">
      <w:pPr>
        <w:spacing w:line="360" w:lineRule="auto"/>
        <w:jc w:val="both"/>
        <w:rPr>
          <w:rFonts w:ascii="Verdana" w:hAnsi="Verdana" w:cs="Arial"/>
          <w:iCs/>
          <w:sz w:val="22"/>
          <w:szCs w:val="22"/>
        </w:rPr>
      </w:pPr>
      <w:r w:rsidRPr="00921B00">
        <w:rPr>
          <w:rFonts w:ascii="Verdana" w:hAnsi="Verdana" w:cs="Arial"/>
          <w:iCs/>
          <w:sz w:val="22"/>
          <w:szCs w:val="22"/>
        </w:rPr>
        <w:t xml:space="preserve">Por virtud de lo previsto en el </w:t>
      </w:r>
      <w:r w:rsidR="00D054E5">
        <w:rPr>
          <w:rFonts w:ascii="Verdana" w:hAnsi="Verdana" w:cs="Arial"/>
          <w:iCs/>
          <w:sz w:val="22"/>
          <w:szCs w:val="22"/>
        </w:rPr>
        <w:t xml:space="preserve">artículo 43 de la ley 1258, el literal d) del </w:t>
      </w:r>
      <w:r w:rsidRPr="00921B00">
        <w:rPr>
          <w:rFonts w:ascii="Verdana" w:hAnsi="Verdana" w:cs="Arial"/>
          <w:iCs/>
          <w:sz w:val="22"/>
          <w:szCs w:val="22"/>
        </w:rPr>
        <w:t xml:space="preserve">artículo 24 del Código General del Proceso y el artículo </w:t>
      </w:r>
      <w:r w:rsidR="00D054E5">
        <w:rPr>
          <w:rFonts w:ascii="Verdana" w:hAnsi="Verdana" w:cs="Arial"/>
          <w:iCs/>
          <w:sz w:val="22"/>
          <w:szCs w:val="22"/>
        </w:rPr>
        <w:t xml:space="preserve">390 y </w:t>
      </w:r>
      <w:proofErr w:type="spellStart"/>
      <w:r w:rsidR="00D054E5">
        <w:rPr>
          <w:rFonts w:ascii="Verdana" w:hAnsi="Verdana" w:cs="Arial"/>
          <w:iCs/>
          <w:sz w:val="22"/>
          <w:szCs w:val="22"/>
        </w:rPr>
        <w:t>ss</w:t>
      </w:r>
      <w:proofErr w:type="spellEnd"/>
      <w:r w:rsidRPr="00921B00">
        <w:rPr>
          <w:rFonts w:ascii="Verdana" w:hAnsi="Verdana" w:cs="Arial"/>
          <w:iCs/>
          <w:sz w:val="22"/>
          <w:szCs w:val="22"/>
        </w:rPr>
        <w:t xml:space="preserve"> del Código General del Proceso, esta acción debe surtirse por la vía del proceso verbal</w:t>
      </w:r>
      <w:r w:rsidR="00D054E5">
        <w:rPr>
          <w:rFonts w:ascii="Verdana" w:hAnsi="Verdana" w:cs="Arial"/>
          <w:iCs/>
          <w:sz w:val="22"/>
          <w:szCs w:val="22"/>
        </w:rPr>
        <w:t xml:space="preserve"> sumario</w:t>
      </w:r>
      <w:r w:rsidRPr="00921B00">
        <w:rPr>
          <w:rFonts w:ascii="Verdana" w:hAnsi="Verdana" w:cs="Arial"/>
          <w:iCs/>
          <w:sz w:val="22"/>
          <w:szCs w:val="22"/>
        </w:rPr>
        <w:t>.</w:t>
      </w:r>
    </w:p>
    <w:p w14:paraId="05F498E1" w14:textId="77777777" w:rsidR="0067341A" w:rsidRPr="009D308D" w:rsidRDefault="0067341A" w:rsidP="0067341A">
      <w:pPr>
        <w:spacing w:line="360" w:lineRule="auto"/>
        <w:jc w:val="both"/>
        <w:rPr>
          <w:rFonts w:ascii="Arial" w:hAnsi="Arial" w:cs="Arial"/>
        </w:rPr>
      </w:pPr>
    </w:p>
    <w:p w14:paraId="421EAA37" w14:textId="080562C5" w:rsidR="00440410" w:rsidRDefault="00440410" w:rsidP="0067341A">
      <w:pPr>
        <w:spacing w:line="360" w:lineRule="auto"/>
        <w:jc w:val="both"/>
        <w:rPr>
          <w:rFonts w:ascii="Verdana" w:hAnsi="Verdana" w:cs="Arial"/>
          <w:b/>
          <w:bCs/>
          <w:iCs/>
          <w:sz w:val="22"/>
          <w:szCs w:val="22"/>
        </w:rPr>
      </w:pPr>
      <w:r w:rsidRPr="00D77E1B">
        <w:rPr>
          <w:rFonts w:ascii="Verdana" w:hAnsi="Verdana" w:cs="Arial"/>
          <w:b/>
          <w:bCs/>
          <w:iCs/>
          <w:sz w:val="22"/>
          <w:szCs w:val="22"/>
        </w:rPr>
        <w:t xml:space="preserve">5.2.4.4 </w:t>
      </w:r>
      <w:r w:rsidR="0067341A" w:rsidRPr="00D77E1B">
        <w:rPr>
          <w:rFonts w:ascii="Verdana" w:hAnsi="Verdana" w:cs="Arial"/>
          <w:b/>
          <w:bCs/>
          <w:iCs/>
          <w:sz w:val="22"/>
          <w:szCs w:val="22"/>
        </w:rPr>
        <w:t>Jurisprudencia</w:t>
      </w:r>
    </w:p>
    <w:p w14:paraId="4E291004" w14:textId="77777777" w:rsidR="00EA1D62" w:rsidRPr="00D77E1B" w:rsidRDefault="00EA1D62" w:rsidP="0067341A">
      <w:pPr>
        <w:spacing w:line="360" w:lineRule="auto"/>
        <w:jc w:val="both"/>
        <w:rPr>
          <w:rFonts w:ascii="Verdana" w:hAnsi="Verdana" w:cs="Arial"/>
          <w:b/>
          <w:bCs/>
          <w:iCs/>
          <w:sz w:val="22"/>
          <w:szCs w:val="22"/>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35"/>
        <w:gridCol w:w="1518"/>
        <w:gridCol w:w="6681"/>
      </w:tblGrid>
      <w:tr w:rsidR="0067341A" w:rsidRPr="005D272D" w14:paraId="46138B34" w14:textId="77777777" w:rsidTr="00663F8C">
        <w:trPr>
          <w:trHeight w:val="175"/>
          <w:tblHeader/>
        </w:trPr>
        <w:tc>
          <w:tcPr>
            <w:tcW w:w="1435" w:type="dxa"/>
            <w:shd w:val="clear" w:color="auto" w:fill="962D46"/>
          </w:tcPr>
          <w:p w14:paraId="0898A0D6" w14:textId="77777777" w:rsidR="0067341A" w:rsidRPr="00F10FEC" w:rsidRDefault="0067341A" w:rsidP="00DA378C">
            <w:pPr>
              <w:jc w:val="center"/>
              <w:rPr>
                <w:rFonts w:ascii="Verdana" w:hAnsi="Verdana" w:cs="Arial"/>
                <w:b/>
                <w:color w:val="FFFFFF"/>
                <w:sz w:val="20"/>
                <w:szCs w:val="20"/>
              </w:rPr>
            </w:pPr>
            <w:r w:rsidRPr="00F10FEC">
              <w:rPr>
                <w:rFonts w:ascii="Verdana" w:hAnsi="Verdana" w:cs="Arial"/>
                <w:b/>
                <w:color w:val="FFFFFF"/>
                <w:sz w:val="20"/>
                <w:szCs w:val="20"/>
              </w:rPr>
              <w:t>Caso</w:t>
            </w:r>
          </w:p>
        </w:tc>
        <w:tc>
          <w:tcPr>
            <w:tcW w:w="1518" w:type="dxa"/>
            <w:shd w:val="clear" w:color="auto" w:fill="962D46"/>
          </w:tcPr>
          <w:p w14:paraId="625EEB23" w14:textId="77777777" w:rsidR="0067341A" w:rsidRPr="00F10FEC" w:rsidRDefault="0067341A" w:rsidP="00DA378C">
            <w:pPr>
              <w:jc w:val="center"/>
              <w:rPr>
                <w:rFonts w:ascii="Verdana" w:hAnsi="Verdana" w:cs="Arial"/>
                <w:b/>
                <w:color w:val="FFFFFF"/>
                <w:sz w:val="20"/>
                <w:szCs w:val="20"/>
              </w:rPr>
            </w:pPr>
            <w:r w:rsidRPr="00F10FEC">
              <w:rPr>
                <w:rFonts w:ascii="Verdana" w:hAnsi="Verdana" w:cs="Arial"/>
                <w:b/>
                <w:color w:val="FFFFFF"/>
                <w:sz w:val="20"/>
                <w:szCs w:val="20"/>
              </w:rPr>
              <w:t>Asunto</w:t>
            </w:r>
          </w:p>
        </w:tc>
        <w:tc>
          <w:tcPr>
            <w:tcW w:w="6681" w:type="dxa"/>
            <w:shd w:val="clear" w:color="auto" w:fill="962D46"/>
          </w:tcPr>
          <w:p w14:paraId="6E6F7CCC" w14:textId="77777777" w:rsidR="0067341A" w:rsidRPr="00F10FEC" w:rsidRDefault="0067341A" w:rsidP="00DA378C">
            <w:pPr>
              <w:jc w:val="center"/>
              <w:rPr>
                <w:rFonts w:ascii="Verdana" w:hAnsi="Verdana" w:cs="Arial"/>
                <w:b/>
                <w:color w:val="FFFFFF"/>
                <w:sz w:val="20"/>
                <w:szCs w:val="20"/>
              </w:rPr>
            </w:pPr>
            <w:r w:rsidRPr="00F10FEC">
              <w:rPr>
                <w:rFonts w:ascii="Verdana" w:hAnsi="Verdana" w:cs="Arial"/>
                <w:b/>
                <w:color w:val="FFFFFF"/>
                <w:sz w:val="20"/>
                <w:szCs w:val="20"/>
              </w:rPr>
              <w:t>Extracto</w:t>
            </w:r>
          </w:p>
        </w:tc>
      </w:tr>
      <w:tr w:rsidR="0067341A" w:rsidRPr="005D272D" w14:paraId="4ED873DB" w14:textId="77777777" w:rsidTr="00095A02">
        <w:trPr>
          <w:trHeight w:val="986"/>
        </w:trPr>
        <w:tc>
          <w:tcPr>
            <w:tcW w:w="1435" w:type="dxa"/>
            <w:shd w:val="clear" w:color="auto" w:fill="auto"/>
            <w:vAlign w:val="center"/>
          </w:tcPr>
          <w:p w14:paraId="76D035B6" w14:textId="77777777" w:rsidR="0067341A" w:rsidRPr="00F10FEC" w:rsidRDefault="0067341A" w:rsidP="00DA378C">
            <w:pPr>
              <w:jc w:val="center"/>
              <w:rPr>
                <w:rFonts w:ascii="Verdana" w:hAnsi="Verdana" w:cs="Arial"/>
                <w:sz w:val="16"/>
                <w:szCs w:val="16"/>
              </w:rPr>
            </w:pPr>
            <w:proofErr w:type="spellStart"/>
            <w:r w:rsidRPr="00F10FEC">
              <w:rPr>
                <w:rFonts w:ascii="Verdana" w:hAnsi="Verdana" w:cs="Arial"/>
                <w:sz w:val="16"/>
                <w:szCs w:val="16"/>
              </w:rPr>
              <w:t>Panavias</w:t>
            </w:r>
            <w:proofErr w:type="spellEnd"/>
            <w:r w:rsidRPr="00F10FEC">
              <w:rPr>
                <w:rFonts w:ascii="Verdana" w:hAnsi="Verdana" w:cs="Arial"/>
                <w:sz w:val="16"/>
                <w:szCs w:val="16"/>
              </w:rPr>
              <w:t xml:space="preserve"> </w:t>
            </w:r>
            <w:proofErr w:type="spellStart"/>
            <w:r w:rsidRPr="00F10FEC">
              <w:rPr>
                <w:rFonts w:ascii="Verdana" w:hAnsi="Verdana" w:cs="Arial"/>
                <w:sz w:val="16"/>
                <w:szCs w:val="16"/>
              </w:rPr>
              <w:t>Ingeniería</w:t>
            </w:r>
            <w:proofErr w:type="spellEnd"/>
            <w:r w:rsidRPr="00F10FEC">
              <w:rPr>
                <w:rFonts w:ascii="Verdana" w:hAnsi="Verdana" w:cs="Arial"/>
                <w:sz w:val="16"/>
                <w:szCs w:val="16"/>
              </w:rPr>
              <w:t xml:space="preserve"> &amp; Construcciones S.A. en </w:t>
            </w:r>
            <w:proofErr w:type="spellStart"/>
            <w:r w:rsidRPr="00F10FEC">
              <w:rPr>
                <w:rFonts w:ascii="Verdana" w:hAnsi="Verdana" w:cs="Arial"/>
                <w:sz w:val="16"/>
                <w:szCs w:val="16"/>
              </w:rPr>
              <w:t>Reorganización</w:t>
            </w:r>
            <w:proofErr w:type="spellEnd"/>
            <w:r w:rsidRPr="00F10FEC">
              <w:rPr>
                <w:rFonts w:ascii="Verdana" w:hAnsi="Verdana" w:cs="Arial"/>
                <w:sz w:val="16"/>
                <w:szCs w:val="16"/>
              </w:rPr>
              <w:t xml:space="preserve"> contra </w:t>
            </w:r>
            <w:proofErr w:type="spellStart"/>
            <w:r w:rsidRPr="00F10FEC">
              <w:rPr>
                <w:rFonts w:ascii="Verdana" w:hAnsi="Verdana" w:cs="Arial"/>
                <w:sz w:val="16"/>
                <w:szCs w:val="16"/>
              </w:rPr>
              <w:t>Agrorepuestos</w:t>
            </w:r>
            <w:proofErr w:type="spellEnd"/>
            <w:r w:rsidRPr="00F10FEC">
              <w:rPr>
                <w:rFonts w:ascii="Verdana" w:hAnsi="Verdana" w:cs="Arial"/>
                <w:sz w:val="16"/>
                <w:szCs w:val="16"/>
              </w:rPr>
              <w:t xml:space="preserve"> SAS y otros</w:t>
            </w:r>
          </w:p>
        </w:tc>
        <w:tc>
          <w:tcPr>
            <w:tcW w:w="1518" w:type="dxa"/>
            <w:shd w:val="clear" w:color="auto" w:fill="auto"/>
            <w:vAlign w:val="center"/>
          </w:tcPr>
          <w:p w14:paraId="2CA96F92" w14:textId="77777777" w:rsidR="0067341A" w:rsidRPr="00F10FEC" w:rsidRDefault="0067341A" w:rsidP="00DA378C">
            <w:pPr>
              <w:jc w:val="center"/>
              <w:rPr>
                <w:rFonts w:ascii="Verdana" w:hAnsi="Verdana" w:cs="Arial"/>
                <w:sz w:val="16"/>
                <w:szCs w:val="16"/>
              </w:rPr>
            </w:pPr>
            <w:r w:rsidRPr="00F10FEC">
              <w:rPr>
                <w:rFonts w:ascii="Verdana" w:hAnsi="Verdana" w:cs="Arial"/>
                <w:sz w:val="16"/>
                <w:szCs w:val="16"/>
              </w:rPr>
              <w:t>Desestimación de la personalidad jurídica por distracción de recursos sociales</w:t>
            </w:r>
          </w:p>
        </w:tc>
        <w:tc>
          <w:tcPr>
            <w:tcW w:w="6681" w:type="dxa"/>
            <w:shd w:val="clear" w:color="auto" w:fill="auto"/>
          </w:tcPr>
          <w:p w14:paraId="7B29EF9B" w14:textId="77777777" w:rsidR="0067341A" w:rsidRPr="00F10FEC" w:rsidRDefault="0067341A" w:rsidP="00DA378C">
            <w:pPr>
              <w:jc w:val="both"/>
              <w:rPr>
                <w:rFonts w:ascii="Verdana" w:hAnsi="Verdana" w:cs="Arial"/>
                <w:sz w:val="16"/>
                <w:szCs w:val="16"/>
              </w:rPr>
            </w:pPr>
            <w:r w:rsidRPr="00F10FEC">
              <w:rPr>
                <w:rFonts w:ascii="Verdana" w:hAnsi="Verdana" w:cs="Arial"/>
                <w:sz w:val="16"/>
                <w:szCs w:val="16"/>
              </w:rPr>
              <w:t>‘[E]</w:t>
            </w:r>
            <w:proofErr w:type="spellStart"/>
            <w:r w:rsidRPr="00F10FEC">
              <w:rPr>
                <w:rFonts w:ascii="Verdana" w:hAnsi="Verdana" w:cs="Arial"/>
                <w:sz w:val="16"/>
                <w:szCs w:val="16"/>
              </w:rPr>
              <w:t>ste</w:t>
            </w:r>
            <w:proofErr w:type="spellEnd"/>
            <w:r w:rsidRPr="00F10FEC">
              <w:rPr>
                <w:rFonts w:ascii="Verdana" w:hAnsi="Verdana" w:cs="Arial"/>
                <w:sz w:val="16"/>
                <w:szCs w:val="16"/>
              </w:rPr>
              <w:t xml:space="preserve"> Despacho ha sido enfático en afirmar que la desestimación de la personalidad jurídica es una medida verdaderamente excepcional. Por este motivo, es pertinente empezar por hacer referencia a las circunstancias que podrían justificar la intervención de los jueces en esta clase de asuntos. Para resolver la controversia suscitada entre las partes, es relevante señalar que en la jurisprudencia societaria comparada se ha analizado, en detalle, la defraudación de acreedores que se produce mediante el traslado malintencionado de los negocios de una compañía a otra. […] Aunque es claro que la defraudación de acreedores antes descrita podría dar lugar a la desestimación de la personalidad jurídica, no puede perderse de vista que al demandante que pretenda hacer efectiva esa sanción le corresponde una altísima carga probatoria.</w:t>
            </w:r>
          </w:p>
          <w:p w14:paraId="12D9F6A9" w14:textId="77777777" w:rsidR="0067341A" w:rsidRPr="00F10FEC" w:rsidRDefault="0067341A" w:rsidP="00DA378C">
            <w:pPr>
              <w:jc w:val="both"/>
              <w:rPr>
                <w:rFonts w:ascii="Verdana" w:hAnsi="Verdana" w:cs="Arial"/>
                <w:sz w:val="16"/>
                <w:szCs w:val="16"/>
              </w:rPr>
            </w:pPr>
            <w:r w:rsidRPr="00F10FEC">
              <w:rPr>
                <w:rFonts w:ascii="Verdana" w:hAnsi="Verdana" w:cs="Arial"/>
                <w:sz w:val="16"/>
                <w:szCs w:val="16"/>
              </w:rPr>
              <w:t xml:space="preserve">’[L]os reparos formulados por la demandante están relacionados con que Agro Repuestos S.A.S. habría transferido cuantiosos activos sociales a Importadora Dimar S.A.S., con el fin de evitar el pago de una obligación insoluta a favor de </w:t>
            </w:r>
            <w:proofErr w:type="spellStart"/>
            <w:r w:rsidRPr="00F10FEC">
              <w:rPr>
                <w:rFonts w:ascii="Verdana" w:hAnsi="Verdana" w:cs="Arial"/>
                <w:sz w:val="16"/>
                <w:szCs w:val="16"/>
              </w:rPr>
              <w:t>Panavias</w:t>
            </w:r>
            <w:proofErr w:type="spellEnd"/>
            <w:r w:rsidRPr="00F10FEC">
              <w:rPr>
                <w:rFonts w:ascii="Verdana" w:hAnsi="Verdana" w:cs="Arial"/>
                <w:sz w:val="16"/>
                <w:szCs w:val="16"/>
              </w:rPr>
              <w:t xml:space="preserve"> Ingeniería &amp; Construcciones S.A. en reorganización. Por otro lado, los accionistas de Agro Repuestos S.A.S. habrían continuado con la explotación económica de los negocios de esa compañía a través de Importadora Dimar S.A.S. […] La transferencia de los bienes inmuebles en donde funcionaba Agro Repuestos S.A.S., y la enajenación de acciones antes mencionada, le significó a esta compañía un detrimento patrimonial injustificado por la suma de $965.000.000. A la luz de las anteriores consideraciones, el Despacho desestimará la personalidad jurídica de Agro Repuestos S.A.S. en liquidación, y declarará solidariamente responsables a sus accionistas por los perjuicios sufridos por la demandante a raíz de sus actuaciones, que consisten en la reducción injustificada de la prenda general de los acreedores de Agro Repuestos S.A.S. en $965.000.000, en los términos del artículo 42 de la Ley 1258 de 2008’.</w:t>
            </w:r>
          </w:p>
        </w:tc>
      </w:tr>
      <w:tr w:rsidR="0067341A" w:rsidRPr="005D272D" w14:paraId="043B60BF" w14:textId="77777777" w:rsidTr="00BA4DA7">
        <w:trPr>
          <w:trHeight w:val="7008"/>
        </w:trPr>
        <w:tc>
          <w:tcPr>
            <w:tcW w:w="1435" w:type="dxa"/>
            <w:shd w:val="clear" w:color="auto" w:fill="F2DCDB"/>
            <w:vAlign w:val="center"/>
          </w:tcPr>
          <w:p w14:paraId="60E176D1" w14:textId="77777777" w:rsidR="0067341A" w:rsidRPr="00F10FEC" w:rsidRDefault="0067341A" w:rsidP="00DA378C">
            <w:pPr>
              <w:jc w:val="center"/>
              <w:rPr>
                <w:rFonts w:ascii="Verdana" w:hAnsi="Verdana" w:cs="Arial"/>
                <w:sz w:val="16"/>
                <w:szCs w:val="16"/>
              </w:rPr>
            </w:pPr>
          </w:p>
          <w:p w14:paraId="44981D19" w14:textId="77777777" w:rsidR="0067341A" w:rsidRPr="00F10FEC" w:rsidRDefault="0067341A" w:rsidP="00DA378C">
            <w:pPr>
              <w:jc w:val="center"/>
              <w:rPr>
                <w:rFonts w:ascii="Verdana" w:hAnsi="Verdana" w:cs="Arial"/>
                <w:sz w:val="16"/>
                <w:szCs w:val="16"/>
              </w:rPr>
            </w:pPr>
            <w:r w:rsidRPr="00F10FEC">
              <w:rPr>
                <w:rFonts w:ascii="Verdana" w:hAnsi="Verdana" w:cs="Arial"/>
                <w:sz w:val="16"/>
                <w:szCs w:val="16"/>
              </w:rPr>
              <w:t xml:space="preserve">Caracol Televisión S.A. contra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en Liquidación y Héctor Fajardo </w:t>
            </w:r>
            <w:proofErr w:type="spellStart"/>
            <w:r w:rsidRPr="00F10FEC">
              <w:rPr>
                <w:rFonts w:ascii="Verdana" w:hAnsi="Verdana" w:cs="Arial"/>
                <w:sz w:val="16"/>
                <w:szCs w:val="16"/>
              </w:rPr>
              <w:t>Fajardo</w:t>
            </w:r>
            <w:proofErr w:type="spellEnd"/>
            <w:r w:rsidRPr="00F10FEC">
              <w:rPr>
                <w:rFonts w:ascii="Verdana" w:hAnsi="Verdana" w:cs="Arial"/>
                <w:sz w:val="16"/>
                <w:szCs w:val="16"/>
              </w:rPr>
              <w:t>.</w:t>
            </w:r>
          </w:p>
        </w:tc>
        <w:tc>
          <w:tcPr>
            <w:tcW w:w="1518" w:type="dxa"/>
            <w:shd w:val="clear" w:color="auto" w:fill="F2DCDB"/>
            <w:vAlign w:val="center"/>
          </w:tcPr>
          <w:p w14:paraId="1AA11483" w14:textId="77777777" w:rsidR="0067341A" w:rsidRPr="00F10FEC" w:rsidRDefault="0067341A" w:rsidP="00DA378C">
            <w:pPr>
              <w:jc w:val="center"/>
              <w:rPr>
                <w:rFonts w:ascii="Verdana" w:hAnsi="Verdana" w:cs="Arial"/>
                <w:sz w:val="16"/>
                <w:szCs w:val="16"/>
              </w:rPr>
            </w:pPr>
            <w:r w:rsidRPr="00F10FEC">
              <w:rPr>
                <w:rFonts w:ascii="Verdana" w:hAnsi="Verdana" w:cs="Arial"/>
                <w:sz w:val="16"/>
                <w:szCs w:val="16"/>
              </w:rPr>
              <w:t>Extensión de responsabilidad por pasivos sociales insolutos. Necesidad de afectación del patrimonio social</w:t>
            </w:r>
          </w:p>
        </w:tc>
        <w:tc>
          <w:tcPr>
            <w:tcW w:w="6681" w:type="dxa"/>
            <w:shd w:val="clear" w:color="auto" w:fill="F2DCDB"/>
          </w:tcPr>
          <w:p w14:paraId="309CA38F" w14:textId="77777777" w:rsidR="0067341A" w:rsidRPr="00F10FEC" w:rsidRDefault="0067341A" w:rsidP="00DA378C">
            <w:pPr>
              <w:jc w:val="both"/>
              <w:rPr>
                <w:rFonts w:ascii="Verdana" w:hAnsi="Verdana" w:cs="Arial"/>
                <w:sz w:val="16"/>
                <w:szCs w:val="16"/>
              </w:rPr>
            </w:pPr>
            <w:r w:rsidRPr="00F10FEC">
              <w:rPr>
                <w:rFonts w:ascii="Verdana" w:hAnsi="Verdana" w:cs="Arial"/>
                <w:sz w:val="16"/>
                <w:szCs w:val="16"/>
              </w:rPr>
              <w:t xml:space="preserve">‘En esa medida, debe decirse que la labor probatoria para acreditar que el demandado se valió de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para hacer inviable el pago de la obligación en comento y, con ello, defraudar los intereses de la sociedad demandante, fue apenas exigua. Las pruebas decretadas y practicadas en el curso del proceso no permiten concluir que las conductas reprochadas por la sociedad demandante fueran propiamente actos defraudatorios. Caracol Televisión S.A. no logró acreditar que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hubiera dispuesto de los activos en cuestión de manera fraudulenta con el fin de reducir el patrimonio de la compañía y deteriorar de forma intencionada la prenda general de los acreedores sociales […]. [L]a apoderada de la demandante sugirió que los intereses de Caracol Televisión S.A. fueron defraudados en la medida en que el crédito por pauta publicitaria fue concedido con base en la información reflejada en “los estados financieros y soportes presentados por la demandada, y considerando que la cuantía de los bienes en cabeza de la misma resultaba suficiente para garantizar el cumplimiento de las obligaciones” […]. No obstante, la demandante no demostró que, por ejemplo,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hubiera registrado ficticiamente activos u ocultado irregularmente pasivos a su cargo a fin de hacerse fraudulentamente a dicho crédito. Incluso, este Despacho pudo determinar que el pasivo saldado mediante la dación en pago se encontraba registrado en los estados financieros de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para la época en que la compañía contrató los servicios de Caracol Televisión S.A. […]. De manera que la demandante contaba con la posibilidad de auscultar cuál era la situación patrimonial y financiera de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antes de iniciar las relaciones comerciales que dieron lugar a la presente controversia. En este orden de ideas debe señalarse que, como lo ha manifestado esta Delegatura en múltiples oportunidades, el incumplimiento contractual no es suficiente, por sí solo, para justificar la desestimación de la personalidad jurídica de </w:t>
            </w:r>
            <w:proofErr w:type="spellStart"/>
            <w:r w:rsidRPr="00F10FEC">
              <w:rPr>
                <w:rFonts w:ascii="Verdana" w:hAnsi="Verdana" w:cs="Arial"/>
                <w:sz w:val="16"/>
                <w:szCs w:val="16"/>
              </w:rPr>
              <w:t>Affinity</w:t>
            </w:r>
            <w:proofErr w:type="spellEnd"/>
            <w:r w:rsidRPr="00F10FEC">
              <w:rPr>
                <w:rFonts w:ascii="Verdana" w:hAnsi="Verdana" w:cs="Arial"/>
                <w:sz w:val="16"/>
                <w:szCs w:val="16"/>
              </w:rPr>
              <w:t xml:space="preserve"> Network S.A.S. No sobra reiterar, por lo demás, que Caracol Televisión S.A. no puede simplemente pretender, a través del ejercicio de la acción de desestimación de la personalidad jurídica, hacerse al pago de obligaciones sociales insolutas. En efecto, no puede perderse de vista que esta gravosa sanción procede únicamente en las excepcionales hipótesis en las que se haya usado la persona jurídica societaria con fines defraudatorios, lo cual […] requiere de una altísima carga probatoria’.</w:t>
            </w:r>
          </w:p>
        </w:tc>
      </w:tr>
      <w:tr w:rsidR="0067341A" w:rsidRPr="005D272D" w14:paraId="5138BCA5" w14:textId="77777777" w:rsidTr="00BA4DA7">
        <w:trPr>
          <w:trHeight w:val="3322"/>
        </w:trPr>
        <w:tc>
          <w:tcPr>
            <w:tcW w:w="1435" w:type="dxa"/>
            <w:shd w:val="clear" w:color="auto" w:fill="auto"/>
            <w:vAlign w:val="center"/>
          </w:tcPr>
          <w:p w14:paraId="74FB30E9" w14:textId="77777777" w:rsidR="0067341A" w:rsidRPr="00F10FEC" w:rsidRDefault="0067341A" w:rsidP="00DA378C">
            <w:pPr>
              <w:jc w:val="center"/>
              <w:rPr>
                <w:rFonts w:ascii="Verdana" w:hAnsi="Verdana" w:cs="Arial"/>
                <w:sz w:val="16"/>
                <w:szCs w:val="16"/>
              </w:rPr>
            </w:pPr>
            <w:proofErr w:type="spellStart"/>
            <w:r w:rsidRPr="00F10FEC">
              <w:rPr>
                <w:rFonts w:ascii="Verdana" w:hAnsi="Verdana" w:cs="Arial"/>
                <w:sz w:val="16"/>
                <w:szCs w:val="16"/>
              </w:rPr>
              <w:t>Interglobo</w:t>
            </w:r>
            <w:proofErr w:type="spellEnd"/>
            <w:r w:rsidRPr="00F10FEC">
              <w:rPr>
                <w:rFonts w:ascii="Verdana" w:hAnsi="Verdana" w:cs="Arial"/>
                <w:sz w:val="16"/>
                <w:szCs w:val="16"/>
              </w:rPr>
              <w:t xml:space="preserve"> S.R.L. contra Daniel Enrique Price Anzola</w:t>
            </w:r>
          </w:p>
        </w:tc>
        <w:tc>
          <w:tcPr>
            <w:tcW w:w="1518" w:type="dxa"/>
            <w:shd w:val="clear" w:color="auto" w:fill="auto"/>
            <w:vAlign w:val="center"/>
          </w:tcPr>
          <w:p w14:paraId="63905D51" w14:textId="77777777" w:rsidR="0067341A" w:rsidRPr="00F10FEC" w:rsidRDefault="0067341A" w:rsidP="00DA378C">
            <w:pPr>
              <w:jc w:val="center"/>
              <w:rPr>
                <w:rFonts w:ascii="Verdana" w:hAnsi="Verdana" w:cs="Arial"/>
                <w:sz w:val="16"/>
                <w:szCs w:val="16"/>
              </w:rPr>
            </w:pPr>
            <w:r w:rsidRPr="00F10FEC">
              <w:rPr>
                <w:rFonts w:ascii="Verdana" w:hAnsi="Verdana" w:cs="Arial"/>
                <w:sz w:val="16"/>
                <w:szCs w:val="16"/>
              </w:rPr>
              <w:t>Actos defraudatorios. Necesidad de probar la sustracción irregular de activos con el exclusivo propósito de defraudar a los acreedores</w:t>
            </w:r>
          </w:p>
        </w:tc>
        <w:tc>
          <w:tcPr>
            <w:tcW w:w="6681" w:type="dxa"/>
            <w:shd w:val="clear" w:color="auto" w:fill="auto"/>
          </w:tcPr>
          <w:p w14:paraId="3458E43D" w14:textId="77777777" w:rsidR="0067341A" w:rsidRPr="00F10FEC" w:rsidRDefault="0067341A" w:rsidP="00DA378C">
            <w:pPr>
              <w:contextualSpacing/>
              <w:jc w:val="both"/>
              <w:rPr>
                <w:rFonts w:ascii="Verdana" w:hAnsi="Verdana" w:cs="Arial"/>
                <w:sz w:val="16"/>
                <w:szCs w:val="16"/>
              </w:rPr>
            </w:pPr>
            <w:r w:rsidRPr="00F10FEC">
              <w:rPr>
                <w:rFonts w:ascii="Verdana" w:hAnsi="Verdana" w:cs="Arial"/>
                <w:sz w:val="16"/>
                <w:szCs w:val="16"/>
              </w:rPr>
              <w:t xml:space="preserve">‘Las pretensiones subsidiarias, están orientadas a establecer si se han perpetrado actuaciones fraudulentas, que justifiquen la desestimación de la personalidad jurídica de Cargo Logística S.A.S. Para el efecto, la demandante, quien invoca su condición de acreedora de Cargo Logística S.A.S., considera que esta compañía fue liquidada por el demandado con el único objetivo de hacer inoponibles las obligaciones que terceros acreedores tenían frente a la misma. Además, plantea la existencia de una relación fraudulenta entre Cargo Logística S.A.S. y la sociedad denominada Salmon S.A.S., la cual fue constituida por el señor Daniel Enrique Price y su hermano Andrés Price, al mismo tiempo que liquidaba Cargo Logística S.A.S. Según señala la demandante, Salmon S.A.S. habría sido creada con el único fin de desviar la actividad económica de esta última y así evadir el pago de las obligaciones a su cargo. […] De acuerdo con la información suministrada por el demandado […] éste constituyó la sociedad Salmon S.A.S. en diciembre de 2011, “con el mismo objeto social” de Cargo Logística S.A.S. De igual manera, el demandado declaró que como empleado y fundador de Salmon S.A.S., habría logrado que los clientes de la extinta Cargo Logística S.A.S., iniciaran una relación comercial con Salmon S.A.S. […] Con todo, el Despacho advierte que tales circunstancias respecto de Salmon S.A.S. no aportan suficientes elementos de juicio para constatar la existencia del fraude que justifique la sanción desestimación de la personalidad jurídica […]. En efecto […] no basta simplemente con probar la creación de compañías con objetos sociales afines o características simétricas, para acreditar un fraude de la naturaleza </w:t>
            </w:r>
            <w:r w:rsidRPr="00F10FEC">
              <w:rPr>
                <w:rFonts w:ascii="Verdana" w:hAnsi="Verdana" w:cs="Arial"/>
                <w:sz w:val="16"/>
                <w:szCs w:val="16"/>
              </w:rPr>
              <w:lastRenderedPageBreak/>
              <w:t>indicada. Para que fuera procedente una sanción de semejante magnitud, la demandante debió demostrar, de manera contundente, que se celebraron operaciones entre las dos compañías mencionadas con el exclusivo propósito de defraudar a los acreedores de Cargo Logística S.A.S. Debe recabarse […] sobre la importante carga probatoria que recae sobre aquellos sujetos que pretendan la extensión de responsabilidad que se produce en hipótesis de desestimación de la personalidad jurídica o la nulidad de los actos que se consideran defraudatorios, tal y como se expresó en párrafos anteriores. En el presente caso, sin embargo, no quedó demostrado que el demandante sustrajera activos en forma irregular de Cargo Logística S.A.S. para ser transferidos a Salmon S.A.S. Tampoco, que ésta última haya recibido activos subvalorados por parte Cargo Logística S.A.S. De hecho, el ejercicio probatorio encaminado a establecer el origen de los activos con los cuales se constituyó Salmon S.A.S. fue apenas exiguo. Por consiguiente, el Despacho rechazará las pretensiones relativas a los actos fraudulentos invocados y a la desestimación de la personería jurídica sobre Cargo Logística S.A.S.’.</w:t>
            </w:r>
          </w:p>
        </w:tc>
      </w:tr>
      <w:tr w:rsidR="0067341A" w:rsidRPr="005D272D" w14:paraId="2B25FC9C" w14:textId="77777777" w:rsidTr="00BA4DA7">
        <w:trPr>
          <w:trHeight w:val="2817"/>
        </w:trPr>
        <w:tc>
          <w:tcPr>
            <w:tcW w:w="1435" w:type="dxa"/>
            <w:shd w:val="clear" w:color="auto" w:fill="F2DCDB"/>
            <w:vAlign w:val="center"/>
          </w:tcPr>
          <w:p w14:paraId="08A9E089" w14:textId="77777777" w:rsidR="0067341A" w:rsidRPr="00737AC1" w:rsidRDefault="0067341A" w:rsidP="00DA378C">
            <w:pPr>
              <w:jc w:val="center"/>
              <w:rPr>
                <w:rFonts w:ascii="Verdana" w:hAnsi="Verdana" w:cs="Arial"/>
                <w:sz w:val="16"/>
                <w:szCs w:val="16"/>
              </w:rPr>
            </w:pPr>
            <w:r w:rsidRPr="00737AC1">
              <w:rPr>
                <w:rFonts w:ascii="Verdana" w:hAnsi="Verdana" w:cs="Arial"/>
                <w:sz w:val="16"/>
                <w:szCs w:val="16"/>
              </w:rPr>
              <w:lastRenderedPageBreak/>
              <w:t xml:space="preserve">Wilson </w:t>
            </w:r>
            <w:proofErr w:type="spellStart"/>
            <w:r w:rsidRPr="00737AC1">
              <w:rPr>
                <w:rFonts w:ascii="Verdana" w:hAnsi="Verdana" w:cs="Arial"/>
                <w:sz w:val="16"/>
                <w:szCs w:val="16"/>
              </w:rPr>
              <w:t>Neber</w:t>
            </w:r>
            <w:proofErr w:type="spellEnd"/>
            <w:r w:rsidRPr="00737AC1">
              <w:rPr>
                <w:rFonts w:ascii="Verdana" w:hAnsi="Verdana" w:cs="Arial"/>
                <w:sz w:val="16"/>
                <w:szCs w:val="16"/>
              </w:rPr>
              <w:t xml:space="preserve"> Arias Castillo contra Riopaila Castilla S.A. y otros</w:t>
            </w:r>
          </w:p>
        </w:tc>
        <w:tc>
          <w:tcPr>
            <w:tcW w:w="1518" w:type="dxa"/>
            <w:shd w:val="clear" w:color="auto" w:fill="F2DCDB"/>
            <w:vAlign w:val="center"/>
          </w:tcPr>
          <w:p w14:paraId="78178C08" w14:textId="77777777" w:rsidR="0067341A" w:rsidRPr="00737AC1" w:rsidRDefault="0067341A" w:rsidP="00DA378C">
            <w:pPr>
              <w:jc w:val="center"/>
              <w:rPr>
                <w:rFonts w:ascii="Verdana" w:hAnsi="Verdana" w:cs="Arial"/>
                <w:sz w:val="16"/>
                <w:szCs w:val="16"/>
              </w:rPr>
            </w:pPr>
            <w:r w:rsidRPr="00737AC1">
              <w:rPr>
                <w:rFonts w:ascii="Verdana" w:hAnsi="Verdana" w:cs="Arial"/>
                <w:sz w:val="16"/>
                <w:szCs w:val="16"/>
              </w:rPr>
              <w:t>Legitimación para presentar acciones de desestimación de la personalidad jurídica</w:t>
            </w:r>
          </w:p>
        </w:tc>
        <w:tc>
          <w:tcPr>
            <w:tcW w:w="6681" w:type="dxa"/>
            <w:shd w:val="clear" w:color="auto" w:fill="F2DCDB"/>
          </w:tcPr>
          <w:p w14:paraId="3A640BD0" w14:textId="77777777" w:rsidR="0067341A" w:rsidRPr="00737AC1" w:rsidRDefault="0067341A" w:rsidP="00DA378C">
            <w:pPr>
              <w:jc w:val="both"/>
              <w:rPr>
                <w:rFonts w:ascii="Verdana" w:hAnsi="Verdana" w:cs="Arial"/>
                <w:sz w:val="16"/>
                <w:szCs w:val="16"/>
              </w:rPr>
            </w:pPr>
            <w:r w:rsidRPr="00737AC1">
              <w:rPr>
                <w:rFonts w:ascii="Verdana" w:hAnsi="Verdana" w:cs="Arial"/>
                <w:sz w:val="16"/>
                <w:szCs w:val="16"/>
              </w:rPr>
              <w:t>‘Puede pensarse entonces que si la intención de defender el orden público no legitima a un demandante para solicitar la nulidad absoluta de la constitución de una sociedad, lo mismo debe ocurrir también en hipótesis de desestimación de la personalidad jurídica. Esta conclusión no sólo guarda coherencia con el régimen de legitimación previsto en el ordenamiento societario para la protección del orden público, sino que, además, se ajusta a la jurisprudencia emitida por la Corte Suprema de Justicia respecto de la posibilidad de que terceros controviertan actos regidos por normas de derecho privado. En síntesis, pues, los terceros que pretendan la inoponibilidad de la personificación independiente de una compañía no podrán basar su legitimación, exclusivamente, en la defensa del orden público. Es decir que, de no acreditarse un interés concreto en los actos o negocios jurídicos controvertidos, tales sujetos carecerán de legitimación para presentar la correspondiente demanda’.</w:t>
            </w:r>
          </w:p>
        </w:tc>
      </w:tr>
      <w:tr w:rsidR="0067341A" w:rsidRPr="005D272D" w14:paraId="5D2EB948" w14:textId="77777777" w:rsidTr="00BA4DA7">
        <w:trPr>
          <w:trHeight w:val="2829"/>
        </w:trPr>
        <w:tc>
          <w:tcPr>
            <w:tcW w:w="1435" w:type="dxa"/>
            <w:shd w:val="clear" w:color="auto" w:fill="FFFFFF"/>
            <w:vAlign w:val="center"/>
          </w:tcPr>
          <w:p w14:paraId="6B58C28A" w14:textId="77777777" w:rsidR="0067341A" w:rsidRPr="00737AC1" w:rsidRDefault="0067341A" w:rsidP="00DA378C">
            <w:pPr>
              <w:jc w:val="center"/>
              <w:rPr>
                <w:rFonts w:ascii="Verdana" w:hAnsi="Verdana" w:cs="Arial"/>
                <w:sz w:val="16"/>
                <w:szCs w:val="16"/>
              </w:rPr>
            </w:pPr>
            <w:r w:rsidRPr="00737AC1">
              <w:rPr>
                <w:rFonts w:ascii="Verdana" w:hAnsi="Verdana" w:cs="Arial"/>
                <w:sz w:val="16"/>
                <w:szCs w:val="16"/>
              </w:rPr>
              <w:t>Fondo para el Financiamiento del sector Agropecuario contra Mónica Colombia S.A.S.</w:t>
            </w:r>
          </w:p>
        </w:tc>
        <w:tc>
          <w:tcPr>
            <w:tcW w:w="1518" w:type="dxa"/>
            <w:shd w:val="clear" w:color="auto" w:fill="FFFFFF"/>
            <w:vAlign w:val="center"/>
          </w:tcPr>
          <w:p w14:paraId="472C081E" w14:textId="77777777" w:rsidR="0067341A" w:rsidRPr="00737AC1" w:rsidRDefault="0067341A" w:rsidP="00DA378C">
            <w:pPr>
              <w:jc w:val="center"/>
              <w:rPr>
                <w:rFonts w:ascii="Verdana" w:hAnsi="Verdana" w:cs="Arial"/>
                <w:sz w:val="16"/>
                <w:szCs w:val="16"/>
              </w:rPr>
            </w:pPr>
            <w:r w:rsidRPr="00737AC1">
              <w:rPr>
                <w:rFonts w:ascii="Verdana" w:hAnsi="Verdana" w:cs="Arial"/>
                <w:sz w:val="16"/>
                <w:szCs w:val="16"/>
              </w:rPr>
              <w:t>Inoponibilidad de la personificación jurídica</w:t>
            </w:r>
          </w:p>
        </w:tc>
        <w:tc>
          <w:tcPr>
            <w:tcW w:w="6681" w:type="dxa"/>
            <w:shd w:val="clear" w:color="auto" w:fill="FFFFFF"/>
          </w:tcPr>
          <w:p w14:paraId="7F403498" w14:textId="77777777" w:rsidR="0067341A" w:rsidRPr="00737AC1" w:rsidRDefault="0067341A" w:rsidP="00DA378C">
            <w:pPr>
              <w:jc w:val="both"/>
              <w:rPr>
                <w:rFonts w:ascii="Verdana" w:hAnsi="Verdana" w:cs="Arial"/>
                <w:sz w:val="16"/>
                <w:szCs w:val="16"/>
              </w:rPr>
            </w:pPr>
            <w:r w:rsidRPr="00737AC1">
              <w:rPr>
                <w:rFonts w:ascii="Verdana" w:hAnsi="Verdana" w:cs="Arial"/>
                <w:sz w:val="16"/>
                <w:szCs w:val="16"/>
              </w:rPr>
              <w:t>'Este Despacho no permitirá, bajo ninguna circunstancia, que los empresarios se refugien detrás de personas jurídicas societarias para eximirse del cumplimiento de aquellas normas que consideren inconvenientes o desatinadas. En el presente caso, un análisis del trasfondo real de la operación del Grupo Empresarial Mónica Colombia da cuenta de la intención manifiesta de incumplir restricciones legales vigentes. En verdad, las pruebas disponibles le permiten al Despacho concluir que la estructura del Grupo Empresarial Mónica Colombia no obedeció a una finalidad legítima de negocios, sino que ese artificioso entramado societario fue, precisamente, el instrumento que permitió burlar las limitaciones contempladas para el otorgamiento de Incentivos a la Capitalización Rural. Es decir que, a pesar de conocer el alcance de las restricciones anotadas, los accionistas de Mónica Colombia S.A.S. recurrieron a la figura de la interposición societaria con la finalidad específica de evadir los topes legales correspondientes’.</w:t>
            </w:r>
          </w:p>
        </w:tc>
      </w:tr>
      <w:tr w:rsidR="0067341A" w:rsidRPr="005D272D" w14:paraId="08225923" w14:textId="77777777" w:rsidTr="00BA4DA7">
        <w:trPr>
          <w:trHeight w:val="5874"/>
        </w:trPr>
        <w:tc>
          <w:tcPr>
            <w:tcW w:w="1435" w:type="dxa"/>
            <w:shd w:val="clear" w:color="auto" w:fill="F2DCDB"/>
            <w:vAlign w:val="center"/>
          </w:tcPr>
          <w:p w14:paraId="6486E7FB" w14:textId="77777777" w:rsidR="0067341A" w:rsidRPr="007F6101" w:rsidRDefault="0067341A" w:rsidP="00DA378C">
            <w:pPr>
              <w:jc w:val="center"/>
              <w:rPr>
                <w:rFonts w:ascii="Verdana" w:hAnsi="Verdana" w:cs="Arial"/>
                <w:sz w:val="16"/>
                <w:szCs w:val="16"/>
                <w:lang w:val="es-CO"/>
              </w:rPr>
            </w:pPr>
            <w:r w:rsidRPr="007F6101">
              <w:rPr>
                <w:rFonts w:ascii="Verdana" w:hAnsi="Verdana" w:cs="Arial"/>
                <w:sz w:val="16"/>
                <w:szCs w:val="16"/>
              </w:rPr>
              <w:lastRenderedPageBreak/>
              <w:t xml:space="preserve">RCN Televisión S.A. contra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w:t>
            </w:r>
          </w:p>
        </w:tc>
        <w:tc>
          <w:tcPr>
            <w:tcW w:w="1518" w:type="dxa"/>
            <w:shd w:val="clear" w:color="auto" w:fill="F2DCDB"/>
            <w:vAlign w:val="center"/>
          </w:tcPr>
          <w:p w14:paraId="267E6672" w14:textId="77777777" w:rsidR="0067341A" w:rsidRPr="007F6101" w:rsidRDefault="0067341A" w:rsidP="00DA378C">
            <w:pPr>
              <w:jc w:val="center"/>
              <w:rPr>
                <w:rFonts w:ascii="Verdana" w:hAnsi="Verdana" w:cs="Arial"/>
                <w:sz w:val="16"/>
                <w:szCs w:val="16"/>
                <w:lang w:val="es-CO"/>
              </w:rPr>
            </w:pPr>
            <w:r w:rsidRPr="007F6101">
              <w:rPr>
                <w:rFonts w:ascii="Verdana" w:hAnsi="Verdana" w:cs="Arial"/>
                <w:sz w:val="16"/>
                <w:szCs w:val="16"/>
                <w:lang w:val="es-CO"/>
              </w:rPr>
              <w:t>Medida cautelar innominada en un proceso de desestimación de la personalidad jurídica</w:t>
            </w:r>
          </w:p>
        </w:tc>
        <w:tc>
          <w:tcPr>
            <w:tcW w:w="6681" w:type="dxa"/>
            <w:shd w:val="clear" w:color="auto" w:fill="F2DCDB"/>
          </w:tcPr>
          <w:p w14:paraId="5A2CEA38" w14:textId="77777777" w:rsidR="0067341A" w:rsidRPr="007F6101" w:rsidRDefault="0067341A" w:rsidP="00DA378C">
            <w:pPr>
              <w:jc w:val="both"/>
              <w:rPr>
                <w:rFonts w:ascii="Verdana" w:hAnsi="Verdana" w:cs="Arial"/>
                <w:sz w:val="16"/>
                <w:szCs w:val="16"/>
                <w:lang w:val="es-CO"/>
              </w:rPr>
            </w:pPr>
            <w:r w:rsidRPr="007F6101">
              <w:rPr>
                <w:rFonts w:ascii="Verdana" w:hAnsi="Verdana" w:cs="Arial"/>
                <w:sz w:val="16"/>
                <w:szCs w:val="16"/>
                <w:lang w:val="es-CO"/>
              </w:rPr>
              <w:t xml:space="preserve">‘A la luz de las anteriores consideraciones, el Despacho estima procedente decretar una medida cautelar en el presente proceso. Ello se debe a la presencia de tres elementos que, considerados conjuntamente, apuntan a una posible actuación irregular realizada por conducto de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El primero de los elementos está relacionado con el hecho de que la propiedad de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sobre el inmueble antes descrito parece haber sido un factor determinante para que RCN Televisión S.A. contratara con esa compañía. [...] El segundo de los elementos considerados por el Despacho tiene que ver con la naturaleza del acto celebrado sobre el inmueble que le sirvió de base a RCN Televisión S.A. para iniciar una relación comercial con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Según ya se dijo, ese activo le fue transferido a un tercero, a título gratuito, bajo la figura de la donación. [...] El tercer elemento que justifica el decreto de una medida cautelar guarda relación con los efectos que la donación analizada parece haber tenido respecto del patrimonio de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La cesión gratuita del inmueble fue tan nociva para la prenda general de los acreedores de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que RCN Televisión S.A. no ha podido obtener aún el pago efectivo de una obligación de aproximadamente $200.000.000, en el curso de un proceso ejecutivo iniciado ante la justicia ordinaria. [...] Por lo demás, el Despacho considera necesario decretar una medida cautelar diferente de la que fue solicitada en la demanda, en desarrollo de lo previsto en el citado artículo 590, a cuyo tenor, el juez podrá establecer ‘cualquier otra medida que […] encuentre razonable para la protección del derecho objeto del litigio’. En el presente caso, la concurrencia de los tres elementos antes analizados justifica la suspensión del acto mediante el cual se extrajo el inmueble concerniente del patrimonio de Media </w:t>
            </w:r>
            <w:proofErr w:type="spellStart"/>
            <w:r w:rsidRPr="007F6101">
              <w:rPr>
                <w:rFonts w:ascii="Verdana" w:hAnsi="Verdana" w:cs="Arial"/>
                <w:sz w:val="16"/>
                <w:szCs w:val="16"/>
                <w:lang w:val="es-CO"/>
              </w:rPr>
              <w:t>Consulting</w:t>
            </w:r>
            <w:proofErr w:type="spellEnd"/>
            <w:r w:rsidRPr="007F6101">
              <w:rPr>
                <w:rFonts w:ascii="Verdana" w:hAnsi="Verdana" w:cs="Arial"/>
                <w:sz w:val="16"/>
                <w:szCs w:val="16"/>
                <w:lang w:val="es-CO"/>
              </w:rPr>
              <w:t xml:space="preserve"> </w:t>
            </w:r>
            <w:proofErr w:type="spellStart"/>
            <w:r w:rsidRPr="007F6101">
              <w:rPr>
                <w:rFonts w:ascii="Verdana" w:hAnsi="Verdana" w:cs="Arial"/>
                <w:sz w:val="16"/>
                <w:szCs w:val="16"/>
                <w:lang w:val="es-CO"/>
              </w:rPr>
              <w:t>Group</w:t>
            </w:r>
            <w:proofErr w:type="spellEnd"/>
            <w:r w:rsidRPr="007F6101">
              <w:rPr>
                <w:rFonts w:ascii="Verdana" w:hAnsi="Verdana" w:cs="Arial"/>
                <w:sz w:val="16"/>
                <w:szCs w:val="16"/>
                <w:lang w:val="es-CO"/>
              </w:rPr>
              <w:t xml:space="preserve"> S.A.S. Se trata de una medida que, en criterio del Despacho, no sólo busca ‘asegurar la efectividad de la pretensión’, sino que guarda, además, una cercana proporción con los efectos nocivos que parecen haberse derivado de la donación controvertida’.</w:t>
            </w:r>
          </w:p>
        </w:tc>
      </w:tr>
      <w:tr w:rsidR="00766BAB" w:rsidRPr="005D272D" w14:paraId="482AEC5C" w14:textId="77777777" w:rsidTr="00BA4DA7">
        <w:trPr>
          <w:trHeight w:val="5086"/>
        </w:trPr>
        <w:tc>
          <w:tcPr>
            <w:tcW w:w="1435" w:type="dxa"/>
            <w:shd w:val="clear" w:color="auto" w:fill="auto"/>
            <w:vAlign w:val="center"/>
          </w:tcPr>
          <w:p w14:paraId="28C251AF" w14:textId="444DCBF4" w:rsidR="00766BAB" w:rsidRPr="00766BAB" w:rsidRDefault="00766BAB" w:rsidP="00766BAB">
            <w:pPr>
              <w:jc w:val="center"/>
              <w:rPr>
                <w:rFonts w:ascii="Verdana" w:hAnsi="Verdana" w:cs="Arial"/>
                <w:sz w:val="16"/>
                <w:szCs w:val="16"/>
                <w:lang w:val="es-CO"/>
              </w:rPr>
            </w:pPr>
            <w:r w:rsidRPr="00766BAB">
              <w:rPr>
                <w:rFonts w:ascii="Verdana" w:hAnsi="Verdana" w:cs="Arial"/>
                <w:sz w:val="16"/>
                <w:szCs w:val="16"/>
                <w:lang w:val="es-CO"/>
              </w:rPr>
              <w:t xml:space="preserve">Cámara de Comercio de Barranquilla contra </w:t>
            </w:r>
            <w:proofErr w:type="spellStart"/>
            <w:r w:rsidRPr="00766BAB">
              <w:rPr>
                <w:rFonts w:ascii="Verdana" w:hAnsi="Verdana" w:cs="Arial"/>
                <w:sz w:val="16"/>
                <w:szCs w:val="16"/>
                <w:lang w:val="es-CO"/>
              </w:rPr>
              <w:t>Carcos</w:t>
            </w:r>
            <w:proofErr w:type="spellEnd"/>
            <w:r w:rsidRPr="00766BAB">
              <w:rPr>
                <w:rFonts w:ascii="Verdana" w:hAnsi="Verdana" w:cs="Arial"/>
                <w:sz w:val="16"/>
                <w:szCs w:val="16"/>
                <w:lang w:val="es-CO"/>
              </w:rPr>
              <w:t xml:space="preserve"> Mantenimiento de Equipos S.A.S. y otros Final del formulario</w:t>
            </w:r>
          </w:p>
        </w:tc>
        <w:tc>
          <w:tcPr>
            <w:tcW w:w="1518" w:type="dxa"/>
            <w:shd w:val="clear" w:color="auto" w:fill="auto"/>
            <w:vAlign w:val="center"/>
          </w:tcPr>
          <w:p w14:paraId="77963338" w14:textId="77777777" w:rsidR="00766BAB" w:rsidRPr="00766BAB" w:rsidRDefault="00766BAB" w:rsidP="00766BAB">
            <w:pPr>
              <w:jc w:val="center"/>
              <w:rPr>
                <w:rFonts w:ascii="Verdana" w:hAnsi="Verdana" w:cs="Arial"/>
                <w:sz w:val="16"/>
                <w:szCs w:val="16"/>
                <w:lang w:val="es-CO"/>
              </w:rPr>
            </w:pPr>
            <w:r w:rsidRPr="00766BAB">
              <w:rPr>
                <w:rFonts w:ascii="Verdana" w:hAnsi="Verdana" w:cs="Arial"/>
                <w:sz w:val="16"/>
                <w:szCs w:val="16"/>
                <w:lang w:val="es-CO"/>
              </w:rPr>
              <w:t>Consideraciones acerca del abuso de las personas jurídicas societarias.</w:t>
            </w:r>
          </w:p>
          <w:p w14:paraId="25FE880B" w14:textId="5837D48B" w:rsidR="00766BAB" w:rsidRPr="00766BAB" w:rsidRDefault="00766BAB" w:rsidP="00766BAB">
            <w:pPr>
              <w:jc w:val="center"/>
              <w:rPr>
                <w:rFonts w:ascii="Verdana" w:hAnsi="Verdana" w:cs="Arial"/>
                <w:sz w:val="16"/>
                <w:szCs w:val="16"/>
                <w:lang w:val="es-CO"/>
              </w:rPr>
            </w:pPr>
            <w:r w:rsidRPr="00766BAB">
              <w:rPr>
                <w:rFonts w:ascii="Verdana" w:hAnsi="Verdana" w:cs="Arial"/>
                <w:sz w:val="16"/>
                <w:szCs w:val="16"/>
                <w:lang w:val="es-CO"/>
              </w:rPr>
              <w:t>Medidas cautelares innominadas en un proceso de interposición societaria</w:t>
            </w:r>
          </w:p>
        </w:tc>
        <w:tc>
          <w:tcPr>
            <w:tcW w:w="6681" w:type="dxa"/>
            <w:shd w:val="clear" w:color="auto" w:fill="auto"/>
          </w:tcPr>
          <w:p w14:paraId="30B5C3F2" w14:textId="70E1B33B" w:rsidR="00766BAB" w:rsidRPr="00766BAB" w:rsidRDefault="00766BAB" w:rsidP="00766BAB">
            <w:pPr>
              <w:jc w:val="both"/>
              <w:rPr>
                <w:rFonts w:ascii="Verdana" w:hAnsi="Verdana" w:cs="Arial"/>
                <w:sz w:val="16"/>
                <w:szCs w:val="16"/>
                <w:lang w:val="es-CO"/>
              </w:rPr>
            </w:pPr>
            <w:r w:rsidRPr="00766BAB">
              <w:rPr>
                <w:rFonts w:ascii="Verdana" w:hAnsi="Verdana" w:cs="Arial"/>
                <w:sz w:val="16"/>
                <w:szCs w:val="16"/>
                <w:lang w:val="es-CO"/>
              </w:rPr>
              <w:t xml:space="preserve">'[…] el Despacho considera que, en esta etapa inicial del proceso, el demandante ha acreditado que las probabilidades de éxito de sus pretensiones ameritan el decreto de una medida cautelar. En verdad, existen múltiples indicios que apuntan al posible abuso del tipo de la SAS—perpetrado, según la demanda, mediante la constitución en masa de sociedades unipersonales </w:t>
            </w:r>
            <w:proofErr w:type="spellStart"/>
            <w:r w:rsidRPr="00766BAB">
              <w:rPr>
                <w:rFonts w:ascii="Verdana" w:hAnsi="Verdana" w:cs="Arial"/>
                <w:sz w:val="16"/>
                <w:szCs w:val="16"/>
                <w:lang w:val="es-CO"/>
              </w:rPr>
              <w:t>infracapitalizadas</w:t>
            </w:r>
            <w:proofErr w:type="spellEnd"/>
            <w:r w:rsidRPr="00766BAB">
              <w:rPr>
                <w:rFonts w:ascii="Verdana" w:hAnsi="Verdana" w:cs="Arial"/>
                <w:sz w:val="16"/>
                <w:szCs w:val="16"/>
                <w:lang w:val="es-CO"/>
              </w:rPr>
              <w:t xml:space="preserve">—con el propósito de alterar los resultados de las elecciones a la junta directiva de la Cámara de Comercio de </w:t>
            </w:r>
            <w:proofErr w:type="spellStart"/>
            <w:r w:rsidRPr="00766BAB">
              <w:rPr>
                <w:rFonts w:ascii="Verdana" w:hAnsi="Verdana" w:cs="Arial"/>
                <w:sz w:val="16"/>
                <w:szCs w:val="16"/>
                <w:lang w:val="es-CO"/>
              </w:rPr>
              <w:t>Barranquilla.En</w:t>
            </w:r>
            <w:proofErr w:type="spellEnd"/>
            <w:r w:rsidRPr="00766BAB">
              <w:rPr>
                <w:rFonts w:ascii="Verdana" w:hAnsi="Verdana" w:cs="Arial"/>
                <w:sz w:val="16"/>
                <w:szCs w:val="16"/>
                <w:lang w:val="es-CO"/>
              </w:rPr>
              <w:t xml:space="preserve"> el presente caso, se debate la posible existencia de un fraude electoral, por cuya virtud se habría modificado, de modo sustancial, la composición de la junta directiva de la Cámara de Comercio de Barranquilla. Por este motivo, el Despacho considera que es necesario decretar una medida cautelar, a fin de preservar el orden público y proteger a la citada entidad, la cual está encargada de administrar el registro mercantil en la ciudad de Barranquilla. Lo anterior adquiere un carácter verdaderamente urgente en vista de que, según consta en la demanda y sus anexos, existen fuertes controversias acerca de la designación los miembros de la junta directiva de la Cámara de Comercio. En primer lugar, el Despacho considera que suspender la afiliación de las sociedades demandadas resulta más congruente con las pretensiones de la demanda que la cancelación de las respectivas matriculas. Ello se debe a que esta suspensión tendría por efecto la imposibilidad de que las sociedades demandadas votaran en cualquier elección de la junta directiva de la Cámara de Comercio de Barranquilla, sin provocar la extinción de tales compañías. [...] En segundo lugar, como consecuencia de lo anterior, es preciso que la Cámara de Comercio de Barranquilla remueva a las sociedades demandadas de la lista de comerciantes habilitados para votar en las elecciones de la junta directiva’.</w:t>
            </w:r>
          </w:p>
        </w:tc>
      </w:tr>
    </w:tbl>
    <w:p w14:paraId="1BADB3B1" w14:textId="77777777" w:rsidR="00B810E0" w:rsidRDefault="00B810E0" w:rsidP="0067341A">
      <w:pPr>
        <w:spacing w:line="360" w:lineRule="auto"/>
        <w:jc w:val="both"/>
        <w:rPr>
          <w:rFonts w:ascii="Arial" w:hAnsi="Arial" w:cs="Arial"/>
        </w:rPr>
      </w:pPr>
    </w:p>
    <w:p w14:paraId="5871E1A7" w14:textId="4F8BEC69" w:rsidR="0067341A" w:rsidRPr="00663F8C" w:rsidRDefault="00575DC5" w:rsidP="0067341A">
      <w:pPr>
        <w:spacing w:line="360" w:lineRule="auto"/>
        <w:jc w:val="both"/>
        <w:rPr>
          <w:rFonts w:ascii="Arial" w:hAnsi="Arial" w:cs="Arial"/>
        </w:rPr>
      </w:pPr>
      <w:r w:rsidRPr="00D77E1B">
        <w:rPr>
          <w:rFonts w:ascii="Verdana" w:hAnsi="Verdana" w:cs="Arial"/>
          <w:b/>
          <w:bCs/>
          <w:iCs/>
          <w:sz w:val="22"/>
          <w:szCs w:val="22"/>
        </w:rPr>
        <w:lastRenderedPageBreak/>
        <w:t>5.2.5.</w:t>
      </w:r>
      <w:r w:rsidR="0093394C" w:rsidRPr="00D77E1B">
        <w:rPr>
          <w:rFonts w:ascii="Verdana" w:hAnsi="Verdana" w:cs="Arial"/>
          <w:b/>
          <w:bCs/>
          <w:iCs/>
          <w:sz w:val="22"/>
          <w:szCs w:val="22"/>
        </w:rPr>
        <w:t xml:space="preserve"> </w:t>
      </w:r>
      <w:r w:rsidR="00D77E1B" w:rsidRPr="00663F8C">
        <w:rPr>
          <w:rFonts w:ascii="Verdana" w:hAnsi="Verdana" w:cs="Arial"/>
          <w:b/>
          <w:bCs/>
          <w:iCs/>
          <w:sz w:val="22"/>
          <w:szCs w:val="22"/>
        </w:rPr>
        <w:t>DESIGNACIÓN DE PERITOS</w:t>
      </w:r>
    </w:p>
    <w:p w14:paraId="18A62778" w14:textId="77777777" w:rsidR="00095A02" w:rsidRPr="00663F8C" w:rsidRDefault="00095A02" w:rsidP="0067341A">
      <w:pPr>
        <w:spacing w:line="360" w:lineRule="auto"/>
        <w:jc w:val="both"/>
        <w:rPr>
          <w:rFonts w:ascii="Verdana" w:hAnsi="Verdana" w:cs="Arial"/>
          <w:b/>
          <w:bCs/>
          <w:iCs/>
          <w:sz w:val="22"/>
          <w:szCs w:val="22"/>
        </w:rPr>
      </w:pPr>
    </w:p>
    <w:p w14:paraId="2A96FF87" w14:textId="4409F1FA" w:rsidR="000B7ACF" w:rsidRDefault="00575DC5" w:rsidP="000B7ACF">
      <w:pPr>
        <w:spacing w:line="360" w:lineRule="auto"/>
        <w:jc w:val="both"/>
        <w:rPr>
          <w:rFonts w:ascii="Verdana" w:hAnsi="Verdana" w:cs="Arial"/>
          <w:b/>
          <w:bCs/>
          <w:spacing w:val="4"/>
          <w:sz w:val="22"/>
          <w:szCs w:val="22"/>
        </w:rPr>
      </w:pPr>
      <w:r w:rsidRPr="00D77E1B">
        <w:rPr>
          <w:rFonts w:ascii="Verdana" w:hAnsi="Verdana" w:cs="Arial"/>
          <w:b/>
          <w:bCs/>
          <w:iCs/>
          <w:sz w:val="22"/>
          <w:szCs w:val="22"/>
        </w:rPr>
        <w:t>5.2.5</w:t>
      </w:r>
      <w:r w:rsidR="000B7ACF" w:rsidRPr="00D77E1B">
        <w:rPr>
          <w:rFonts w:ascii="Verdana" w:hAnsi="Verdana" w:cs="Arial"/>
          <w:b/>
          <w:bCs/>
          <w:iCs/>
          <w:sz w:val="22"/>
          <w:szCs w:val="22"/>
        </w:rPr>
        <w:t>.1</w:t>
      </w:r>
      <w:r w:rsidR="000B7ACF" w:rsidRPr="00D77E1B">
        <w:rPr>
          <w:rFonts w:ascii="Verdana" w:hAnsi="Verdana" w:cs="Arial"/>
          <w:b/>
          <w:bCs/>
          <w:spacing w:val="4"/>
          <w:sz w:val="22"/>
          <w:szCs w:val="22"/>
        </w:rPr>
        <w:t xml:space="preserve"> </w:t>
      </w:r>
      <w:r w:rsidR="0067341A" w:rsidRPr="00D77E1B">
        <w:rPr>
          <w:rFonts w:ascii="Verdana" w:hAnsi="Verdana" w:cs="Arial"/>
          <w:b/>
          <w:bCs/>
          <w:iCs/>
          <w:sz w:val="22"/>
          <w:szCs w:val="22"/>
        </w:rPr>
        <w:t>Descripción general</w:t>
      </w:r>
    </w:p>
    <w:p w14:paraId="04AC9DB8" w14:textId="77777777" w:rsidR="00BA4DA7" w:rsidRPr="000B7ACF" w:rsidRDefault="00BA4DA7" w:rsidP="000B7ACF">
      <w:pPr>
        <w:spacing w:line="360" w:lineRule="auto"/>
        <w:jc w:val="both"/>
        <w:rPr>
          <w:rFonts w:ascii="Verdana" w:hAnsi="Verdana" w:cs="Arial"/>
          <w:b/>
          <w:bCs/>
          <w:spacing w:val="4"/>
          <w:sz w:val="22"/>
          <w:szCs w:val="22"/>
        </w:rPr>
      </w:pPr>
    </w:p>
    <w:p w14:paraId="7AFBEF91" w14:textId="18D08545" w:rsidR="00BA4DA7" w:rsidRDefault="0067341A" w:rsidP="0067341A">
      <w:pPr>
        <w:spacing w:line="360" w:lineRule="auto"/>
        <w:jc w:val="both"/>
        <w:rPr>
          <w:rFonts w:ascii="Verdana" w:hAnsi="Verdana" w:cs="Arial"/>
          <w:sz w:val="22"/>
          <w:szCs w:val="22"/>
          <w:lang w:val="es-CO"/>
        </w:rPr>
      </w:pPr>
      <w:r w:rsidRPr="000B7ACF">
        <w:rPr>
          <w:rFonts w:ascii="Verdana" w:hAnsi="Verdana" w:cs="Arial"/>
          <w:sz w:val="22"/>
          <w:szCs w:val="22"/>
          <w:lang w:val="es-CO"/>
        </w:rPr>
        <w:t>Por virtud de esta acción, la Superintendencia de Sociedades puede designar peritos en aquellas hipótesis contempladas en el artículo 136 de la Ley 446 de 1998. Esta acción es procedente respecto de todas aquellas sociedades que no se encuentren sujetas a la vigilancia permanente de la Superintendencia Financiera.</w:t>
      </w:r>
    </w:p>
    <w:p w14:paraId="08D6FECC" w14:textId="77777777" w:rsidR="00BA4DA7" w:rsidRPr="00BA4DA7" w:rsidRDefault="00BA4DA7" w:rsidP="0067341A">
      <w:pPr>
        <w:spacing w:line="360" w:lineRule="auto"/>
        <w:jc w:val="both"/>
        <w:rPr>
          <w:rFonts w:ascii="Verdana" w:hAnsi="Verdana" w:cs="Arial"/>
          <w:sz w:val="22"/>
          <w:szCs w:val="22"/>
          <w:lang w:val="es-CO"/>
        </w:rPr>
      </w:pPr>
    </w:p>
    <w:p w14:paraId="3C349B93" w14:textId="77777777" w:rsidR="000B7ACF" w:rsidRPr="00D77E1B" w:rsidRDefault="000B7ACF" w:rsidP="000B7ACF">
      <w:pPr>
        <w:spacing w:line="360" w:lineRule="auto"/>
        <w:jc w:val="both"/>
        <w:rPr>
          <w:rFonts w:ascii="Verdana" w:hAnsi="Verdana" w:cs="Arial"/>
          <w:b/>
          <w:bCs/>
          <w:iCs/>
          <w:sz w:val="22"/>
          <w:szCs w:val="22"/>
        </w:rPr>
      </w:pPr>
      <w:r w:rsidRPr="00D77E1B">
        <w:rPr>
          <w:rFonts w:ascii="Verdana" w:hAnsi="Verdana" w:cs="Arial"/>
          <w:b/>
          <w:bCs/>
          <w:iCs/>
          <w:sz w:val="22"/>
          <w:szCs w:val="22"/>
        </w:rPr>
        <w:t xml:space="preserve">5.2.5.2 </w:t>
      </w:r>
      <w:r w:rsidR="0067341A" w:rsidRPr="00D77E1B">
        <w:rPr>
          <w:rFonts w:ascii="Verdana" w:hAnsi="Verdana" w:cs="Arial"/>
          <w:b/>
          <w:bCs/>
          <w:iCs/>
          <w:sz w:val="22"/>
          <w:szCs w:val="22"/>
        </w:rPr>
        <w:t>Fundamento Jurídico</w:t>
      </w:r>
    </w:p>
    <w:p w14:paraId="66405C8B" w14:textId="77777777" w:rsidR="000B7ACF" w:rsidRPr="000B7ACF" w:rsidRDefault="000B7ACF" w:rsidP="000B7ACF">
      <w:pPr>
        <w:spacing w:line="360" w:lineRule="auto"/>
        <w:jc w:val="both"/>
        <w:rPr>
          <w:rFonts w:ascii="Verdana" w:hAnsi="Verdana" w:cs="Arial"/>
          <w:b/>
          <w:bCs/>
          <w:sz w:val="22"/>
          <w:szCs w:val="22"/>
        </w:rPr>
      </w:pPr>
    </w:p>
    <w:p w14:paraId="79A7E897" w14:textId="4941394F" w:rsidR="0067341A" w:rsidRPr="000B7ACF" w:rsidRDefault="0067341A" w:rsidP="000B7ACF">
      <w:pPr>
        <w:spacing w:line="360" w:lineRule="auto"/>
        <w:jc w:val="both"/>
        <w:rPr>
          <w:rFonts w:ascii="Verdana" w:hAnsi="Verdana" w:cs="Arial"/>
          <w:b/>
          <w:bCs/>
          <w:sz w:val="22"/>
          <w:szCs w:val="22"/>
        </w:rPr>
      </w:pPr>
      <w:r w:rsidRPr="000B7ACF">
        <w:rPr>
          <w:rFonts w:ascii="Verdana" w:hAnsi="Verdana" w:cs="Arial"/>
          <w:sz w:val="22"/>
          <w:szCs w:val="22"/>
        </w:rPr>
        <w:t>Ley 446 de 1998, artículo 136 ‘Si con ocasión del reembolso de aportes en los casos previstos en la ley o del ejercicio del derecho de preferencia en la negociación de acciones, cuotas sociales o partes de interés surgen discrepancias entre los asociados, o entre éstos y la sociedad respecto al valor de las mismas, éste será fijado por peritos designados por las partes o en su defecto por el Superintendente Bancario, de Sociedades o de Valores, en el caso de sociedades sometidas a su vigilancia’.</w:t>
      </w:r>
    </w:p>
    <w:p w14:paraId="3992D43A" w14:textId="77777777" w:rsidR="0067341A" w:rsidRPr="009D308D" w:rsidRDefault="0067341A" w:rsidP="0067341A">
      <w:pPr>
        <w:spacing w:line="360" w:lineRule="auto"/>
        <w:jc w:val="both"/>
        <w:rPr>
          <w:rFonts w:ascii="Arial" w:hAnsi="Arial" w:cs="Arial"/>
        </w:rPr>
      </w:pPr>
    </w:p>
    <w:p w14:paraId="50E49A26" w14:textId="602271D8" w:rsidR="0067341A" w:rsidRPr="00FA63AB" w:rsidRDefault="00FA63AB" w:rsidP="0067341A">
      <w:pPr>
        <w:spacing w:line="360" w:lineRule="auto"/>
        <w:jc w:val="both"/>
        <w:rPr>
          <w:rFonts w:ascii="Verdana" w:hAnsi="Verdana" w:cs="Arial"/>
          <w:b/>
          <w:bCs/>
          <w:sz w:val="22"/>
          <w:szCs w:val="22"/>
        </w:rPr>
      </w:pPr>
      <w:r w:rsidRPr="00FA63AB">
        <w:rPr>
          <w:rFonts w:ascii="Verdana" w:hAnsi="Verdana" w:cs="Arial"/>
          <w:b/>
          <w:bCs/>
          <w:sz w:val="22"/>
          <w:szCs w:val="22"/>
        </w:rPr>
        <w:t>5.2.5.3</w:t>
      </w:r>
      <w:r w:rsidR="00CC4D4F">
        <w:rPr>
          <w:rFonts w:ascii="Verdana" w:hAnsi="Verdana" w:cs="Arial"/>
          <w:b/>
          <w:bCs/>
          <w:sz w:val="22"/>
          <w:szCs w:val="22"/>
        </w:rPr>
        <w:t xml:space="preserve"> </w:t>
      </w:r>
      <w:r w:rsidR="0067341A" w:rsidRPr="00FA63AB">
        <w:rPr>
          <w:rFonts w:ascii="Verdana" w:hAnsi="Verdana" w:cs="Arial"/>
          <w:b/>
          <w:bCs/>
          <w:sz w:val="22"/>
          <w:szCs w:val="22"/>
        </w:rPr>
        <w:t>Trámite procesal</w:t>
      </w:r>
    </w:p>
    <w:p w14:paraId="1770E2C3" w14:textId="77777777" w:rsidR="00FA63AB" w:rsidRPr="00FA63AB" w:rsidRDefault="00FA63AB" w:rsidP="00FA63AB">
      <w:pPr>
        <w:spacing w:line="360" w:lineRule="auto"/>
        <w:jc w:val="both"/>
        <w:rPr>
          <w:rFonts w:ascii="Verdana" w:hAnsi="Verdana" w:cs="Arial"/>
          <w:b/>
          <w:bCs/>
          <w:sz w:val="22"/>
          <w:szCs w:val="22"/>
        </w:rPr>
      </w:pPr>
    </w:p>
    <w:p w14:paraId="6CFA7EEA" w14:textId="0AD1387E" w:rsidR="0067341A" w:rsidRPr="00FA63AB" w:rsidRDefault="0067341A" w:rsidP="00FA63AB">
      <w:pPr>
        <w:spacing w:line="360" w:lineRule="auto"/>
        <w:jc w:val="both"/>
        <w:rPr>
          <w:rFonts w:ascii="Verdana" w:hAnsi="Verdana" w:cs="Arial"/>
          <w:sz w:val="22"/>
          <w:szCs w:val="22"/>
        </w:rPr>
      </w:pPr>
      <w:r w:rsidRPr="00FA63AB">
        <w:rPr>
          <w:rFonts w:ascii="Verdana" w:hAnsi="Verdana" w:cs="Arial"/>
          <w:sz w:val="22"/>
          <w:szCs w:val="22"/>
        </w:rPr>
        <w:t>Por virtud de lo previsto en la Ley 446 de 1998 y el artículo 390 del Código General del Proceso, esta acción debe surtirse por la vía del proceso verbal sumario.</w:t>
      </w:r>
    </w:p>
    <w:p w14:paraId="60E3D26A" w14:textId="77777777" w:rsidR="0067341A" w:rsidRDefault="0067341A" w:rsidP="0067341A">
      <w:pPr>
        <w:spacing w:line="360" w:lineRule="auto"/>
        <w:ind w:firstLine="708"/>
        <w:jc w:val="both"/>
        <w:rPr>
          <w:rFonts w:ascii="Verdana" w:hAnsi="Verdana" w:cs="Arial"/>
          <w:b/>
          <w:bCs/>
          <w:sz w:val="22"/>
          <w:szCs w:val="22"/>
        </w:rPr>
      </w:pPr>
    </w:p>
    <w:p w14:paraId="3984E354" w14:textId="77777777" w:rsidR="00BA4DA7" w:rsidRDefault="00BA4DA7" w:rsidP="0067341A">
      <w:pPr>
        <w:spacing w:line="360" w:lineRule="auto"/>
        <w:ind w:firstLine="708"/>
        <w:jc w:val="both"/>
        <w:rPr>
          <w:rFonts w:ascii="Verdana" w:hAnsi="Verdana" w:cs="Arial"/>
          <w:b/>
          <w:bCs/>
          <w:sz w:val="22"/>
          <w:szCs w:val="22"/>
        </w:rPr>
      </w:pPr>
    </w:p>
    <w:p w14:paraId="5BA62293" w14:textId="77777777" w:rsidR="00BA4DA7" w:rsidRDefault="00BA4DA7" w:rsidP="0067341A">
      <w:pPr>
        <w:spacing w:line="360" w:lineRule="auto"/>
        <w:ind w:firstLine="708"/>
        <w:jc w:val="both"/>
        <w:rPr>
          <w:rFonts w:ascii="Verdana" w:hAnsi="Verdana" w:cs="Arial"/>
          <w:b/>
          <w:bCs/>
          <w:sz w:val="22"/>
          <w:szCs w:val="22"/>
        </w:rPr>
      </w:pPr>
    </w:p>
    <w:p w14:paraId="20B7F3EB" w14:textId="77777777" w:rsidR="00BA4DA7" w:rsidRDefault="00BA4DA7" w:rsidP="0067341A">
      <w:pPr>
        <w:spacing w:line="360" w:lineRule="auto"/>
        <w:ind w:firstLine="708"/>
        <w:jc w:val="both"/>
        <w:rPr>
          <w:rFonts w:ascii="Verdana" w:hAnsi="Verdana" w:cs="Arial"/>
          <w:b/>
          <w:bCs/>
          <w:sz w:val="22"/>
          <w:szCs w:val="22"/>
        </w:rPr>
      </w:pPr>
    </w:p>
    <w:p w14:paraId="67E6384F" w14:textId="77777777" w:rsidR="00BA4DA7" w:rsidRDefault="00BA4DA7" w:rsidP="0067341A">
      <w:pPr>
        <w:spacing w:line="360" w:lineRule="auto"/>
        <w:ind w:firstLine="708"/>
        <w:jc w:val="both"/>
        <w:rPr>
          <w:rFonts w:ascii="Verdana" w:hAnsi="Verdana" w:cs="Arial"/>
          <w:b/>
          <w:bCs/>
          <w:sz w:val="22"/>
          <w:szCs w:val="22"/>
        </w:rPr>
      </w:pPr>
    </w:p>
    <w:p w14:paraId="70F4608F" w14:textId="77777777" w:rsidR="00BA4DA7" w:rsidRDefault="00BA4DA7" w:rsidP="0067341A">
      <w:pPr>
        <w:spacing w:line="360" w:lineRule="auto"/>
        <w:ind w:firstLine="708"/>
        <w:jc w:val="both"/>
        <w:rPr>
          <w:rFonts w:ascii="Verdana" w:hAnsi="Verdana" w:cs="Arial"/>
          <w:b/>
          <w:bCs/>
          <w:sz w:val="22"/>
          <w:szCs w:val="22"/>
        </w:rPr>
      </w:pPr>
    </w:p>
    <w:p w14:paraId="4D7FC1BA" w14:textId="77777777" w:rsidR="00BA4DA7" w:rsidRPr="00CC4D4F" w:rsidRDefault="00BA4DA7" w:rsidP="0067341A">
      <w:pPr>
        <w:spacing w:line="360" w:lineRule="auto"/>
        <w:ind w:firstLine="708"/>
        <w:jc w:val="both"/>
        <w:rPr>
          <w:rFonts w:ascii="Verdana" w:hAnsi="Verdana" w:cs="Arial"/>
          <w:b/>
          <w:bCs/>
          <w:sz w:val="22"/>
          <w:szCs w:val="22"/>
        </w:rPr>
      </w:pPr>
    </w:p>
    <w:p w14:paraId="3FB51559" w14:textId="6F7DAE5D" w:rsidR="00285B55" w:rsidRDefault="00CC4D4F" w:rsidP="0067341A">
      <w:pPr>
        <w:spacing w:line="360" w:lineRule="auto"/>
        <w:jc w:val="both"/>
        <w:rPr>
          <w:rFonts w:ascii="Verdana" w:hAnsi="Verdana" w:cs="Arial"/>
          <w:b/>
          <w:bCs/>
          <w:sz w:val="22"/>
          <w:szCs w:val="22"/>
        </w:rPr>
      </w:pPr>
      <w:r w:rsidRPr="00CC4D4F">
        <w:rPr>
          <w:rFonts w:ascii="Verdana" w:hAnsi="Verdana" w:cs="Arial"/>
          <w:b/>
          <w:bCs/>
          <w:sz w:val="22"/>
          <w:szCs w:val="22"/>
        </w:rPr>
        <w:lastRenderedPageBreak/>
        <w:t xml:space="preserve">5.2.5.4 </w:t>
      </w:r>
      <w:r w:rsidR="0067341A" w:rsidRPr="00CC4D4F">
        <w:rPr>
          <w:rFonts w:ascii="Verdana" w:hAnsi="Verdana" w:cs="Arial"/>
          <w:b/>
          <w:bCs/>
          <w:sz w:val="22"/>
          <w:szCs w:val="22"/>
        </w:rPr>
        <w:t>Jurisprudencia</w:t>
      </w:r>
    </w:p>
    <w:p w14:paraId="5DB8B2F5" w14:textId="77777777" w:rsidR="000742BC" w:rsidRPr="00CC4D4F" w:rsidRDefault="000742BC" w:rsidP="0067341A">
      <w:pPr>
        <w:spacing w:line="360" w:lineRule="auto"/>
        <w:jc w:val="both"/>
        <w:rPr>
          <w:rFonts w:ascii="Verdana" w:hAnsi="Verdana" w:cs="Arial"/>
          <w:b/>
          <w:bCs/>
          <w:sz w:val="22"/>
          <w:szCs w:val="22"/>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23"/>
        <w:gridCol w:w="1296"/>
        <w:gridCol w:w="7110"/>
      </w:tblGrid>
      <w:tr w:rsidR="0067341A" w:rsidRPr="005D272D" w14:paraId="4C19F75A" w14:textId="77777777" w:rsidTr="00663F8C">
        <w:trPr>
          <w:tblHeader/>
        </w:trPr>
        <w:tc>
          <w:tcPr>
            <w:tcW w:w="635" w:type="pct"/>
            <w:shd w:val="clear" w:color="auto" w:fill="962D46"/>
          </w:tcPr>
          <w:p w14:paraId="2C4DCB24" w14:textId="77777777" w:rsidR="0067341A" w:rsidRPr="00285B55" w:rsidRDefault="0067341A" w:rsidP="00DA378C">
            <w:pPr>
              <w:jc w:val="center"/>
              <w:rPr>
                <w:rFonts w:ascii="Verdana" w:hAnsi="Verdana" w:cs="Arial"/>
                <w:b/>
                <w:color w:val="FFFFFF"/>
                <w:sz w:val="20"/>
                <w:szCs w:val="20"/>
              </w:rPr>
            </w:pPr>
            <w:r w:rsidRPr="00285B55">
              <w:rPr>
                <w:rFonts w:ascii="Verdana" w:hAnsi="Verdana" w:cs="Arial"/>
                <w:b/>
                <w:color w:val="FFFFFF"/>
                <w:sz w:val="20"/>
                <w:szCs w:val="20"/>
              </w:rPr>
              <w:t>Caso</w:t>
            </w:r>
          </w:p>
        </w:tc>
        <w:tc>
          <w:tcPr>
            <w:tcW w:w="673" w:type="pct"/>
            <w:shd w:val="clear" w:color="auto" w:fill="962D46"/>
          </w:tcPr>
          <w:p w14:paraId="3F76FC92" w14:textId="77777777" w:rsidR="0067341A" w:rsidRPr="00285B55" w:rsidRDefault="0067341A" w:rsidP="00DA378C">
            <w:pPr>
              <w:jc w:val="center"/>
              <w:rPr>
                <w:rFonts w:ascii="Verdana" w:hAnsi="Verdana" w:cs="Arial"/>
                <w:b/>
                <w:color w:val="FFFFFF"/>
                <w:sz w:val="20"/>
                <w:szCs w:val="20"/>
              </w:rPr>
            </w:pPr>
            <w:r w:rsidRPr="00285B55">
              <w:rPr>
                <w:rFonts w:ascii="Verdana" w:hAnsi="Verdana" w:cs="Arial"/>
                <w:b/>
                <w:color w:val="FFFFFF"/>
                <w:sz w:val="20"/>
                <w:szCs w:val="20"/>
              </w:rPr>
              <w:t>Asunto</w:t>
            </w:r>
          </w:p>
        </w:tc>
        <w:tc>
          <w:tcPr>
            <w:tcW w:w="3692" w:type="pct"/>
            <w:shd w:val="clear" w:color="auto" w:fill="962D46"/>
          </w:tcPr>
          <w:p w14:paraId="52C4345F" w14:textId="77777777" w:rsidR="0067341A" w:rsidRPr="00285B55" w:rsidRDefault="0067341A" w:rsidP="00DA378C">
            <w:pPr>
              <w:jc w:val="center"/>
              <w:rPr>
                <w:rFonts w:ascii="Verdana" w:hAnsi="Verdana" w:cs="Arial"/>
                <w:b/>
                <w:color w:val="FFFFFF"/>
                <w:sz w:val="20"/>
                <w:szCs w:val="20"/>
              </w:rPr>
            </w:pPr>
            <w:r w:rsidRPr="00285B55">
              <w:rPr>
                <w:rFonts w:ascii="Verdana" w:hAnsi="Verdana" w:cs="Arial"/>
                <w:b/>
                <w:color w:val="FFFFFF"/>
                <w:sz w:val="20"/>
                <w:szCs w:val="20"/>
              </w:rPr>
              <w:t>Extracto</w:t>
            </w:r>
          </w:p>
        </w:tc>
      </w:tr>
      <w:tr w:rsidR="0067341A" w:rsidRPr="005D272D" w14:paraId="1462416B" w14:textId="77777777" w:rsidTr="00BA4DA7">
        <w:trPr>
          <w:trHeight w:val="2265"/>
        </w:trPr>
        <w:tc>
          <w:tcPr>
            <w:tcW w:w="635" w:type="pct"/>
            <w:shd w:val="clear" w:color="auto" w:fill="auto"/>
            <w:vAlign w:val="center"/>
          </w:tcPr>
          <w:p w14:paraId="1B33258B" w14:textId="77777777" w:rsidR="0067341A" w:rsidRPr="00285B55" w:rsidRDefault="0067341A" w:rsidP="00DA378C">
            <w:pPr>
              <w:jc w:val="center"/>
              <w:rPr>
                <w:rFonts w:ascii="Verdana" w:hAnsi="Verdana" w:cs="Arial"/>
                <w:sz w:val="16"/>
                <w:szCs w:val="16"/>
              </w:rPr>
            </w:pPr>
            <w:r w:rsidRPr="00285B55">
              <w:rPr>
                <w:rFonts w:ascii="Verdana" w:hAnsi="Verdana" w:cs="Arial"/>
                <w:sz w:val="16"/>
                <w:szCs w:val="16"/>
              </w:rPr>
              <w:t>Julia Esther Gallón de Castro contra Inversiones Lovera Yepes y Cía. S. en C. y William Ramón Castro</w:t>
            </w:r>
          </w:p>
        </w:tc>
        <w:tc>
          <w:tcPr>
            <w:tcW w:w="673" w:type="pct"/>
            <w:shd w:val="clear" w:color="auto" w:fill="auto"/>
            <w:vAlign w:val="center"/>
          </w:tcPr>
          <w:p w14:paraId="143403EA" w14:textId="77777777" w:rsidR="0067341A" w:rsidRPr="00285B55" w:rsidRDefault="0067341A" w:rsidP="00DA378C">
            <w:pPr>
              <w:jc w:val="center"/>
              <w:rPr>
                <w:rFonts w:ascii="Verdana" w:hAnsi="Verdana" w:cs="Arial"/>
                <w:sz w:val="16"/>
                <w:szCs w:val="16"/>
              </w:rPr>
            </w:pPr>
            <w:r w:rsidRPr="00285B55">
              <w:rPr>
                <w:rFonts w:ascii="Verdana" w:hAnsi="Verdana" w:cs="Arial"/>
                <w:sz w:val="16"/>
                <w:szCs w:val="16"/>
              </w:rPr>
              <w:t>Valoración de cuotas sociales</w:t>
            </w:r>
          </w:p>
        </w:tc>
        <w:tc>
          <w:tcPr>
            <w:tcW w:w="3692" w:type="pct"/>
            <w:shd w:val="clear" w:color="auto" w:fill="auto"/>
          </w:tcPr>
          <w:p w14:paraId="2A86E740" w14:textId="77777777" w:rsidR="0067341A" w:rsidRPr="00285B55" w:rsidRDefault="0067341A" w:rsidP="00DA378C">
            <w:pPr>
              <w:jc w:val="both"/>
              <w:rPr>
                <w:rFonts w:ascii="Verdana" w:hAnsi="Verdana" w:cs="Arial"/>
                <w:sz w:val="16"/>
                <w:szCs w:val="16"/>
              </w:rPr>
            </w:pPr>
            <w:r w:rsidRPr="00285B55">
              <w:rPr>
                <w:rFonts w:ascii="Verdana" w:hAnsi="Verdana" w:cs="Arial"/>
                <w:sz w:val="16"/>
                <w:szCs w:val="16"/>
              </w:rPr>
              <w:t xml:space="preserve">[…] la señora Julia Esther Gallón de Castro presentó una demanda ante este Despacho, a efectos de que se designara un perito para determinar el valor de sus cuotas sociales en ALV Servicios y Suministros Ltda. Al respecto, debe recordarse que el artículo 136 de la Ley 446 de 1998 le otorga a esta Superintendencia la facultad para que designe peritos con el fin de fijar el valor de las alícuotas en situaciones en las que se presenten discrepancias en el precio de las acciones, cuotas o partes de interés, con ocasión del ejercicio del derecho de preferencia o del reembolso de aportes en los casos previstos en la ley. Sobre la base de lo expuesto, es claro que la función de este Despacho es procurar que los comerciantes cuenten con un foro imparcial en el cual puedan dilucidarse las controversias antes mencionadas, con la participación de expertos’. </w:t>
            </w:r>
          </w:p>
        </w:tc>
      </w:tr>
    </w:tbl>
    <w:p w14:paraId="3493BBD5" w14:textId="77777777" w:rsidR="00663F8C" w:rsidRDefault="00663F8C" w:rsidP="002840EA">
      <w:pPr>
        <w:rPr>
          <w:rFonts w:ascii="Verdana" w:hAnsi="Verdana" w:cs="Arial"/>
          <w:b/>
          <w:bCs/>
          <w:sz w:val="22"/>
          <w:szCs w:val="22"/>
        </w:rPr>
      </w:pPr>
    </w:p>
    <w:p w14:paraId="7B1FB6FB" w14:textId="77777777" w:rsidR="00663F8C" w:rsidRDefault="00663F8C" w:rsidP="002840EA">
      <w:pPr>
        <w:rPr>
          <w:rFonts w:ascii="Verdana" w:hAnsi="Verdana" w:cs="Arial"/>
          <w:b/>
          <w:bCs/>
          <w:sz w:val="22"/>
          <w:szCs w:val="22"/>
        </w:rPr>
      </w:pPr>
    </w:p>
    <w:p w14:paraId="434994DB" w14:textId="2299A370" w:rsidR="0067341A" w:rsidRPr="002840EA" w:rsidRDefault="002840EA" w:rsidP="002840EA">
      <w:pPr>
        <w:rPr>
          <w:rFonts w:ascii="Arial" w:hAnsi="Arial" w:cs="Arial"/>
          <w:b/>
          <w:bCs/>
        </w:rPr>
      </w:pPr>
      <w:r w:rsidRPr="00D77E1B">
        <w:rPr>
          <w:rFonts w:ascii="Verdana" w:hAnsi="Verdana" w:cs="Arial"/>
          <w:b/>
          <w:bCs/>
          <w:sz w:val="22"/>
          <w:szCs w:val="22"/>
        </w:rPr>
        <w:t>5.2.6</w:t>
      </w:r>
      <w:r>
        <w:rPr>
          <w:rFonts w:ascii="Verdana" w:hAnsi="Verdana" w:cs="Arial"/>
          <w:b/>
          <w:bCs/>
          <w:sz w:val="22"/>
          <w:szCs w:val="22"/>
        </w:rPr>
        <w:t xml:space="preserve"> </w:t>
      </w:r>
      <w:r w:rsidRPr="00D77E1B">
        <w:rPr>
          <w:rFonts w:ascii="Verdana" w:hAnsi="Verdana" w:cs="Arial"/>
          <w:b/>
          <w:bCs/>
          <w:sz w:val="22"/>
          <w:szCs w:val="22"/>
        </w:rPr>
        <w:t>DISCREPANCIAS</w:t>
      </w:r>
      <w:r w:rsidR="00D77E1B" w:rsidRPr="002840EA">
        <w:rPr>
          <w:rFonts w:ascii="Verdana" w:hAnsi="Verdana" w:cs="Arial"/>
          <w:b/>
          <w:bCs/>
          <w:sz w:val="22"/>
          <w:szCs w:val="22"/>
        </w:rPr>
        <w:t xml:space="preserve"> SOBRE EL ACAECIMIENTO DE CAUSALES DE </w:t>
      </w:r>
      <w:r>
        <w:rPr>
          <w:rFonts w:ascii="Verdana" w:hAnsi="Verdana" w:cs="Arial"/>
          <w:b/>
          <w:bCs/>
          <w:sz w:val="22"/>
          <w:szCs w:val="22"/>
        </w:rPr>
        <w:t xml:space="preserve">  </w:t>
      </w:r>
    </w:p>
    <w:p w14:paraId="466C62A6" w14:textId="33830739" w:rsidR="00A80BE6" w:rsidRDefault="002840EA" w:rsidP="0067341A">
      <w:pPr>
        <w:spacing w:line="360" w:lineRule="auto"/>
        <w:jc w:val="both"/>
        <w:rPr>
          <w:rFonts w:ascii="Verdana" w:hAnsi="Verdana" w:cs="Arial"/>
          <w:b/>
          <w:bCs/>
          <w:sz w:val="22"/>
          <w:szCs w:val="22"/>
        </w:rPr>
      </w:pPr>
      <w:r>
        <w:rPr>
          <w:rFonts w:ascii="Verdana" w:hAnsi="Verdana" w:cs="Arial"/>
          <w:sz w:val="22"/>
          <w:szCs w:val="22"/>
        </w:rPr>
        <w:t xml:space="preserve">         </w:t>
      </w:r>
      <w:r w:rsidRPr="002840EA">
        <w:rPr>
          <w:rFonts w:ascii="Verdana" w:hAnsi="Verdana" w:cs="Arial"/>
          <w:b/>
          <w:bCs/>
          <w:sz w:val="22"/>
          <w:szCs w:val="22"/>
        </w:rPr>
        <w:t xml:space="preserve">DISOLUCIÓN </w:t>
      </w:r>
    </w:p>
    <w:p w14:paraId="06D033C4" w14:textId="77777777" w:rsidR="002840EA" w:rsidRPr="002840EA" w:rsidRDefault="002840EA" w:rsidP="0067341A">
      <w:pPr>
        <w:spacing w:line="360" w:lineRule="auto"/>
        <w:jc w:val="both"/>
        <w:rPr>
          <w:rFonts w:ascii="Verdana" w:hAnsi="Verdana" w:cs="Arial"/>
          <w:b/>
          <w:bCs/>
          <w:sz w:val="22"/>
          <w:szCs w:val="22"/>
        </w:rPr>
      </w:pPr>
    </w:p>
    <w:p w14:paraId="78E077DD" w14:textId="7EA2EC49" w:rsidR="0067341A" w:rsidRPr="00D77E1B" w:rsidRDefault="00A80BE6" w:rsidP="0067341A">
      <w:pPr>
        <w:spacing w:line="360" w:lineRule="auto"/>
        <w:jc w:val="both"/>
        <w:rPr>
          <w:rFonts w:ascii="Verdana" w:hAnsi="Verdana" w:cs="Arial"/>
          <w:b/>
          <w:bCs/>
          <w:sz w:val="22"/>
          <w:szCs w:val="22"/>
        </w:rPr>
      </w:pPr>
      <w:r w:rsidRPr="00D77E1B">
        <w:rPr>
          <w:rFonts w:ascii="Verdana" w:hAnsi="Verdana" w:cs="Arial"/>
          <w:b/>
          <w:bCs/>
          <w:sz w:val="22"/>
          <w:szCs w:val="22"/>
        </w:rPr>
        <w:t xml:space="preserve">5.2.6.1 </w:t>
      </w:r>
      <w:r w:rsidR="0067341A" w:rsidRPr="00D77E1B">
        <w:rPr>
          <w:rFonts w:ascii="Verdana" w:hAnsi="Verdana" w:cs="Arial"/>
          <w:b/>
          <w:bCs/>
          <w:sz w:val="22"/>
          <w:szCs w:val="22"/>
        </w:rPr>
        <w:t>Descripción general</w:t>
      </w:r>
    </w:p>
    <w:p w14:paraId="47F3744B" w14:textId="77777777" w:rsidR="00A80BE6" w:rsidRDefault="00A80BE6" w:rsidP="00A80BE6">
      <w:pPr>
        <w:spacing w:line="360" w:lineRule="auto"/>
        <w:jc w:val="both"/>
        <w:rPr>
          <w:rFonts w:ascii="Arial" w:hAnsi="Arial" w:cs="Arial"/>
          <w:b/>
          <w:bCs/>
          <w:spacing w:val="4"/>
          <w:sz w:val="22"/>
          <w:szCs w:val="22"/>
        </w:rPr>
      </w:pPr>
    </w:p>
    <w:p w14:paraId="56633F1D" w14:textId="3E89CFBE" w:rsidR="0067341A" w:rsidRPr="00A80BE6" w:rsidRDefault="0067341A" w:rsidP="00A80BE6">
      <w:pPr>
        <w:spacing w:line="360" w:lineRule="auto"/>
        <w:jc w:val="both"/>
        <w:rPr>
          <w:rFonts w:ascii="Verdana" w:hAnsi="Verdana" w:cs="Arial"/>
          <w:sz w:val="22"/>
          <w:szCs w:val="22"/>
          <w:lang w:val="es-CO"/>
        </w:rPr>
      </w:pPr>
      <w:r w:rsidRPr="00A80BE6">
        <w:rPr>
          <w:rFonts w:ascii="Verdana" w:hAnsi="Verdana" w:cs="Arial"/>
          <w:sz w:val="22"/>
          <w:szCs w:val="22"/>
          <w:lang w:val="es-CO"/>
        </w:rPr>
        <w:t>Esta acción faculta a la Superintendencia de Sociedades para dirimir las diferencias que se presenten respecto del acaecimiento de causales de disolución de una compañía, de conformidad con lo previsto en los artículos 138 a 140 de la Ley 446 de 1998. Así, quien presenta este tipo de demandas, debe ocuparse de describir y acreditar las circunstancias que dan lugar a la configuración de las causales de disolución previstas de forma general en el artículo 218 del Código de Comercio o, respecto de las SAS, en el artículo 34 de la Ley 1258 de 2008. De verificarse lo anterior, el Despacho podrá dirimir la controversia para concluir que se ha configurado la respectiva causal.</w:t>
      </w:r>
    </w:p>
    <w:p w14:paraId="38790FAE" w14:textId="77777777" w:rsidR="0067341A" w:rsidRPr="009D308D" w:rsidRDefault="0067341A" w:rsidP="0067341A">
      <w:pPr>
        <w:spacing w:line="360" w:lineRule="auto"/>
        <w:jc w:val="both"/>
        <w:rPr>
          <w:rFonts w:ascii="Arial" w:hAnsi="Arial" w:cs="Arial"/>
          <w:b/>
          <w:bCs/>
          <w:lang w:val="es-CO"/>
        </w:rPr>
      </w:pPr>
    </w:p>
    <w:p w14:paraId="175B5F61" w14:textId="42B4AB88" w:rsidR="0067341A" w:rsidRDefault="00A80BE6" w:rsidP="0067341A">
      <w:pPr>
        <w:spacing w:line="360" w:lineRule="auto"/>
        <w:jc w:val="both"/>
        <w:rPr>
          <w:rFonts w:ascii="Verdana" w:hAnsi="Verdana" w:cs="Arial"/>
          <w:b/>
          <w:bCs/>
          <w:sz w:val="22"/>
          <w:szCs w:val="22"/>
        </w:rPr>
      </w:pPr>
      <w:r w:rsidRPr="00A80BE6">
        <w:rPr>
          <w:rFonts w:ascii="Verdana" w:hAnsi="Verdana" w:cs="Arial"/>
          <w:b/>
          <w:bCs/>
          <w:sz w:val="22"/>
          <w:szCs w:val="22"/>
        </w:rPr>
        <w:t xml:space="preserve">5.2.6.2 </w:t>
      </w:r>
      <w:r w:rsidR="0067341A" w:rsidRPr="00A80BE6">
        <w:rPr>
          <w:rFonts w:ascii="Verdana" w:hAnsi="Verdana" w:cs="Arial"/>
          <w:b/>
          <w:bCs/>
          <w:sz w:val="22"/>
          <w:szCs w:val="22"/>
        </w:rPr>
        <w:t>Fundamento Jurídico</w:t>
      </w:r>
    </w:p>
    <w:p w14:paraId="49138FCC" w14:textId="77777777" w:rsidR="00A80BE6" w:rsidRDefault="00A80BE6" w:rsidP="00A80BE6">
      <w:pPr>
        <w:spacing w:line="360" w:lineRule="auto"/>
        <w:jc w:val="both"/>
        <w:rPr>
          <w:rFonts w:ascii="Verdana" w:hAnsi="Verdana" w:cs="Arial"/>
          <w:b/>
          <w:bCs/>
          <w:sz w:val="22"/>
          <w:szCs w:val="22"/>
        </w:rPr>
      </w:pPr>
    </w:p>
    <w:p w14:paraId="2CB3ECEF" w14:textId="761B4591" w:rsidR="00663F8C" w:rsidRDefault="0067341A" w:rsidP="0067341A">
      <w:pPr>
        <w:spacing w:line="360" w:lineRule="auto"/>
        <w:jc w:val="both"/>
        <w:rPr>
          <w:rFonts w:ascii="Verdana" w:hAnsi="Verdana" w:cs="Arial"/>
          <w:sz w:val="22"/>
          <w:szCs w:val="22"/>
          <w:lang w:val="es-CO"/>
        </w:rPr>
      </w:pPr>
      <w:r w:rsidRPr="00A80BE6">
        <w:rPr>
          <w:rFonts w:ascii="Verdana" w:hAnsi="Verdana" w:cs="Arial"/>
          <w:sz w:val="22"/>
          <w:szCs w:val="22"/>
          <w:lang w:val="es-CO"/>
        </w:rPr>
        <w:t xml:space="preserve">Ley 446 de 1998, artículo 138. ‘La Superintendencia de Sociedades podrá dirimir las discrepancias sobre la ocurrencia de causales de disolución de sociedades no sometidas </w:t>
      </w:r>
      <w:r w:rsidRPr="00A80BE6">
        <w:rPr>
          <w:rFonts w:ascii="Verdana" w:hAnsi="Verdana" w:cs="Arial"/>
          <w:sz w:val="22"/>
          <w:szCs w:val="22"/>
          <w:lang w:val="es-CO"/>
        </w:rPr>
        <w:lastRenderedPageBreak/>
        <w:t>a la vigilancia y control del Estado o que estándolo, la entidad respectiva no tenga dicha facultad’.</w:t>
      </w:r>
    </w:p>
    <w:p w14:paraId="759A35BA" w14:textId="77777777" w:rsidR="00BA4DA7" w:rsidRPr="00BA4DA7" w:rsidRDefault="00BA4DA7" w:rsidP="0067341A">
      <w:pPr>
        <w:spacing w:line="360" w:lineRule="auto"/>
        <w:jc w:val="both"/>
        <w:rPr>
          <w:rFonts w:ascii="Verdana" w:hAnsi="Verdana" w:cs="Arial"/>
          <w:sz w:val="22"/>
          <w:szCs w:val="22"/>
          <w:lang w:val="es-CO"/>
        </w:rPr>
      </w:pPr>
    </w:p>
    <w:p w14:paraId="57087207" w14:textId="3F3C6E53" w:rsidR="0067341A" w:rsidRDefault="00A80BE6" w:rsidP="0067341A">
      <w:pPr>
        <w:spacing w:line="360" w:lineRule="auto"/>
        <w:jc w:val="both"/>
        <w:rPr>
          <w:rFonts w:ascii="Verdana" w:hAnsi="Verdana" w:cs="Arial"/>
          <w:b/>
          <w:bCs/>
          <w:sz w:val="22"/>
          <w:szCs w:val="22"/>
        </w:rPr>
      </w:pPr>
      <w:r w:rsidRPr="00A80BE6">
        <w:rPr>
          <w:rFonts w:ascii="Verdana" w:hAnsi="Verdana" w:cs="Arial"/>
          <w:b/>
          <w:bCs/>
          <w:sz w:val="22"/>
          <w:szCs w:val="22"/>
        </w:rPr>
        <w:t xml:space="preserve">5.2.6.3 </w:t>
      </w:r>
      <w:r w:rsidR="0067341A" w:rsidRPr="00A80BE6">
        <w:rPr>
          <w:rFonts w:ascii="Verdana" w:hAnsi="Verdana" w:cs="Arial"/>
          <w:b/>
          <w:bCs/>
          <w:sz w:val="22"/>
          <w:szCs w:val="22"/>
        </w:rPr>
        <w:t>Trámite procesal</w:t>
      </w:r>
    </w:p>
    <w:p w14:paraId="0D8D930D" w14:textId="77777777" w:rsidR="00A80BE6" w:rsidRDefault="00A80BE6" w:rsidP="00A80BE6">
      <w:pPr>
        <w:spacing w:line="360" w:lineRule="auto"/>
        <w:jc w:val="both"/>
        <w:rPr>
          <w:rFonts w:ascii="Verdana" w:hAnsi="Verdana" w:cs="Arial"/>
          <w:b/>
          <w:bCs/>
          <w:sz w:val="22"/>
          <w:szCs w:val="22"/>
        </w:rPr>
      </w:pPr>
    </w:p>
    <w:p w14:paraId="7A0B61FD" w14:textId="1C33E2B9" w:rsidR="0067341A" w:rsidRPr="001A6E3C" w:rsidRDefault="0067341A" w:rsidP="00A80BE6">
      <w:pPr>
        <w:spacing w:line="360" w:lineRule="auto"/>
        <w:jc w:val="both"/>
        <w:rPr>
          <w:rFonts w:ascii="Verdana" w:hAnsi="Verdana" w:cs="Arial"/>
          <w:sz w:val="22"/>
          <w:szCs w:val="22"/>
        </w:rPr>
      </w:pPr>
      <w:r w:rsidRPr="001A6E3C">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61F3BBD5" w14:textId="77777777" w:rsidR="007359EF" w:rsidRPr="009D308D" w:rsidRDefault="007359EF" w:rsidP="0067341A">
      <w:pPr>
        <w:spacing w:line="360" w:lineRule="auto"/>
        <w:jc w:val="both"/>
        <w:rPr>
          <w:rFonts w:ascii="Arial" w:hAnsi="Arial" w:cs="Arial"/>
          <w:b/>
          <w:bCs/>
        </w:rPr>
      </w:pPr>
    </w:p>
    <w:p w14:paraId="20D03834" w14:textId="75774EB3" w:rsidR="0067341A" w:rsidRDefault="007359EF" w:rsidP="0067341A">
      <w:pPr>
        <w:keepNext/>
        <w:spacing w:line="360" w:lineRule="auto"/>
        <w:jc w:val="both"/>
        <w:rPr>
          <w:rFonts w:ascii="Verdana" w:hAnsi="Verdana" w:cs="Arial"/>
          <w:b/>
          <w:bCs/>
          <w:sz w:val="22"/>
          <w:szCs w:val="22"/>
        </w:rPr>
      </w:pPr>
      <w:r w:rsidRPr="007359EF">
        <w:rPr>
          <w:rFonts w:ascii="Verdana" w:hAnsi="Verdana" w:cs="Arial"/>
          <w:b/>
          <w:bCs/>
          <w:sz w:val="22"/>
          <w:szCs w:val="22"/>
        </w:rPr>
        <w:t xml:space="preserve">5.2.6.4 </w:t>
      </w:r>
      <w:r w:rsidR="0067341A" w:rsidRPr="007359EF">
        <w:rPr>
          <w:rFonts w:ascii="Verdana" w:hAnsi="Verdana" w:cs="Arial"/>
          <w:b/>
          <w:bCs/>
          <w:sz w:val="22"/>
          <w:szCs w:val="22"/>
        </w:rPr>
        <w:t>Jurisprudencia</w:t>
      </w:r>
    </w:p>
    <w:p w14:paraId="61A98752" w14:textId="77777777" w:rsidR="000742BC" w:rsidRPr="007359EF" w:rsidRDefault="000742BC" w:rsidP="0067341A">
      <w:pPr>
        <w:keepNext/>
        <w:spacing w:line="360" w:lineRule="auto"/>
        <w:jc w:val="both"/>
        <w:rPr>
          <w:rFonts w:ascii="Verdana" w:hAnsi="Verdana" w:cs="Arial"/>
          <w:b/>
          <w:bCs/>
          <w:sz w:val="22"/>
          <w:szCs w:val="22"/>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23"/>
        <w:gridCol w:w="1296"/>
        <w:gridCol w:w="7110"/>
      </w:tblGrid>
      <w:tr w:rsidR="0067341A" w:rsidRPr="005D272D" w14:paraId="25D79D5B" w14:textId="77777777" w:rsidTr="00663F8C">
        <w:trPr>
          <w:tblHeader/>
        </w:trPr>
        <w:tc>
          <w:tcPr>
            <w:tcW w:w="635" w:type="pct"/>
            <w:shd w:val="clear" w:color="auto" w:fill="962D46"/>
          </w:tcPr>
          <w:p w14:paraId="6F08DD08" w14:textId="77777777" w:rsidR="0067341A" w:rsidRPr="001A6E3C" w:rsidRDefault="0067341A" w:rsidP="00DA378C">
            <w:pPr>
              <w:jc w:val="center"/>
              <w:rPr>
                <w:rFonts w:ascii="Verdana" w:hAnsi="Verdana" w:cs="Arial"/>
                <w:b/>
                <w:color w:val="FFFFFF"/>
                <w:sz w:val="20"/>
                <w:szCs w:val="20"/>
              </w:rPr>
            </w:pPr>
            <w:r w:rsidRPr="001A6E3C">
              <w:rPr>
                <w:rFonts w:ascii="Verdana" w:hAnsi="Verdana" w:cs="Arial"/>
                <w:b/>
                <w:color w:val="FFFFFF"/>
                <w:sz w:val="20"/>
                <w:szCs w:val="20"/>
              </w:rPr>
              <w:t>Caso</w:t>
            </w:r>
          </w:p>
        </w:tc>
        <w:tc>
          <w:tcPr>
            <w:tcW w:w="673" w:type="pct"/>
            <w:shd w:val="clear" w:color="auto" w:fill="962D46"/>
          </w:tcPr>
          <w:p w14:paraId="42147A4F" w14:textId="77777777" w:rsidR="0067341A" w:rsidRPr="001A6E3C" w:rsidRDefault="0067341A" w:rsidP="00DA378C">
            <w:pPr>
              <w:jc w:val="center"/>
              <w:rPr>
                <w:rFonts w:ascii="Verdana" w:hAnsi="Verdana" w:cs="Arial"/>
                <w:b/>
                <w:color w:val="FFFFFF"/>
                <w:sz w:val="20"/>
                <w:szCs w:val="20"/>
              </w:rPr>
            </w:pPr>
            <w:r w:rsidRPr="001A6E3C">
              <w:rPr>
                <w:rFonts w:ascii="Verdana" w:hAnsi="Verdana" w:cs="Arial"/>
                <w:b/>
                <w:color w:val="FFFFFF"/>
                <w:sz w:val="20"/>
                <w:szCs w:val="20"/>
              </w:rPr>
              <w:t>Asunto</w:t>
            </w:r>
          </w:p>
        </w:tc>
        <w:tc>
          <w:tcPr>
            <w:tcW w:w="3693" w:type="pct"/>
            <w:shd w:val="clear" w:color="auto" w:fill="962D46"/>
          </w:tcPr>
          <w:p w14:paraId="26A51306" w14:textId="77777777" w:rsidR="0067341A" w:rsidRPr="001A6E3C" w:rsidRDefault="0067341A" w:rsidP="00DA378C">
            <w:pPr>
              <w:jc w:val="center"/>
              <w:rPr>
                <w:rFonts w:ascii="Verdana" w:hAnsi="Verdana" w:cs="Arial"/>
                <w:b/>
                <w:color w:val="FFFFFF"/>
                <w:sz w:val="20"/>
                <w:szCs w:val="20"/>
              </w:rPr>
            </w:pPr>
            <w:r w:rsidRPr="001A6E3C">
              <w:rPr>
                <w:rFonts w:ascii="Verdana" w:hAnsi="Verdana" w:cs="Arial"/>
                <w:b/>
                <w:color w:val="FFFFFF"/>
                <w:sz w:val="20"/>
                <w:szCs w:val="20"/>
              </w:rPr>
              <w:t>Extracto</w:t>
            </w:r>
          </w:p>
        </w:tc>
      </w:tr>
      <w:tr w:rsidR="0067341A" w:rsidRPr="005D272D" w14:paraId="4DAA262E" w14:textId="77777777" w:rsidTr="00DA378C">
        <w:tc>
          <w:tcPr>
            <w:tcW w:w="635" w:type="pct"/>
            <w:shd w:val="clear" w:color="auto" w:fill="auto"/>
            <w:vAlign w:val="center"/>
          </w:tcPr>
          <w:p w14:paraId="5BBC6D2B" w14:textId="77777777" w:rsidR="0067341A" w:rsidRPr="005D272D" w:rsidRDefault="0067341A" w:rsidP="00DA378C">
            <w:pPr>
              <w:jc w:val="center"/>
              <w:rPr>
                <w:rFonts w:ascii="Arial" w:hAnsi="Arial" w:cs="Arial"/>
                <w:sz w:val="16"/>
                <w:szCs w:val="16"/>
              </w:rPr>
            </w:pPr>
            <w:r w:rsidRPr="005D272D">
              <w:rPr>
                <w:rFonts w:ascii="Arial" w:hAnsi="Arial" w:cs="Arial"/>
                <w:sz w:val="16"/>
                <w:szCs w:val="16"/>
              </w:rPr>
              <w:t>Carlos Alonso Toro Hoyos contra Gustavo Adolfo Serrano Huertas</w:t>
            </w:r>
          </w:p>
        </w:tc>
        <w:tc>
          <w:tcPr>
            <w:tcW w:w="673" w:type="pct"/>
            <w:shd w:val="clear" w:color="auto" w:fill="auto"/>
            <w:vAlign w:val="center"/>
          </w:tcPr>
          <w:p w14:paraId="66B504E7" w14:textId="77777777" w:rsidR="0067341A" w:rsidRPr="005D272D" w:rsidRDefault="0067341A" w:rsidP="00DA378C">
            <w:pPr>
              <w:jc w:val="center"/>
              <w:rPr>
                <w:rFonts w:ascii="Arial" w:hAnsi="Arial" w:cs="Arial"/>
                <w:sz w:val="16"/>
                <w:szCs w:val="16"/>
              </w:rPr>
            </w:pPr>
            <w:r w:rsidRPr="005D272D">
              <w:rPr>
                <w:rFonts w:ascii="Arial" w:hAnsi="Arial" w:cs="Arial"/>
                <w:sz w:val="16"/>
                <w:szCs w:val="16"/>
              </w:rPr>
              <w:t>Principio del formulario Disolución por imposibilidad de desarrollar el objeto social. Bloqueo de los órganos sociales</w:t>
            </w:r>
          </w:p>
        </w:tc>
        <w:tc>
          <w:tcPr>
            <w:tcW w:w="3693" w:type="pct"/>
            <w:shd w:val="clear" w:color="auto" w:fill="auto"/>
          </w:tcPr>
          <w:p w14:paraId="4989FC8A" w14:textId="77777777" w:rsidR="0067341A" w:rsidRPr="005D272D" w:rsidRDefault="0067341A" w:rsidP="00DA378C">
            <w:pPr>
              <w:jc w:val="both"/>
              <w:rPr>
                <w:rFonts w:ascii="Arial" w:hAnsi="Arial" w:cs="Arial"/>
                <w:sz w:val="16"/>
                <w:szCs w:val="16"/>
              </w:rPr>
            </w:pPr>
            <w:r w:rsidRPr="005D272D">
              <w:rPr>
                <w:rFonts w:ascii="Arial" w:hAnsi="Arial" w:cs="Arial"/>
                <w:sz w:val="16"/>
                <w:szCs w:val="16"/>
              </w:rPr>
              <w:t>'Ahora bien, es preciso poner de presente que el sistema societario colombiano no contempla de modo expreso una causal de disolución atada a la parálisis de los órganos sociales. No obstante, esta circunstancia sí puede dar lugar al acaecimiento de la causal de disolución consistente en la imposibilidad de desarrollar el objeto social de una compañía. Esta Superintendencia ha considerado, sobre este particular, que "la imposibilidad de constituir el máximo órgano social, eventualmente puede ubicar a la sociedad en causal de disolución, pues entre otras dificultades que esa situación genera, la parálisis prolongada del mencionado órgano, conllevará igualmente la imposibilidad de desarrollar el objeto social [...]". De igual forma, según Reyes Villamizar, "sólo en los casos en que la parálisis de los organismos sociales acarree la imposibilidad de desarrollar el objeto social, podrá tenerse el bloqueo como causal de disolución". Es por ello por lo que el Despacho deberá analizar las pruebas presentadas, a fin de determinar si la aludida causal de disolución se presentó en el caso sub examine'.</w:t>
            </w:r>
          </w:p>
        </w:tc>
      </w:tr>
    </w:tbl>
    <w:p w14:paraId="17C648CD" w14:textId="77777777" w:rsidR="00B46D2A" w:rsidRDefault="00B46D2A" w:rsidP="00B46D2A">
      <w:pPr>
        <w:rPr>
          <w:rFonts w:ascii="Arial" w:hAnsi="Arial" w:cs="Arial"/>
          <w:b/>
          <w:bCs/>
        </w:rPr>
      </w:pPr>
    </w:p>
    <w:p w14:paraId="31891751" w14:textId="77777777" w:rsidR="00B810E0" w:rsidRDefault="00B810E0" w:rsidP="00B46D2A">
      <w:pPr>
        <w:rPr>
          <w:rFonts w:ascii="Verdana" w:hAnsi="Verdana" w:cs="Arial"/>
          <w:b/>
          <w:bCs/>
          <w:spacing w:val="4"/>
          <w:sz w:val="22"/>
          <w:szCs w:val="22"/>
        </w:rPr>
      </w:pPr>
    </w:p>
    <w:p w14:paraId="3C02ABFB" w14:textId="61FC9265" w:rsidR="00753A7D" w:rsidRPr="00B46D2A" w:rsidRDefault="002C5AEC" w:rsidP="00B46D2A">
      <w:pPr>
        <w:rPr>
          <w:rFonts w:ascii="Arial" w:hAnsi="Arial" w:cs="Arial"/>
          <w:b/>
          <w:bCs/>
        </w:rPr>
      </w:pPr>
      <w:r w:rsidRPr="000742BC">
        <w:rPr>
          <w:rFonts w:ascii="Verdana" w:hAnsi="Verdana" w:cs="Arial"/>
          <w:b/>
          <w:bCs/>
          <w:spacing w:val="4"/>
          <w:sz w:val="22"/>
          <w:szCs w:val="22"/>
        </w:rPr>
        <w:t xml:space="preserve">5.2.7 </w:t>
      </w:r>
      <w:r w:rsidR="001A6E3C" w:rsidRPr="00B46D2A">
        <w:rPr>
          <w:rFonts w:ascii="Verdana" w:hAnsi="Verdana" w:cs="Arial"/>
          <w:b/>
          <w:bCs/>
          <w:spacing w:val="4"/>
          <w:sz w:val="22"/>
          <w:szCs w:val="22"/>
        </w:rPr>
        <w:t>EJECUCIÓN ESPECÍFICA DE ACUERDOS DE ACCIONISTAS</w:t>
      </w:r>
    </w:p>
    <w:p w14:paraId="047A56B9" w14:textId="77777777" w:rsidR="001A6E3C" w:rsidRPr="00B46D2A" w:rsidRDefault="001A6E3C" w:rsidP="0067341A">
      <w:pPr>
        <w:spacing w:line="360" w:lineRule="auto"/>
        <w:jc w:val="both"/>
        <w:rPr>
          <w:rFonts w:ascii="Verdana" w:hAnsi="Verdana" w:cs="Arial"/>
          <w:b/>
          <w:bCs/>
          <w:spacing w:val="4"/>
        </w:rPr>
      </w:pPr>
    </w:p>
    <w:p w14:paraId="7DC548BB" w14:textId="66580897" w:rsidR="0067341A" w:rsidRPr="001A6E3C" w:rsidRDefault="005D6E21" w:rsidP="0067341A">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t xml:space="preserve">5.2.7.1 </w:t>
      </w:r>
      <w:r w:rsidR="0067341A" w:rsidRPr="001A6E3C">
        <w:rPr>
          <w:rFonts w:ascii="Verdana" w:hAnsi="Verdana" w:cs="Arial"/>
          <w:b/>
          <w:bCs/>
          <w:spacing w:val="4"/>
          <w:sz w:val="22"/>
          <w:szCs w:val="22"/>
        </w:rPr>
        <w:t>Descripción general</w:t>
      </w:r>
    </w:p>
    <w:p w14:paraId="256435DA" w14:textId="77777777" w:rsidR="00753A7D" w:rsidRPr="005D6E21" w:rsidRDefault="00753A7D" w:rsidP="0067341A">
      <w:pPr>
        <w:spacing w:line="360" w:lineRule="auto"/>
        <w:jc w:val="both"/>
        <w:rPr>
          <w:rFonts w:ascii="Verdana" w:hAnsi="Verdana" w:cs="Arial"/>
          <w:b/>
          <w:bCs/>
          <w:spacing w:val="4"/>
        </w:rPr>
      </w:pPr>
    </w:p>
    <w:p w14:paraId="14843AA7" w14:textId="10B943F6" w:rsidR="0067341A" w:rsidRPr="006C3297" w:rsidRDefault="0067341A" w:rsidP="005D6E21">
      <w:pPr>
        <w:spacing w:line="360" w:lineRule="auto"/>
        <w:jc w:val="both"/>
        <w:rPr>
          <w:rFonts w:ascii="Verdana" w:hAnsi="Verdana" w:cs="Arial"/>
          <w:sz w:val="22"/>
          <w:szCs w:val="22"/>
        </w:rPr>
      </w:pPr>
      <w:r w:rsidRPr="006C3297">
        <w:rPr>
          <w:rFonts w:ascii="Verdana" w:hAnsi="Verdana" w:cs="Arial"/>
          <w:sz w:val="22"/>
          <w:szCs w:val="22"/>
          <w:lang w:val="es-CO"/>
        </w:rPr>
        <w:t xml:space="preserve">Esta acción alude, en primer término, a la resolución de controversias respecto del cumplimiento de acuerdos de accionistas. Por virtud de la competencia establecida en el Código General del Proceso, esta acción atañe no sólo a aquellos convenios que cumplan con lo previsto en los artículos 24 de la Ley 1258 de 2008 y 70 de la Ley 222 de 1995, sino que también abarca aquellos acuerdos que surtan efectos solamente entre los accionistas suscriptores. En segundo lugar, siempre que se cumplan las condiciones </w:t>
      </w:r>
      <w:r w:rsidRPr="006C3297">
        <w:rPr>
          <w:rFonts w:ascii="Verdana" w:hAnsi="Verdana" w:cs="Arial"/>
          <w:sz w:val="22"/>
          <w:szCs w:val="22"/>
          <w:lang w:val="es-CO"/>
        </w:rPr>
        <w:lastRenderedPageBreak/>
        <w:t>previstas en la ley para el efecto, podrá promoverse ante la Superintendencia la ejecución específica de las obligaciones contenidas en acuerdos de accionistas.</w:t>
      </w:r>
    </w:p>
    <w:p w14:paraId="2FCAD0F1" w14:textId="77777777" w:rsidR="0067341A" w:rsidRDefault="0067341A" w:rsidP="0067341A">
      <w:pPr>
        <w:spacing w:line="360" w:lineRule="auto"/>
        <w:jc w:val="both"/>
        <w:rPr>
          <w:rFonts w:ascii="Arial" w:hAnsi="Arial" w:cs="Arial"/>
          <w:b/>
          <w:bCs/>
        </w:rPr>
      </w:pPr>
    </w:p>
    <w:p w14:paraId="12BE70D7" w14:textId="590231F2" w:rsidR="0067341A" w:rsidRPr="006C3297" w:rsidRDefault="006C3297" w:rsidP="0067341A">
      <w:pPr>
        <w:spacing w:line="360" w:lineRule="auto"/>
        <w:jc w:val="both"/>
        <w:rPr>
          <w:rFonts w:ascii="Verdana" w:hAnsi="Verdana" w:cs="Arial"/>
          <w:b/>
          <w:bCs/>
          <w:sz w:val="22"/>
          <w:szCs w:val="22"/>
        </w:rPr>
      </w:pPr>
      <w:r w:rsidRPr="006C3297">
        <w:rPr>
          <w:rFonts w:ascii="Verdana" w:hAnsi="Verdana" w:cs="Arial"/>
          <w:b/>
          <w:bCs/>
          <w:sz w:val="22"/>
          <w:szCs w:val="22"/>
        </w:rPr>
        <w:t xml:space="preserve">5.2.7.2 </w:t>
      </w:r>
      <w:r w:rsidR="0067341A" w:rsidRPr="006C3297">
        <w:rPr>
          <w:rFonts w:ascii="Verdana" w:hAnsi="Verdana" w:cs="Arial"/>
          <w:b/>
          <w:bCs/>
          <w:sz w:val="22"/>
          <w:szCs w:val="22"/>
        </w:rPr>
        <w:t>Fundamento Jurídico</w:t>
      </w:r>
    </w:p>
    <w:p w14:paraId="573A5404" w14:textId="77777777" w:rsidR="006C3297" w:rsidRDefault="006C3297" w:rsidP="006C3297">
      <w:pPr>
        <w:spacing w:line="360" w:lineRule="auto"/>
        <w:jc w:val="both"/>
        <w:rPr>
          <w:rFonts w:ascii="Arial" w:hAnsi="Arial" w:cs="Arial"/>
        </w:rPr>
      </w:pPr>
    </w:p>
    <w:p w14:paraId="2EFB9FEE" w14:textId="4442F192" w:rsidR="0067341A" w:rsidRPr="006C3297" w:rsidRDefault="0067341A" w:rsidP="006C3297">
      <w:pPr>
        <w:spacing w:line="360" w:lineRule="auto"/>
        <w:jc w:val="both"/>
        <w:rPr>
          <w:rFonts w:ascii="Verdana" w:hAnsi="Verdana" w:cs="Arial"/>
          <w:sz w:val="22"/>
          <w:szCs w:val="22"/>
        </w:rPr>
      </w:pPr>
      <w:r w:rsidRPr="006C3297">
        <w:rPr>
          <w:rFonts w:ascii="Verdana" w:hAnsi="Verdana" w:cs="Arial"/>
          <w:sz w:val="22"/>
          <w:szCs w:val="22"/>
        </w:rPr>
        <w:t>Código General del Proceso, artículo 24, numeral 5º, literal a). ‘La Superintendencia de Sociedades tendrá facultades jurisdiccionales en materia societaria, referidas a […] las controversias relacionadas con el cumplimiento de los acuerdos de accionistas y la ejecución específica de las obligaciones pactadas en los acuerdos’.</w:t>
      </w:r>
    </w:p>
    <w:p w14:paraId="06332D4E" w14:textId="77777777" w:rsidR="0067341A" w:rsidRPr="009D308D" w:rsidRDefault="0067341A" w:rsidP="0067341A">
      <w:pPr>
        <w:spacing w:line="360" w:lineRule="auto"/>
        <w:jc w:val="both"/>
        <w:rPr>
          <w:rFonts w:ascii="Arial" w:hAnsi="Arial" w:cs="Arial"/>
          <w:b/>
          <w:bCs/>
        </w:rPr>
      </w:pPr>
    </w:p>
    <w:p w14:paraId="745DB385" w14:textId="221C0ECE" w:rsidR="0067341A" w:rsidRDefault="0006776E" w:rsidP="0067341A">
      <w:pPr>
        <w:spacing w:line="360" w:lineRule="auto"/>
        <w:jc w:val="both"/>
        <w:rPr>
          <w:rFonts w:ascii="Verdana" w:hAnsi="Verdana" w:cs="Arial"/>
          <w:b/>
          <w:bCs/>
          <w:sz w:val="22"/>
          <w:szCs w:val="22"/>
        </w:rPr>
      </w:pPr>
      <w:r w:rsidRPr="0006776E">
        <w:rPr>
          <w:rFonts w:ascii="Verdana" w:hAnsi="Verdana" w:cs="Arial"/>
          <w:b/>
          <w:bCs/>
          <w:sz w:val="22"/>
          <w:szCs w:val="22"/>
        </w:rPr>
        <w:t xml:space="preserve">5.2.7.3 </w:t>
      </w:r>
      <w:r w:rsidR="0067341A" w:rsidRPr="0006776E">
        <w:rPr>
          <w:rFonts w:ascii="Verdana" w:hAnsi="Verdana" w:cs="Arial"/>
          <w:b/>
          <w:bCs/>
          <w:sz w:val="22"/>
          <w:szCs w:val="22"/>
        </w:rPr>
        <w:t>Trámite procesal</w:t>
      </w:r>
    </w:p>
    <w:p w14:paraId="06590920" w14:textId="77777777" w:rsidR="0006776E" w:rsidRDefault="0006776E" w:rsidP="0006776E">
      <w:pPr>
        <w:spacing w:line="360" w:lineRule="auto"/>
        <w:jc w:val="both"/>
        <w:rPr>
          <w:rFonts w:ascii="Verdana" w:hAnsi="Verdana" w:cs="Arial"/>
          <w:b/>
          <w:bCs/>
          <w:sz w:val="22"/>
          <w:szCs w:val="22"/>
        </w:rPr>
      </w:pPr>
    </w:p>
    <w:p w14:paraId="49BCD945" w14:textId="5C74C291" w:rsidR="0067341A" w:rsidRPr="0006776E" w:rsidRDefault="0067341A" w:rsidP="0006776E">
      <w:pPr>
        <w:spacing w:line="360" w:lineRule="auto"/>
        <w:jc w:val="both"/>
        <w:rPr>
          <w:rFonts w:ascii="Verdana" w:hAnsi="Verdana" w:cs="Arial"/>
          <w:sz w:val="22"/>
          <w:szCs w:val="22"/>
        </w:rPr>
      </w:pPr>
      <w:r w:rsidRPr="0006776E">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64C3408F" w14:textId="77777777" w:rsidR="00753A7D" w:rsidRPr="009D308D" w:rsidRDefault="00753A7D" w:rsidP="00B46D2A">
      <w:pPr>
        <w:spacing w:line="360" w:lineRule="auto"/>
        <w:jc w:val="both"/>
        <w:rPr>
          <w:rFonts w:ascii="Arial" w:hAnsi="Arial" w:cs="Arial"/>
        </w:rPr>
      </w:pPr>
    </w:p>
    <w:p w14:paraId="1E035243" w14:textId="2F498487" w:rsidR="0067341A" w:rsidRDefault="00DA32EC" w:rsidP="0067341A">
      <w:pPr>
        <w:spacing w:line="360" w:lineRule="auto"/>
        <w:jc w:val="both"/>
        <w:rPr>
          <w:rFonts w:ascii="Verdana" w:hAnsi="Verdana" w:cs="Arial"/>
          <w:b/>
          <w:bCs/>
          <w:iCs/>
          <w:sz w:val="22"/>
          <w:szCs w:val="22"/>
        </w:rPr>
      </w:pPr>
      <w:r w:rsidRPr="00DA32EC">
        <w:rPr>
          <w:rFonts w:ascii="Verdana" w:hAnsi="Verdana" w:cs="Arial"/>
          <w:b/>
          <w:bCs/>
          <w:iCs/>
          <w:sz w:val="22"/>
          <w:szCs w:val="22"/>
        </w:rPr>
        <w:t xml:space="preserve">5.2.7.4 </w:t>
      </w:r>
      <w:r w:rsidR="0067341A" w:rsidRPr="00DA32EC">
        <w:rPr>
          <w:rFonts w:ascii="Verdana" w:hAnsi="Verdana" w:cs="Arial"/>
          <w:b/>
          <w:bCs/>
          <w:iCs/>
          <w:sz w:val="22"/>
          <w:szCs w:val="22"/>
        </w:rPr>
        <w:t>Jurisprudencia</w:t>
      </w:r>
    </w:p>
    <w:p w14:paraId="774332CF" w14:textId="77777777" w:rsidR="000742BC" w:rsidRPr="00DA32EC" w:rsidRDefault="000742BC" w:rsidP="0067341A">
      <w:pPr>
        <w:spacing w:line="360" w:lineRule="auto"/>
        <w:jc w:val="both"/>
        <w:rPr>
          <w:rFonts w:ascii="Verdana" w:hAnsi="Verdana" w:cs="Arial"/>
          <w:b/>
          <w:bCs/>
          <w:iCs/>
          <w:sz w:val="22"/>
          <w:szCs w:val="22"/>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24"/>
        <w:gridCol w:w="1295"/>
        <w:gridCol w:w="7110"/>
      </w:tblGrid>
      <w:tr w:rsidR="0067341A" w:rsidRPr="005D272D" w14:paraId="46B249B9" w14:textId="77777777" w:rsidTr="00663F8C">
        <w:trPr>
          <w:tblHeader/>
        </w:trPr>
        <w:tc>
          <w:tcPr>
            <w:tcW w:w="635" w:type="pct"/>
            <w:shd w:val="clear" w:color="auto" w:fill="962D46"/>
          </w:tcPr>
          <w:p w14:paraId="0077A6B1" w14:textId="77777777" w:rsidR="0067341A" w:rsidRPr="00DA32EC" w:rsidRDefault="0067341A" w:rsidP="00DA378C">
            <w:pPr>
              <w:jc w:val="center"/>
              <w:rPr>
                <w:rFonts w:ascii="Verdana" w:hAnsi="Verdana" w:cs="Arial"/>
                <w:b/>
                <w:color w:val="FFFFFF"/>
                <w:sz w:val="20"/>
                <w:szCs w:val="20"/>
              </w:rPr>
            </w:pPr>
            <w:r w:rsidRPr="00DA32EC">
              <w:rPr>
                <w:rFonts w:ascii="Verdana" w:hAnsi="Verdana" w:cs="Arial"/>
                <w:b/>
                <w:color w:val="FFFFFF"/>
                <w:sz w:val="20"/>
                <w:szCs w:val="20"/>
              </w:rPr>
              <w:t>Caso</w:t>
            </w:r>
          </w:p>
        </w:tc>
        <w:tc>
          <w:tcPr>
            <w:tcW w:w="673" w:type="pct"/>
            <w:shd w:val="clear" w:color="auto" w:fill="962D46"/>
          </w:tcPr>
          <w:p w14:paraId="09427952" w14:textId="77777777" w:rsidR="0067341A" w:rsidRPr="00DA32EC" w:rsidRDefault="0067341A" w:rsidP="00DA378C">
            <w:pPr>
              <w:jc w:val="center"/>
              <w:rPr>
                <w:rFonts w:ascii="Verdana" w:hAnsi="Verdana" w:cs="Arial"/>
                <w:b/>
                <w:color w:val="FFFFFF"/>
                <w:sz w:val="20"/>
                <w:szCs w:val="20"/>
              </w:rPr>
            </w:pPr>
            <w:r w:rsidRPr="00DA32EC">
              <w:rPr>
                <w:rFonts w:ascii="Verdana" w:hAnsi="Verdana" w:cs="Arial"/>
                <w:b/>
                <w:color w:val="FFFFFF"/>
                <w:sz w:val="20"/>
                <w:szCs w:val="20"/>
              </w:rPr>
              <w:t>Asunto</w:t>
            </w:r>
          </w:p>
        </w:tc>
        <w:tc>
          <w:tcPr>
            <w:tcW w:w="3693" w:type="pct"/>
            <w:shd w:val="clear" w:color="auto" w:fill="962D46"/>
          </w:tcPr>
          <w:p w14:paraId="5634E7ED" w14:textId="77777777" w:rsidR="0067341A" w:rsidRPr="00DA32EC" w:rsidRDefault="0067341A" w:rsidP="00DA378C">
            <w:pPr>
              <w:jc w:val="center"/>
              <w:rPr>
                <w:rFonts w:ascii="Verdana" w:hAnsi="Verdana" w:cs="Arial"/>
                <w:b/>
                <w:color w:val="FFFFFF"/>
                <w:sz w:val="20"/>
                <w:szCs w:val="20"/>
              </w:rPr>
            </w:pPr>
            <w:r w:rsidRPr="00DA32EC">
              <w:rPr>
                <w:rFonts w:ascii="Verdana" w:hAnsi="Verdana" w:cs="Arial"/>
                <w:b/>
                <w:color w:val="FFFFFF"/>
                <w:sz w:val="20"/>
                <w:szCs w:val="20"/>
              </w:rPr>
              <w:t>Extracto</w:t>
            </w:r>
          </w:p>
        </w:tc>
      </w:tr>
      <w:tr w:rsidR="0067341A" w:rsidRPr="005D272D" w14:paraId="2D2D17E9" w14:textId="77777777" w:rsidTr="00DA378C">
        <w:tc>
          <w:tcPr>
            <w:tcW w:w="635" w:type="pct"/>
            <w:shd w:val="clear" w:color="auto" w:fill="auto"/>
            <w:vAlign w:val="center"/>
          </w:tcPr>
          <w:p w14:paraId="40C31F77" w14:textId="77777777" w:rsidR="0067341A" w:rsidRPr="00DA32EC" w:rsidRDefault="0067341A" w:rsidP="00DA378C">
            <w:pPr>
              <w:jc w:val="center"/>
              <w:rPr>
                <w:rFonts w:ascii="Verdana" w:hAnsi="Verdana" w:cs="Arial"/>
                <w:sz w:val="16"/>
                <w:szCs w:val="16"/>
              </w:rPr>
            </w:pPr>
            <w:r w:rsidRPr="00DA32EC">
              <w:rPr>
                <w:rFonts w:ascii="Verdana" w:hAnsi="Verdana" w:cs="Arial"/>
                <w:sz w:val="16"/>
                <w:szCs w:val="16"/>
              </w:rPr>
              <w:t xml:space="preserve">Carlos Alberto Sierra Murillo y </w:t>
            </w:r>
            <w:proofErr w:type="spellStart"/>
            <w:r w:rsidRPr="00DA32EC">
              <w:rPr>
                <w:rFonts w:ascii="Verdana" w:hAnsi="Verdana" w:cs="Arial"/>
                <w:sz w:val="16"/>
                <w:szCs w:val="16"/>
              </w:rPr>
              <w:t>Summertree</w:t>
            </w:r>
            <w:proofErr w:type="spellEnd"/>
            <w:r w:rsidRPr="00DA32EC">
              <w:rPr>
                <w:rFonts w:ascii="Verdana" w:hAnsi="Verdana" w:cs="Arial"/>
                <w:sz w:val="16"/>
                <w:szCs w:val="16"/>
              </w:rPr>
              <w:t xml:space="preserve"> Trading </w:t>
            </w:r>
            <w:proofErr w:type="spellStart"/>
            <w:r w:rsidRPr="00DA32EC">
              <w:rPr>
                <w:rFonts w:ascii="Verdana" w:hAnsi="Verdana" w:cs="Arial"/>
                <w:sz w:val="16"/>
                <w:szCs w:val="16"/>
              </w:rPr>
              <w:t>Corporation</w:t>
            </w:r>
            <w:proofErr w:type="spellEnd"/>
            <w:r w:rsidRPr="00DA32EC">
              <w:rPr>
                <w:rFonts w:ascii="Verdana" w:hAnsi="Verdana" w:cs="Arial"/>
                <w:sz w:val="16"/>
                <w:szCs w:val="16"/>
              </w:rPr>
              <w:t xml:space="preserve"> contra </w:t>
            </w:r>
            <w:proofErr w:type="spellStart"/>
            <w:r w:rsidRPr="00DA32EC">
              <w:rPr>
                <w:rFonts w:ascii="Verdana" w:hAnsi="Verdana" w:cs="Arial"/>
                <w:sz w:val="16"/>
                <w:szCs w:val="16"/>
              </w:rPr>
              <w:t>Axede</w:t>
            </w:r>
            <w:proofErr w:type="spellEnd"/>
            <w:r w:rsidRPr="00DA32EC">
              <w:rPr>
                <w:rFonts w:ascii="Verdana" w:hAnsi="Verdana" w:cs="Arial"/>
                <w:sz w:val="16"/>
                <w:szCs w:val="16"/>
              </w:rPr>
              <w:t xml:space="preserve"> S.A.</w:t>
            </w:r>
          </w:p>
        </w:tc>
        <w:tc>
          <w:tcPr>
            <w:tcW w:w="673" w:type="pct"/>
            <w:shd w:val="clear" w:color="auto" w:fill="auto"/>
            <w:vAlign w:val="center"/>
          </w:tcPr>
          <w:p w14:paraId="189AE93B" w14:textId="77777777" w:rsidR="0067341A" w:rsidRPr="00DA32EC" w:rsidRDefault="0067341A" w:rsidP="00DA378C">
            <w:pPr>
              <w:jc w:val="center"/>
              <w:rPr>
                <w:rFonts w:ascii="Verdana" w:hAnsi="Verdana" w:cs="Arial"/>
                <w:sz w:val="16"/>
                <w:szCs w:val="16"/>
              </w:rPr>
            </w:pPr>
            <w:r w:rsidRPr="00DA32EC">
              <w:rPr>
                <w:rFonts w:ascii="Verdana" w:hAnsi="Verdana" w:cs="Arial"/>
                <w:sz w:val="16"/>
                <w:szCs w:val="16"/>
              </w:rPr>
              <w:t>Ejecución judicial de pactos sobre la elección de miembros de la junta directiva</w:t>
            </w:r>
          </w:p>
        </w:tc>
        <w:tc>
          <w:tcPr>
            <w:tcW w:w="3693" w:type="pct"/>
            <w:shd w:val="clear" w:color="auto" w:fill="auto"/>
          </w:tcPr>
          <w:p w14:paraId="09F23D7A" w14:textId="77777777" w:rsidR="0067341A" w:rsidRPr="00DA32EC" w:rsidRDefault="0067341A" w:rsidP="00DA378C">
            <w:pPr>
              <w:jc w:val="both"/>
              <w:rPr>
                <w:rFonts w:ascii="Verdana" w:hAnsi="Verdana" w:cs="Arial"/>
                <w:sz w:val="16"/>
                <w:szCs w:val="16"/>
              </w:rPr>
            </w:pPr>
            <w:r w:rsidRPr="00DA32EC">
              <w:rPr>
                <w:rFonts w:ascii="Verdana" w:hAnsi="Verdana" w:cs="Arial"/>
                <w:sz w:val="16"/>
                <w:szCs w:val="16"/>
              </w:rPr>
              <w:t xml:space="preserve">‘[...] de conformidad con las pruebas aportadas por las partes durante el curso del presente proceso, es claro que la cláusula objeto de estudio le resulta oponible a </w:t>
            </w:r>
            <w:proofErr w:type="spellStart"/>
            <w:r w:rsidRPr="00DA32EC">
              <w:rPr>
                <w:rFonts w:ascii="Verdana" w:hAnsi="Verdana" w:cs="Arial"/>
                <w:sz w:val="16"/>
                <w:szCs w:val="16"/>
              </w:rPr>
              <w:t>Axede</w:t>
            </w:r>
            <w:proofErr w:type="spellEnd"/>
            <w:r w:rsidRPr="00DA32EC">
              <w:rPr>
                <w:rFonts w:ascii="Verdana" w:hAnsi="Verdana" w:cs="Arial"/>
                <w:sz w:val="16"/>
                <w:szCs w:val="16"/>
              </w:rPr>
              <w:t xml:space="preserve"> S.A. Se trata, en verdad, de un pacto de voto respecto de la manera en que los accionistas de la compañía habrán de votar durante las reuniones del máximo órgano social. Además, según se expresó en el laudo arbitral antes citado, </w:t>
            </w:r>
            <w:proofErr w:type="spellStart"/>
            <w:r w:rsidRPr="00DA32EC">
              <w:rPr>
                <w:rFonts w:ascii="Verdana" w:hAnsi="Verdana" w:cs="Arial"/>
                <w:sz w:val="16"/>
                <w:szCs w:val="16"/>
              </w:rPr>
              <w:t>Summertree</w:t>
            </w:r>
            <w:proofErr w:type="spellEnd"/>
            <w:r w:rsidRPr="00DA32EC">
              <w:rPr>
                <w:rFonts w:ascii="Verdana" w:hAnsi="Verdana" w:cs="Arial"/>
                <w:sz w:val="16"/>
                <w:szCs w:val="16"/>
              </w:rPr>
              <w:t xml:space="preserve"> Trading </w:t>
            </w:r>
            <w:proofErr w:type="spellStart"/>
            <w:r w:rsidRPr="00DA32EC">
              <w:rPr>
                <w:rFonts w:ascii="Verdana" w:hAnsi="Verdana" w:cs="Arial"/>
                <w:sz w:val="16"/>
                <w:szCs w:val="16"/>
              </w:rPr>
              <w:t>Corporation</w:t>
            </w:r>
            <w:proofErr w:type="spellEnd"/>
            <w:r w:rsidRPr="00DA32EC">
              <w:rPr>
                <w:rFonts w:ascii="Verdana" w:hAnsi="Verdana" w:cs="Arial"/>
                <w:sz w:val="16"/>
                <w:szCs w:val="16"/>
              </w:rPr>
              <w:t xml:space="preserve">, uno de los demandantes en este proceso, no revestía la calidad de administradora en </w:t>
            </w:r>
            <w:proofErr w:type="spellStart"/>
            <w:r w:rsidRPr="00DA32EC">
              <w:rPr>
                <w:rFonts w:ascii="Verdana" w:hAnsi="Verdana" w:cs="Arial"/>
                <w:sz w:val="16"/>
                <w:szCs w:val="16"/>
              </w:rPr>
              <w:t>Axede</w:t>
            </w:r>
            <w:proofErr w:type="spellEnd"/>
            <w:r w:rsidRPr="00DA32EC">
              <w:rPr>
                <w:rFonts w:ascii="Verdana" w:hAnsi="Verdana" w:cs="Arial"/>
                <w:sz w:val="16"/>
                <w:szCs w:val="16"/>
              </w:rPr>
              <w:t xml:space="preserve"> S.A. al momento de celebrarse el acuerdo en mención. Además, el vínculo contractual de Carlos Alberto Sierra respecto del acuerdo de accionistas sub examine fue declarado nulo por el tribunal de arbitramento que emitió el laudo en cuestión. Por último, el Despacho pudo establecer que se cumplió con el requisito del depósito a que alude el artículo 70 de la Ley 222, según lo expresado en la Cláusula Vigésima Novena del respectivo convenio, según la cual "este Acuerdo de Accionistas será entregado y depositado ante el represente legal de la Compañía en las oficinas de administración de la Compañía, en los términos y para los efectos del artículo 70 de la Ley 222 de 1995". A la luz de lo anterior, deberán descontarse los votos computados en contra de lo previsto en el referido acuerdo de accionistas, en lo atinente a la elección de la junta directiva de </w:t>
            </w:r>
            <w:proofErr w:type="spellStart"/>
            <w:r w:rsidRPr="00DA32EC">
              <w:rPr>
                <w:rFonts w:ascii="Verdana" w:hAnsi="Verdana" w:cs="Arial"/>
                <w:sz w:val="16"/>
                <w:szCs w:val="16"/>
              </w:rPr>
              <w:t>Axede</w:t>
            </w:r>
            <w:proofErr w:type="spellEnd"/>
            <w:r w:rsidRPr="00DA32EC">
              <w:rPr>
                <w:rFonts w:ascii="Verdana" w:hAnsi="Verdana" w:cs="Arial"/>
                <w:sz w:val="16"/>
                <w:szCs w:val="16"/>
              </w:rPr>
              <w:t xml:space="preserve"> S.A. llevada a cabo el 22 de marzo de 2013’.</w:t>
            </w:r>
          </w:p>
        </w:tc>
      </w:tr>
      <w:tr w:rsidR="0067341A" w:rsidRPr="00DA32EC" w14:paraId="576CB9C7" w14:textId="77777777" w:rsidTr="00C52FAB">
        <w:tc>
          <w:tcPr>
            <w:tcW w:w="635" w:type="pct"/>
            <w:shd w:val="clear" w:color="auto" w:fill="F2DCDB"/>
            <w:vAlign w:val="center"/>
          </w:tcPr>
          <w:p w14:paraId="35FB0E07" w14:textId="77777777" w:rsidR="0067341A" w:rsidRPr="00DA32EC" w:rsidRDefault="0067341A" w:rsidP="00DA378C">
            <w:pPr>
              <w:jc w:val="center"/>
              <w:rPr>
                <w:rFonts w:ascii="Verdana" w:hAnsi="Verdana" w:cs="Arial"/>
                <w:sz w:val="16"/>
                <w:szCs w:val="16"/>
              </w:rPr>
            </w:pPr>
            <w:proofErr w:type="spellStart"/>
            <w:r w:rsidRPr="00DA32EC">
              <w:rPr>
                <w:rFonts w:ascii="Verdana" w:hAnsi="Verdana" w:cs="Arial"/>
                <w:sz w:val="16"/>
                <w:szCs w:val="16"/>
              </w:rPr>
              <w:t>Proedinsa</w:t>
            </w:r>
            <w:proofErr w:type="spellEnd"/>
            <w:r w:rsidRPr="00DA32EC">
              <w:rPr>
                <w:rFonts w:ascii="Verdana" w:hAnsi="Verdana" w:cs="Arial"/>
                <w:sz w:val="16"/>
                <w:szCs w:val="16"/>
              </w:rPr>
              <w:t xml:space="preserve"> Calle &amp; </w:t>
            </w:r>
            <w:proofErr w:type="spellStart"/>
            <w:r w:rsidRPr="00DA32EC">
              <w:rPr>
                <w:rFonts w:ascii="Verdana" w:hAnsi="Verdana" w:cs="Arial"/>
                <w:sz w:val="16"/>
                <w:szCs w:val="16"/>
              </w:rPr>
              <w:t>Cía</w:t>
            </w:r>
            <w:proofErr w:type="spellEnd"/>
            <w:r w:rsidRPr="00DA32EC">
              <w:rPr>
                <w:rFonts w:ascii="Verdana" w:hAnsi="Verdana" w:cs="Arial"/>
                <w:sz w:val="16"/>
                <w:szCs w:val="16"/>
              </w:rPr>
              <w:t xml:space="preserve"> </w:t>
            </w:r>
            <w:r w:rsidRPr="00DA32EC">
              <w:rPr>
                <w:rFonts w:ascii="Verdana" w:hAnsi="Verdana" w:cs="Arial"/>
                <w:sz w:val="16"/>
                <w:szCs w:val="16"/>
              </w:rPr>
              <w:lastRenderedPageBreak/>
              <w:t>S. en C. contra Colegio Gimnasio Vermont Medellín S.A. y otros</w:t>
            </w:r>
          </w:p>
        </w:tc>
        <w:tc>
          <w:tcPr>
            <w:tcW w:w="673" w:type="pct"/>
            <w:shd w:val="clear" w:color="auto" w:fill="F2DCDB"/>
            <w:vAlign w:val="center"/>
          </w:tcPr>
          <w:p w14:paraId="7B55E7D9" w14:textId="77777777" w:rsidR="0067341A" w:rsidRPr="00DA32EC" w:rsidRDefault="0067341A" w:rsidP="00DA378C">
            <w:pPr>
              <w:jc w:val="center"/>
              <w:rPr>
                <w:rFonts w:ascii="Verdana" w:hAnsi="Verdana" w:cs="Arial"/>
                <w:sz w:val="16"/>
                <w:szCs w:val="16"/>
              </w:rPr>
            </w:pPr>
            <w:r w:rsidRPr="00DA32EC">
              <w:rPr>
                <w:rFonts w:ascii="Verdana" w:hAnsi="Verdana" w:cs="Arial"/>
                <w:sz w:val="16"/>
                <w:szCs w:val="16"/>
              </w:rPr>
              <w:lastRenderedPageBreak/>
              <w:t xml:space="preserve">Ejecución judicial de </w:t>
            </w:r>
            <w:r w:rsidRPr="00DA32EC">
              <w:rPr>
                <w:rFonts w:ascii="Verdana" w:hAnsi="Verdana" w:cs="Arial"/>
                <w:sz w:val="16"/>
                <w:szCs w:val="16"/>
              </w:rPr>
              <w:lastRenderedPageBreak/>
              <w:t>pactos de voto</w:t>
            </w:r>
          </w:p>
        </w:tc>
        <w:tc>
          <w:tcPr>
            <w:tcW w:w="3693" w:type="pct"/>
            <w:shd w:val="clear" w:color="auto" w:fill="F2DCDB"/>
          </w:tcPr>
          <w:p w14:paraId="29AC70B6" w14:textId="77777777" w:rsidR="0067341A" w:rsidRPr="00DA32EC" w:rsidRDefault="0067341A" w:rsidP="00DA378C">
            <w:pPr>
              <w:jc w:val="both"/>
              <w:rPr>
                <w:rFonts w:ascii="Verdana" w:hAnsi="Verdana" w:cs="Arial"/>
                <w:sz w:val="16"/>
                <w:szCs w:val="16"/>
              </w:rPr>
            </w:pPr>
            <w:r w:rsidRPr="00DA32EC">
              <w:rPr>
                <w:rFonts w:ascii="Verdana" w:hAnsi="Verdana" w:cs="Arial"/>
                <w:sz w:val="16"/>
                <w:szCs w:val="16"/>
              </w:rPr>
              <w:lastRenderedPageBreak/>
              <w:t xml:space="preserve">‘[...] es necesario llamar la atención sobre la importancia que reviste asegurar el estricto cumplimiento de los acuerdos celebrados entre los accionistas de una </w:t>
            </w:r>
            <w:r w:rsidRPr="00DA32EC">
              <w:rPr>
                <w:rFonts w:ascii="Verdana" w:hAnsi="Verdana" w:cs="Arial"/>
                <w:sz w:val="16"/>
                <w:szCs w:val="16"/>
              </w:rPr>
              <w:lastRenderedPageBreak/>
              <w:t>compañía. Esta afirmación encuentra soporte no sólo en la ya analizada función económica que cumplen esta clase de convenios, sino también en la necesidad de hacer efectivos los postulados que rigen la celebración y ejecución de contratos en Colombia, particularmente en lo que respecta al artículo 1602 del Código Civil […]. […] la ejecución específica de un acuerdo de voto no presupone su oponibilidad ante la sociedad […] Para el caso de la ejecución judicial de acuerdos de voto, habrá que atenderse a lo previsto en nuestra legislación respecto de las obligaciones de hacer y de no hacer’.</w:t>
            </w:r>
          </w:p>
        </w:tc>
      </w:tr>
    </w:tbl>
    <w:p w14:paraId="1C4300DF" w14:textId="77777777" w:rsidR="00B46D2A" w:rsidRDefault="00B46D2A" w:rsidP="00B46D2A">
      <w:pPr>
        <w:rPr>
          <w:rFonts w:ascii="Verdana" w:hAnsi="Verdana" w:cs="Arial"/>
        </w:rPr>
      </w:pPr>
    </w:p>
    <w:p w14:paraId="3F2C459A" w14:textId="40A1DA5D" w:rsidR="0067341A" w:rsidRPr="00B46D2A" w:rsidRDefault="00D67832" w:rsidP="00B46D2A">
      <w:pPr>
        <w:rPr>
          <w:rFonts w:ascii="Verdana" w:hAnsi="Verdana" w:cs="Arial"/>
        </w:rPr>
      </w:pPr>
      <w:r w:rsidRPr="000742BC">
        <w:rPr>
          <w:rFonts w:ascii="Verdana" w:hAnsi="Verdana" w:cs="Arial"/>
          <w:b/>
          <w:bCs/>
          <w:spacing w:val="4"/>
          <w:sz w:val="22"/>
          <w:szCs w:val="22"/>
        </w:rPr>
        <w:t>5.2.</w:t>
      </w:r>
      <w:r w:rsidR="00C73378" w:rsidRPr="000742BC">
        <w:rPr>
          <w:rFonts w:ascii="Verdana" w:hAnsi="Verdana" w:cs="Arial"/>
          <w:b/>
          <w:bCs/>
          <w:spacing w:val="4"/>
          <w:sz w:val="22"/>
          <w:szCs w:val="22"/>
        </w:rPr>
        <w:t>8</w:t>
      </w:r>
      <w:r w:rsidRPr="000742BC">
        <w:rPr>
          <w:rFonts w:ascii="Verdana" w:hAnsi="Verdana" w:cs="Arial"/>
          <w:b/>
          <w:bCs/>
          <w:spacing w:val="4"/>
          <w:sz w:val="22"/>
          <w:szCs w:val="22"/>
        </w:rPr>
        <w:t xml:space="preserve"> </w:t>
      </w:r>
      <w:r w:rsidR="001A6E3C" w:rsidRPr="00B46D2A">
        <w:rPr>
          <w:rFonts w:ascii="Verdana" w:hAnsi="Verdana" w:cs="Arial"/>
          <w:b/>
          <w:bCs/>
          <w:spacing w:val="4"/>
          <w:sz w:val="22"/>
          <w:szCs w:val="22"/>
        </w:rPr>
        <w:t>IMPUGNACIÓN DE DECISIONES SOCIALES</w:t>
      </w:r>
    </w:p>
    <w:p w14:paraId="582D49BD" w14:textId="77777777" w:rsidR="00D67832" w:rsidRPr="00B46D2A" w:rsidRDefault="00D67832" w:rsidP="0067341A">
      <w:pPr>
        <w:spacing w:line="360" w:lineRule="auto"/>
        <w:jc w:val="both"/>
        <w:rPr>
          <w:rFonts w:ascii="Verdana" w:hAnsi="Verdana" w:cs="Arial"/>
          <w:sz w:val="22"/>
          <w:szCs w:val="22"/>
        </w:rPr>
      </w:pPr>
    </w:p>
    <w:p w14:paraId="2076F75F" w14:textId="7441DEA1" w:rsidR="0067341A" w:rsidRPr="000742BC" w:rsidRDefault="00D67832" w:rsidP="0067341A">
      <w:pPr>
        <w:spacing w:line="360" w:lineRule="auto"/>
        <w:jc w:val="both"/>
        <w:rPr>
          <w:rFonts w:ascii="Verdana" w:hAnsi="Verdana" w:cs="Arial"/>
          <w:b/>
          <w:bCs/>
          <w:spacing w:val="4"/>
          <w:sz w:val="22"/>
          <w:szCs w:val="22"/>
        </w:rPr>
      </w:pPr>
      <w:r w:rsidRPr="000742BC">
        <w:rPr>
          <w:rFonts w:ascii="Verdana" w:hAnsi="Verdana" w:cs="Arial"/>
          <w:b/>
          <w:bCs/>
          <w:spacing w:val="4"/>
          <w:sz w:val="22"/>
          <w:szCs w:val="22"/>
        </w:rPr>
        <w:t>5.2.</w:t>
      </w:r>
      <w:r w:rsidR="00C73378" w:rsidRPr="000742BC">
        <w:rPr>
          <w:rFonts w:ascii="Verdana" w:hAnsi="Verdana" w:cs="Arial"/>
          <w:b/>
          <w:bCs/>
          <w:spacing w:val="4"/>
          <w:sz w:val="22"/>
          <w:szCs w:val="22"/>
        </w:rPr>
        <w:t>8</w:t>
      </w:r>
      <w:r w:rsidRPr="000742BC">
        <w:rPr>
          <w:rFonts w:ascii="Verdana" w:hAnsi="Verdana" w:cs="Arial"/>
          <w:b/>
          <w:bCs/>
          <w:spacing w:val="4"/>
          <w:sz w:val="22"/>
          <w:szCs w:val="22"/>
        </w:rPr>
        <w:t xml:space="preserve">.1 </w:t>
      </w:r>
      <w:r w:rsidR="0067341A" w:rsidRPr="000742BC">
        <w:rPr>
          <w:rFonts w:ascii="Verdana" w:hAnsi="Verdana" w:cs="Arial"/>
          <w:b/>
          <w:bCs/>
          <w:spacing w:val="4"/>
          <w:sz w:val="22"/>
          <w:szCs w:val="22"/>
        </w:rPr>
        <w:t>Descripción general</w:t>
      </w:r>
    </w:p>
    <w:p w14:paraId="38D0B8FF" w14:textId="77777777" w:rsidR="00D67832" w:rsidRDefault="00D67832" w:rsidP="00D67832">
      <w:pPr>
        <w:spacing w:line="360" w:lineRule="auto"/>
        <w:jc w:val="both"/>
        <w:rPr>
          <w:rFonts w:ascii="Arial" w:hAnsi="Arial" w:cs="Arial"/>
        </w:rPr>
      </w:pPr>
    </w:p>
    <w:p w14:paraId="0EFCAEF6" w14:textId="5C72BD30" w:rsidR="0067341A" w:rsidRPr="00D67832" w:rsidRDefault="0067341A" w:rsidP="00D67832">
      <w:pPr>
        <w:spacing w:line="360" w:lineRule="auto"/>
        <w:jc w:val="both"/>
        <w:rPr>
          <w:rFonts w:ascii="Verdana" w:hAnsi="Verdana" w:cs="Arial"/>
          <w:sz w:val="22"/>
          <w:szCs w:val="22"/>
        </w:rPr>
      </w:pPr>
      <w:r w:rsidRPr="00D67832">
        <w:rPr>
          <w:rFonts w:ascii="Verdana" w:hAnsi="Verdana" w:cs="Arial"/>
          <w:sz w:val="22"/>
          <w:szCs w:val="22"/>
        </w:rPr>
        <w:t>Por virtud de esta acción, puede solicitarse la declaratoria de nulidad de determinaciones adoptadas por diferentes órganos sociales cuando no cuenten con el número de votos previsto en los estatutos o en la ley, o cuando se excedan los límites del contrato social, en los términos del artículo 190 del Código de Comercio. No obstante, por expresa disposición legal, la indemnización de los perjuicios correspondientes no podrá tramitarse ante esta Superintendencia.</w:t>
      </w:r>
    </w:p>
    <w:p w14:paraId="0ED0D6BB" w14:textId="77777777" w:rsidR="0067341A" w:rsidRPr="009D308D" w:rsidRDefault="0067341A" w:rsidP="0067341A">
      <w:pPr>
        <w:spacing w:line="360" w:lineRule="auto"/>
        <w:jc w:val="both"/>
        <w:rPr>
          <w:rFonts w:ascii="Arial" w:hAnsi="Arial" w:cs="Arial"/>
          <w:b/>
          <w:bCs/>
        </w:rPr>
      </w:pPr>
    </w:p>
    <w:p w14:paraId="7CCA82B8" w14:textId="009798F4" w:rsidR="0067341A" w:rsidRPr="00D67832" w:rsidRDefault="00D67832" w:rsidP="0067341A">
      <w:pPr>
        <w:spacing w:line="360" w:lineRule="auto"/>
        <w:jc w:val="both"/>
        <w:rPr>
          <w:rFonts w:ascii="Verdana" w:hAnsi="Verdana" w:cs="Arial"/>
          <w:b/>
          <w:bCs/>
          <w:sz w:val="22"/>
          <w:szCs w:val="22"/>
        </w:rPr>
      </w:pPr>
      <w:r w:rsidRPr="00D67832">
        <w:rPr>
          <w:rFonts w:ascii="Verdana" w:hAnsi="Verdana" w:cs="Arial"/>
          <w:b/>
          <w:bCs/>
          <w:sz w:val="22"/>
          <w:szCs w:val="22"/>
        </w:rPr>
        <w:t>5.2.</w:t>
      </w:r>
      <w:r w:rsidR="00C73378">
        <w:rPr>
          <w:rFonts w:ascii="Verdana" w:hAnsi="Verdana" w:cs="Arial"/>
          <w:b/>
          <w:bCs/>
          <w:sz w:val="22"/>
          <w:szCs w:val="22"/>
        </w:rPr>
        <w:t>8</w:t>
      </w:r>
      <w:r w:rsidRPr="00D67832">
        <w:rPr>
          <w:rFonts w:ascii="Verdana" w:hAnsi="Verdana" w:cs="Arial"/>
          <w:b/>
          <w:bCs/>
          <w:sz w:val="22"/>
          <w:szCs w:val="22"/>
        </w:rPr>
        <w:t xml:space="preserve">.2 </w:t>
      </w:r>
      <w:r w:rsidR="0067341A" w:rsidRPr="00D67832">
        <w:rPr>
          <w:rFonts w:ascii="Verdana" w:hAnsi="Verdana" w:cs="Arial"/>
          <w:b/>
          <w:bCs/>
          <w:sz w:val="22"/>
          <w:szCs w:val="22"/>
        </w:rPr>
        <w:t>Fundamento Jurídico</w:t>
      </w:r>
    </w:p>
    <w:p w14:paraId="3184A7AF" w14:textId="77777777" w:rsidR="00D67832" w:rsidRDefault="00D67832" w:rsidP="00D67832">
      <w:pPr>
        <w:spacing w:line="360" w:lineRule="auto"/>
        <w:jc w:val="both"/>
        <w:rPr>
          <w:rFonts w:ascii="Arial" w:hAnsi="Arial" w:cs="Arial"/>
          <w:i/>
          <w:iCs/>
        </w:rPr>
      </w:pPr>
    </w:p>
    <w:p w14:paraId="0005D54B" w14:textId="02311F26" w:rsidR="0067341A" w:rsidRDefault="0067341A" w:rsidP="00D67832">
      <w:pPr>
        <w:spacing w:line="360" w:lineRule="auto"/>
        <w:jc w:val="both"/>
        <w:rPr>
          <w:rFonts w:ascii="Verdana" w:hAnsi="Verdana" w:cs="Arial"/>
          <w:sz w:val="22"/>
          <w:szCs w:val="22"/>
        </w:rPr>
      </w:pPr>
      <w:r w:rsidRPr="00D67832">
        <w:rPr>
          <w:rFonts w:ascii="Verdana" w:hAnsi="Verdana" w:cs="Arial"/>
          <w:sz w:val="22"/>
          <w:szCs w:val="22"/>
        </w:rPr>
        <w:t>Código General del Proceso, artículo 24, numeral 5º, literal c). ‘La Superintendencia de Sociedades tendrá facultades jurisdiccionales en materia societaria, referidas a […] la impugnación de actos de asambleas, juntas directivas, juntas de socios o de cualquier otro órgano directivo de personas sometidas a su supervisión. Con todo, la acción indemnizatoria a que haya lugar por los posibles perjuicios que se deriven del acto o decisión que se declaren nulos será competencia exclusiva del Juez’.</w:t>
      </w:r>
    </w:p>
    <w:p w14:paraId="2A7D50C6" w14:textId="77777777" w:rsidR="001A6E3C" w:rsidRPr="00D67832" w:rsidRDefault="001A6E3C" w:rsidP="00D67832">
      <w:pPr>
        <w:spacing w:line="360" w:lineRule="auto"/>
        <w:jc w:val="both"/>
        <w:rPr>
          <w:rFonts w:ascii="Verdana" w:hAnsi="Verdana" w:cs="Arial"/>
          <w:sz w:val="22"/>
          <w:szCs w:val="22"/>
        </w:rPr>
      </w:pPr>
    </w:p>
    <w:p w14:paraId="7AD448E1" w14:textId="77777777" w:rsidR="0067341A" w:rsidRPr="00D67832" w:rsidRDefault="0067341A" w:rsidP="00D67832">
      <w:pPr>
        <w:spacing w:line="360" w:lineRule="auto"/>
        <w:jc w:val="both"/>
        <w:rPr>
          <w:rFonts w:ascii="Verdana" w:hAnsi="Verdana" w:cs="Arial"/>
          <w:sz w:val="22"/>
          <w:szCs w:val="22"/>
        </w:rPr>
      </w:pPr>
      <w:r w:rsidRPr="00D67832">
        <w:rPr>
          <w:rFonts w:ascii="Verdana" w:hAnsi="Verdana" w:cs="Arial"/>
          <w:sz w:val="22"/>
          <w:szCs w:val="22"/>
        </w:rPr>
        <w:t xml:space="preserve">Código de Comercio, artículo 190. ‘Las decisiones tomadas en una reunión celebrada en contravención a lo prescrito en el artículo 186 serán ineficaces; las que se adopten sin el número de votos previstos en los estatutos o en las leyes, o excediendo los límites del contrato social, serán absolutamente nulas; y las que no tengan carácter general, </w:t>
      </w:r>
      <w:r w:rsidRPr="00D67832">
        <w:rPr>
          <w:rFonts w:ascii="Verdana" w:hAnsi="Verdana" w:cs="Arial"/>
          <w:sz w:val="22"/>
          <w:szCs w:val="22"/>
        </w:rPr>
        <w:lastRenderedPageBreak/>
        <w:t>conforme a lo previsto en el artículo 188, serán inoponibles a los socios ausentes o disidentes’.</w:t>
      </w:r>
    </w:p>
    <w:p w14:paraId="43EC0555" w14:textId="77777777" w:rsidR="00D67832" w:rsidRPr="009D308D" w:rsidRDefault="00D67832" w:rsidP="0067341A">
      <w:pPr>
        <w:spacing w:line="360" w:lineRule="auto"/>
        <w:jc w:val="both"/>
        <w:rPr>
          <w:rFonts w:ascii="Arial" w:hAnsi="Arial" w:cs="Arial"/>
        </w:rPr>
      </w:pPr>
    </w:p>
    <w:p w14:paraId="48708AF7" w14:textId="13D21928" w:rsidR="0067341A" w:rsidRDefault="00D67832" w:rsidP="0067341A">
      <w:pPr>
        <w:spacing w:line="360" w:lineRule="auto"/>
        <w:jc w:val="both"/>
        <w:rPr>
          <w:rFonts w:ascii="Verdana" w:hAnsi="Verdana" w:cs="Arial"/>
          <w:b/>
          <w:bCs/>
          <w:sz w:val="22"/>
          <w:szCs w:val="22"/>
        </w:rPr>
      </w:pPr>
      <w:r w:rsidRPr="00D67832">
        <w:rPr>
          <w:rFonts w:ascii="Verdana" w:hAnsi="Verdana" w:cs="Arial"/>
          <w:b/>
          <w:bCs/>
          <w:sz w:val="22"/>
          <w:szCs w:val="22"/>
        </w:rPr>
        <w:t>5.2.</w:t>
      </w:r>
      <w:r w:rsidR="00C73378">
        <w:rPr>
          <w:rFonts w:ascii="Verdana" w:hAnsi="Verdana" w:cs="Arial"/>
          <w:b/>
          <w:bCs/>
          <w:sz w:val="22"/>
          <w:szCs w:val="22"/>
        </w:rPr>
        <w:t>8</w:t>
      </w:r>
      <w:r w:rsidRPr="00D67832">
        <w:rPr>
          <w:rFonts w:ascii="Verdana" w:hAnsi="Verdana" w:cs="Arial"/>
          <w:b/>
          <w:bCs/>
          <w:sz w:val="22"/>
          <w:szCs w:val="22"/>
        </w:rPr>
        <w:t xml:space="preserve">.3 </w:t>
      </w:r>
      <w:r w:rsidR="0067341A" w:rsidRPr="00D67832">
        <w:rPr>
          <w:rFonts w:ascii="Verdana" w:hAnsi="Verdana" w:cs="Arial"/>
          <w:b/>
          <w:bCs/>
          <w:sz w:val="22"/>
          <w:szCs w:val="22"/>
        </w:rPr>
        <w:t>Trámite procesal</w:t>
      </w:r>
    </w:p>
    <w:p w14:paraId="77407FE5" w14:textId="77777777" w:rsidR="00D67832" w:rsidRDefault="00D67832" w:rsidP="00D67832">
      <w:pPr>
        <w:spacing w:line="360" w:lineRule="auto"/>
        <w:jc w:val="both"/>
        <w:rPr>
          <w:rFonts w:ascii="Verdana" w:hAnsi="Verdana" w:cs="Arial"/>
          <w:b/>
          <w:bCs/>
          <w:sz w:val="22"/>
          <w:szCs w:val="22"/>
        </w:rPr>
      </w:pPr>
    </w:p>
    <w:p w14:paraId="20900C3C" w14:textId="377DFC30" w:rsidR="0067341A" w:rsidRPr="001A6E3C" w:rsidRDefault="0067341A" w:rsidP="00D67832">
      <w:pPr>
        <w:spacing w:line="360" w:lineRule="auto"/>
        <w:jc w:val="both"/>
        <w:rPr>
          <w:rFonts w:ascii="Verdana" w:hAnsi="Verdana" w:cs="Arial"/>
          <w:sz w:val="22"/>
          <w:szCs w:val="22"/>
        </w:rPr>
      </w:pPr>
      <w:r w:rsidRPr="001A6E3C">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51321FDB" w14:textId="77777777" w:rsidR="0067341A" w:rsidRPr="009D308D" w:rsidRDefault="0067341A" w:rsidP="0067341A">
      <w:pPr>
        <w:spacing w:line="360" w:lineRule="auto"/>
        <w:jc w:val="both"/>
        <w:rPr>
          <w:rFonts w:ascii="Arial" w:hAnsi="Arial" w:cs="Arial"/>
        </w:rPr>
      </w:pPr>
    </w:p>
    <w:p w14:paraId="0AFCE808" w14:textId="0AD6A797" w:rsidR="0067341A" w:rsidRDefault="00D67832" w:rsidP="0067341A">
      <w:pPr>
        <w:spacing w:line="360" w:lineRule="auto"/>
        <w:jc w:val="both"/>
        <w:rPr>
          <w:rFonts w:ascii="Verdana" w:hAnsi="Verdana" w:cs="Arial"/>
          <w:b/>
          <w:bCs/>
          <w:sz w:val="22"/>
          <w:szCs w:val="22"/>
        </w:rPr>
      </w:pPr>
      <w:r w:rsidRPr="00D67832">
        <w:rPr>
          <w:rFonts w:ascii="Verdana" w:hAnsi="Verdana" w:cs="Arial"/>
          <w:b/>
          <w:bCs/>
          <w:sz w:val="22"/>
          <w:szCs w:val="22"/>
        </w:rPr>
        <w:t>5.2.</w:t>
      </w:r>
      <w:r w:rsidR="00C73378">
        <w:rPr>
          <w:rFonts w:ascii="Verdana" w:hAnsi="Verdana" w:cs="Arial"/>
          <w:b/>
          <w:bCs/>
          <w:sz w:val="22"/>
          <w:szCs w:val="22"/>
        </w:rPr>
        <w:t>8</w:t>
      </w:r>
      <w:r w:rsidRPr="00D67832">
        <w:rPr>
          <w:rFonts w:ascii="Verdana" w:hAnsi="Verdana" w:cs="Arial"/>
          <w:b/>
          <w:bCs/>
          <w:sz w:val="22"/>
          <w:szCs w:val="22"/>
        </w:rPr>
        <w:t xml:space="preserve">.4 </w:t>
      </w:r>
      <w:r w:rsidR="0067341A" w:rsidRPr="00D67832">
        <w:rPr>
          <w:rFonts w:ascii="Verdana" w:hAnsi="Verdana" w:cs="Arial"/>
          <w:b/>
          <w:bCs/>
          <w:sz w:val="22"/>
          <w:szCs w:val="22"/>
        </w:rPr>
        <w:t>Jurisprudencia</w:t>
      </w:r>
    </w:p>
    <w:p w14:paraId="0F59619E" w14:textId="77777777" w:rsidR="000742BC" w:rsidRPr="00D67832" w:rsidRDefault="000742BC" w:rsidP="0067341A">
      <w:pPr>
        <w:spacing w:line="360" w:lineRule="auto"/>
        <w:jc w:val="both"/>
        <w:rPr>
          <w:rFonts w:ascii="Verdana" w:hAnsi="Verdana" w:cs="Arial"/>
          <w:b/>
          <w:bCs/>
          <w:sz w:val="22"/>
          <w:szCs w:val="22"/>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09"/>
        <w:gridCol w:w="1327"/>
        <w:gridCol w:w="7093"/>
      </w:tblGrid>
      <w:tr w:rsidR="0067341A" w:rsidRPr="005D272D" w14:paraId="391677AF" w14:textId="77777777" w:rsidTr="00663F8C">
        <w:trPr>
          <w:tblHeader/>
        </w:trPr>
        <w:tc>
          <w:tcPr>
            <w:tcW w:w="628" w:type="pct"/>
            <w:shd w:val="clear" w:color="auto" w:fill="962D46"/>
          </w:tcPr>
          <w:p w14:paraId="235E3BB9" w14:textId="77777777" w:rsidR="0067341A" w:rsidRPr="00D67832" w:rsidRDefault="0067341A" w:rsidP="00DA378C">
            <w:pPr>
              <w:jc w:val="center"/>
              <w:rPr>
                <w:rFonts w:ascii="Verdana" w:hAnsi="Verdana" w:cs="Arial"/>
                <w:b/>
                <w:color w:val="FFFFFF"/>
                <w:sz w:val="20"/>
                <w:szCs w:val="20"/>
              </w:rPr>
            </w:pPr>
            <w:r w:rsidRPr="00D67832">
              <w:rPr>
                <w:rFonts w:ascii="Verdana" w:hAnsi="Verdana" w:cs="Arial"/>
                <w:b/>
                <w:color w:val="FFFFFF"/>
                <w:sz w:val="20"/>
                <w:szCs w:val="20"/>
              </w:rPr>
              <w:t>Caso</w:t>
            </w:r>
          </w:p>
        </w:tc>
        <w:tc>
          <w:tcPr>
            <w:tcW w:w="689" w:type="pct"/>
            <w:shd w:val="clear" w:color="auto" w:fill="962D46"/>
          </w:tcPr>
          <w:p w14:paraId="7125E040" w14:textId="77777777" w:rsidR="0067341A" w:rsidRPr="00D67832" w:rsidRDefault="0067341A" w:rsidP="00DA378C">
            <w:pPr>
              <w:jc w:val="center"/>
              <w:rPr>
                <w:rFonts w:ascii="Verdana" w:hAnsi="Verdana" w:cs="Arial"/>
                <w:b/>
                <w:color w:val="FFFFFF"/>
                <w:sz w:val="20"/>
                <w:szCs w:val="20"/>
              </w:rPr>
            </w:pPr>
            <w:r w:rsidRPr="00D67832">
              <w:rPr>
                <w:rFonts w:ascii="Verdana" w:hAnsi="Verdana" w:cs="Arial"/>
                <w:b/>
                <w:color w:val="FFFFFF"/>
                <w:sz w:val="20"/>
                <w:szCs w:val="20"/>
              </w:rPr>
              <w:t>Asunto</w:t>
            </w:r>
          </w:p>
        </w:tc>
        <w:tc>
          <w:tcPr>
            <w:tcW w:w="3684" w:type="pct"/>
            <w:shd w:val="clear" w:color="auto" w:fill="962D46"/>
          </w:tcPr>
          <w:p w14:paraId="5518F25B" w14:textId="77777777" w:rsidR="0067341A" w:rsidRPr="00D67832" w:rsidRDefault="0067341A" w:rsidP="00DA378C">
            <w:pPr>
              <w:jc w:val="center"/>
              <w:rPr>
                <w:rFonts w:ascii="Verdana" w:hAnsi="Verdana" w:cs="Arial"/>
                <w:b/>
                <w:color w:val="FFFFFF"/>
                <w:sz w:val="20"/>
                <w:szCs w:val="20"/>
              </w:rPr>
            </w:pPr>
            <w:r w:rsidRPr="00D67832">
              <w:rPr>
                <w:rFonts w:ascii="Verdana" w:hAnsi="Verdana" w:cs="Arial"/>
                <w:b/>
                <w:color w:val="FFFFFF"/>
                <w:sz w:val="20"/>
                <w:szCs w:val="20"/>
              </w:rPr>
              <w:t>Extracto</w:t>
            </w:r>
          </w:p>
        </w:tc>
      </w:tr>
      <w:tr w:rsidR="0067341A" w:rsidRPr="005D272D" w14:paraId="6B814D20" w14:textId="77777777" w:rsidTr="00D75ECF">
        <w:tc>
          <w:tcPr>
            <w:tcW w:w="628" w:type="pct"/>
            <w:shd w:val="clear" w:color="auto" w:fill="auto"/>
            <w:vAlign w:val="center"/>
          </w:tcPr>
          <w:p w14:paraId="2DFA3A42" w14:textId="77777777" w:rsidR="0067341A" w:rsidRPr="00D67832" w:rsidRDefault="0067341A" w:rsidP="00DA378C">
            <w:pPr>
              <w:jc w:val="center"/>
              <w:rPr>
                <w:rFonts w:ascii="Verdana" w:hAnsi="Verdana" w:cs="Arial"/>
                <w:sz w:val="16"/>
                <w:szCs w:val="16"/>
              </w:rPr>
            </w:pPr>
            <w:r w:rsidRPr="00D67832">
              <w:rPr>
                <w:rFonts w:ascii="Verdana" w:hAnsi="Verdana" w:cs="Arial"/>
                <w:sz w:val="16"/>
                <w:szCs w:val="16"/>
              </w:rPr>
              <w:t xml:space="preserve">María Alejandra Pulido Murillo contra Clínica </w:t>
            </w:r>
            <w:proofErr w:type="spellStart"/>
            <w:r w:rsidRPr="00D67832">
              <w:rPr>
                <w:rFonts w:ascii="Verdana" w:hAnsi="Verdana" w:cs="Arial"/>
                <w:sz w:val="16"/>
                <w:szCs w:val="16"/>
              </w:rPr>
              <w:t>Oftaláser</w:t>
            </w:r>
            <w:proofErr w:type="spellEnd"/>
            <w:r w:rsidRPr="00D67832">
              <w:rPr>
                <w:rFonts w:ascii="Verdana" w:hAnsi="Verdana" w:cs="Arial"/>
                <w:sz w:val="16"/>
                <w:szCs w:val="16"/>
              </w:rPr>
              <w:t xml:space="preserve"> S.A. en Liquidación</w:t>
            </w:r>
          </w:p>
        </w:tc>
        <w:tc>
          <w:tcPr>
            <w:tcW w:w="689" w:type="pct"/>
            <w:shd w:val="clear" w:color="auto" w:fill="auto"/>
            <w:vAlign w:val="center"/>
          </w:tcPr>
          <w:p w14:paraId="7399CCF7" w14:textId="77777777" w:rsidR="0067341A" w:rsidRPr="00D67832" w:rsidRDefault="0067341A" w:rsidP="00DA378C">
            <w:pPr>
              <w:jc w:val="center"/>
              <w:rPr>
                <w:rFonts w:ascii="Verdana" w:hAnsi="Verdana" w:cs="Arial"/>
                <w:sz w:val="16"/>
                <w:szCs w:val="16"/>
              </w:rPr>
            </w:pPr>
            <w:r w:rsidRPr="00D67832">
              <w:rPr>
                <w:rFonts w:ascii="Verdana" w:hAnsi="Verdana" w:cs="Arial"/>
                <w:sz w:val="16"/>
                <w:szCs w:val="16"/>
              </w:rPr>
              <w:t>Impugnación de decisiones sociales. Taxatividad de las causales de nulidad</w:t>
            </w:r>
          </w:p>
        </w:tc>
        <w:tc>
          <w:tcPr>
            <w:tcW w:w="3684" w:type="pct"/>
            <w:shd w:val="clear" w:color="auto" w:fill="auto"/>
          </w:tcPr>
          <w:p w14:paraId="6E591B82" w14:textId="77777777" w:rsidR="0067341A" w:rsidRPr="00D67832" w:rsidRDefault="0067341A" w:rsidP="00DA378C">
            <w:pPr>
              <w:jc w:val="both"/>
              <w:rPr>
                <w:rFonts w:ascii="Verdana" w:hAnsi="Verdana" w:cs="Arial"/>
                <w:sz w:val="16"/>
                <w:szCs w:val="16"/>
              </w:rPr>
            </w:pPr>
            <w:r w:rsidRPr="00D67832">
              <w:rPr>
                <w:rFonts w:ascii="Verdana" w:hAnsi="Verdana" w:cs="Arial"/>
                <w:sz w:val="16"/>
                <w:szCs w:val="16"/>
                <w:lang w:val="es-CO"/>
              </w:rPr>
              <w:t>‘Aunque el apoderado de la demandante ha sugerido que la violación de las normas que componen el régimen societario colombiano implica, necesariamente, una transgresión de los límites del contrato social, lo cierto es que las causales de nulidad son taxativas y, por lo tanto, no admiten interpretaciones extensivas como la señalada por el referido apoderado. En palabras de la Corte Suprema de Justicia, ‘nuestra legislación se ha inspirado siempre en el principio de que ningún acto puede declararse nulo si la nulidad no se halla formalmente consagrada en la ley, por el carácter de sanción que aquella tiene’. Así, pues, pese a que las circunstancias narradas en la demanda podrían dar lugar a eventuales irregularidades en la liquidación voluntaria de la sociedad demandada o, incluso, comprometer la responsabilidad del liquidador de la compañía, no por ello encajan dentro de los supuestos fácticos contemplados en los artículos 190 y 191 del Código de Comercio.’</w:t>
            </w:r>
          </w:p>
        </w:tc>
      </w:tr>
      <w:tr w:rsidR="0067341A" w:rsidRPr="005D272D" w14:paraId="1EC557E2" w14:textId="77777777" w:rsidTr="00C52FAB">
        <w:tc>
          <w:tcPr>
            <w:tcW w:w="628" w:type="pct"/>
            <w:shd w:val="clear" w:color="auto" w:fill="F2DCDB"/>
            <w:vAlign w:val="center"/>
          </w:tcPr>
          <w:p w14:paraId="5A78AB0D" w14:textId="77777777" w:rsidR="0067341A" w:rsidRPr="00D67832" w:rsidRDefault="0067341A" w:rsidP="00DA378C">
            <w:pPr>
              <w:jc w:val="center"/>
              <w:rPr>
                <w:rFonts w:ascii="Verdana" w:hAnsi="Verdana" w:cs="Arial"/>
                <w:sz w:val="16"/>
                <w:szCs w:val="16"/>
              </w:rPr>
            </w:pPr>
            <w:r w:rsidRPr="00D67832">
              <w:rPr>
                <w:rFonts w:ascii="Verdana" w:hAnsi="Verdana" w:cs="Arial"/>
                <w:sz w:val="16"/>
                <w:szCs w:val="16"/>
              </w:rPr>
              <w:t>María del Rosario Cabal Azcárate contra Inversiones Cabal Azcárate y Cía. S. en C.</w:t>
            </w:r>
          </w:p>
        </w:tc>
        <w:tc>
          <w:tcPr>
            <w:tcW w:w="689" w:type="pct"/>
            <w:shd w:val="clear" w:color="auto" w:fill="F2DCDB"/>
            <w:vAlign w:val="center"/>
          </w:tcPr>
          <w:p w14:paraId="6246F740" w14:textId="77777777" w:rsidR="0067341A" w:rsidRPr="00D67832" w:rsidRDefault="0067341A" w:rsidP="00DA378C">
            <w:pPr>
              <w:jc w:val="center"/>
              <w:rPr>
                <w:rFonts w:ascii="Verdana" w:hAnsi="Verdana" w:cs="Arial"/>
                <w:sz w:val="16"/>
                <w:szCs w:val="16"/>
              </w:rPr>
            </w:pPr>
            <w:r w:rsidRPr="00D67832">
              <w:rPr>
                <w:rFonts w:ascii="Verdana" w:hAnsi="Verdana" w:cs="Arial"/>
                <w:sz w:val="16"/>
                <w:szCs w:val="16"/>
              </w:rPr>
              <w:t>Controversias sobre la validez de diversas decisiones sociales. Prohibición del artículo 185 del Código de Comercio</w:t>
            </w:r>
          </w:p>
        </w:tc>
        <w:tc>
          <w:tcPr>
            <w:tcW w:w="3684" w:type="pct"/>
            <w:shd w:val="clear" w:color="auto" w:fill="F2DCDB"/>
          </w:tcPr>
          <w:p w14:paraId="578830CF" w14:textId="77777777" w:rsidR="0067341A" w:rsidRPr="00D67832" w:rsidRDefault="0067341A" w:rsidP="00DA378C">
            <w:pPr>
              <w:jc w:val="both"/>
              <w:rPr>
                <w:rFonts w:ascii="Verdana" w:hAnsi="Verdana" w:cs="Arial"/>
                <w:sz w:val="16"/>
                <w:szCs w:val="16"/>
              </w:rPr>
            </w:pPr>
            <w:r w:rsidRPr="00D67832">
              <w:rPr>
                <w:rFonts w:ascii="Verdana" w:hAnsi="Verdana" w:cs="Arial"/>
                <w:sz w:val="16"/>
                <w:szCs w:val="16"/>
              </w:rPr>
              <w:t>‘En este punto debe decirse que el artículo 185 del Código de Comercio contiene una prohibición por cuya virtud los administradores de una compañía no pueden ‘votar los balances y cuentas de fin de ejercicio’. Como lo ha explicado este Despacho en otras oportunidades, la restricción en comento recae, exclusivamente, sobre los administradores que estén en ejercicio de sus cargos. Es decir que la aludida prohibición tan sólo podrá hacerse efectiva respecto de aquellos funcionarios suplentes que, dentro del período para el cual fueron designados, hayan ejercido labores de administración en reemplazo de las personas que ocupan los cargos principales. [...] Así las cosas, el Despacho debe concluir que la demandante no demostró que la señora Cabal haya representado a la compañía en sus relaciones con terceros o ejercido, de alguna otra manera, el cargo de representante legal de Inversiones Cabal Azcárate y Cía. S. en C. Por virtud de las anteriores consideraciones, el Despacho debe concluir que la señora María Catalina Cabal no estaba sujeta a la prohibición del artículo 185 del Código de Comercio al momento de participar en la reunión de la junta de socios de Inversiones Cabal Azcárate y Cía. S. en C. celebrada el 31 de marzo de 2014. En consecuencia, se desestimarán las pretensiones formuladas en la demanda’.</w:t>
            </w:r>
          </w:p>
        </w:tc>
      </w:tr>
    </w:tbl>
    <w:p w14:paraId="704AD6D8" w14:textId="77777777" w:rsidR="00D75ECF" w:rsidRDefault="00D75ECF" w:rsidP="0067341A">
      <w:pPr>
        <w:spacing w:line="360" w:lineRule="auto"/>
        <w:jc w:val="both"/>
        <w:rPr>
          <w:rFonts w:ascii="Arial" w:hAnsi="Arial" w:cs="Arial"/>
          <w:b/>
          <w:bCs/>
          <w:smallCaps/>
          <w:spacing w:val="4"/>
        </w:rPr>
      </w:pPr>
    </w:p>
    <w:p w14:paraId="248D3F97" w14:textId="77777777" w:rsidR="00D75ECF" w:rsidRDefault="00D75ECF" w:rsidP="0067341A">
      <w:pPr>
        <w:spacing w:line="360" w:lineRule="auto"/>
        <w:jc w:val="both"/>
        <w:rPr>
          <w:rFonts w:ascii="Arial" w:hAnsi="Arial" w:cs="Arial"/>
          <w:b/>
          <w:bCs/>
          <w:smallCaps/>
          <w:spacing w:val="4"/>
        </w:rPr>
      </w:pPr>
    </w:p>
    <w:p w14:paraId="67FA0231" w14:textId="77777777" w:rsidR="00D75ECF" w:rsidRDefault="00D75ECF" w:rsidP="0067341A">
      <w:pPr>
        <w:spacing w:line="360" w:lineRule="auto"/>
        <w:jc w:val="both"/>
        <w:rPr>
          <w:rFonts w:ascii="Arial" w:hAnsi="Arial" w:cs="Arial"/>
          <w:b/>
          <w:bCs/>
          <w:smallCaps/>
          <w:spacing w:val="4"/>
        </w:rPr>
      </w:pPr>
    </w:p>
    <w:p w14:paraId="4620A104" w14:textId="149E7A61" w:rsidR="00100CB6" w:rsidRPr="00C56459" w:rsidRDefault="00B73FD3" w:rsidP="00100CB6">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lastRenderedPageBreak/>
        <w:t xml:space="preserve">5.2.9 </w:t>
      </w:r>
      <w:r w:rsidR="001A6E3C" w:rsidRPr="00C56459">
        <w:rPr>
          <w:rFonts w:ascii="Verdana" w:hAnsi="Verdana" w:cs="Arial"/>
          <w:b/>
          <w:bCs/>
          <w:spacing w:val="4"/>
          <w:sz w:val="22"/>
          <w:szCs w:val="22"/>
        </w:rPr>
        <w:t>RECONOCIMIENTO DE PRESUPUESTOS DE INEFICACIA</w:t>
      </w:r>
    </w:p>
    <w:p w14:paraId="40BDD110" w14:textId="77777777" w:rsidR="00375D0C" w:rsidRPr="001A6E3C" w:rsidRDefault="00375D0C" w:rsidP="00100CB6">
      <w:pPr>
        <w:spacing w:line="360" w:lineRule="auto"/>
        <w:jc w:val="both"/>
        <w:rPr>
          <w:rFonts w:ascii="Verdana" w:hAnsi="Verdana" w:cs="Arial"/>
          <w:b/>
          <w:bCs/>
          <w:spacing w:val="4"/>
          <w:sz w:val="22"/>
          <w:szCs w:val="22"/>
        </w:rPr>
      </w:pPr>
    </w:p>
    <w:p w14:paraId="6CCDE1D4" w14:textId="527A8143" w:rsidR="00100CB6" w:rsidRDefault="00E91ABB" w:rsidP="00100CB6">
      <w:pPr>
        <w:spacing w:line="360" w:lineRule="auto"/>
        <w:jc w:val="both"/>
        <w:rPr>
          <w:rFonts w:ascii="Verdana" w:hAnsi="Verdana" w:cs="Arial"/>
          <w:b/>
          <w:bCs/>
          <w:spacing w:val="4"/>
          <w:sz w:val="22"/>
          <w:szCs w:val="22"/>
        </w:rPr>
      </w:pPr>
      <w:r w:rsidRPr="00247F7A">
        <w:rPr>
          <w:rFonts w:ascii="Verdana" w:hAnsi="Verdana" w:cs="Arial"/>
          <w:b/>
          <w:bCs/>
          <w:spacing w:val="4"/>
          <w:sz w:val="22"/>
          <w:szCs w:val="22"/>
        </w:rPr>
        <w:t>5.</w:t>
      </w:r>
      <w:r w:rsidR="00375D0C" w:rsidRPr="00247F7A">
        <w:rPr>
          <w:rFonts w:ascii="Verdana" w:hAnsi="Verdana" w:cs="Arial"/>
          <w:b/>
          <w:bCs/>
          <w:spacing w:val="4"/>
          <w:sz w:val="22"/>
          <w:szCs w:val="22"/>
        </w:rPr>
        <w:t xml:space="preserve">2.9.1 </w:t>
      </w:r>
      <w:r w:rsidR="00100CB6" w:rsidRPr="00247F7A">
        <w:rPr>
          <w:rFonts w:ascii="Verdana" w:hAnsi="Verdana" w:cs="Arial"/>
          <w:b/>
          <w:bCs/>
          <w:spacing w:val="4"/>
          <w:sz w:val="22"/>
          <w:szCs w:val="22"/>
        </w:rPr>
        <w:t>Descripción general</w:t>
      </w:r>
    </w:p>
    <w:p w14:paraId="16AA6B62" w14:textId="77777777" w:rsidR="00247F7A" w:rsidRDefault="00247F7A" w:rsidP="00247F7A">
      <w:pPr>
        <w:spacing w:line="360" w:lineRule="auto"/>
        <w:jc w:val="both"/>
        <w:rPr>
          <w:rFonts w:ascii="Verdana" w:hAnsi="Verdana" w:cs="Arial"/>
          <w:b/>
          <w:bCs/>
          <w:spacing w:val="4"/>
          <w:sz w:val="22"/>
          <w:szCs w:val="22"/>
        </w:rPr>
      </w:pPr>
    </w:p>
    <w:p w14:paraId="315D77E1" w14:textId="55220F1B" w:rsidR="00100CB6" w:rsidRPr="00247F7A" w:rsidRDefault="00100CB6" w:rsidP="00247F7A">
      <w:pPr>
        <w:spacing w:line="360" w:lineRule="auto"/>
        <w:jc w:val="both"/>
        <w:rPr>
          <w:rFonts w:ascii="Verdana" w:hAnsi="Verdana" w:cs="Arial"/>
          <w:sz w:val="22"/>
          <w:szCs w:val="22"/>
          <w:lang w:val="es-CO"/>
        </w:rPr>
      </w:pPr>
      <w:r w:rsidRPr="00247F7A">
        <w:rPr>
          <w:rFonts w:ascii="Verdana" w:hAnsi="Verdana" w:cs="Arial"/>
          <w:sz w:val="22"/>
          <w:szCs w:val="22"/>
          <w:lang w:val="es-CO"/>
        </w:rPr>
        <w:t>La Superintendencia de Sociedades cuenta con facultades jurisdiccionales para pronunciarse acerca de la configuración de los presupuestos que dan lugar a la sanción de ineficacia, de conformidad con lo previsto en el artículo 133 de la Ley 446 de 1998. Tales presupuestos pueden verificarse respecto de decisiones proferidas por el máximo órgano social, según se ha dispuesto en los artículos 186 y 190 del Código de Comercio, o respecto de otro tipo de actos jurídicos cuando así se señale expresamente en reglas de contenido societario. Así, corresponde a este Despacho declarar configurados tales presupuestos, pues la sanción de ineficacia, por sí misma, opera de pleno derecho.</w:t>
      </w:r>
    </w:p>
    <w:p w14:paraId="77A41DDF" w14:textId="77777777" w:rsidR="00247F7A" w:rsidRPr="00247F7A" w:rsidRDefault="00247F7A" w:rsidP="00247F7A">
      <w:pPr>
        <w:spacing w:line="360" w:lineRule="auto"/>
        <w:jc w:val="both"/>
        <w:rPr>
          <w:rFonts w:ascii="Verdana" w:hAnsi="Verdana" w:cs="Arial"/>
          <w:sz w:val="22"/>
          <w:szCs w:val="22"/>
          <w:lang w:val="es-CO"/>
        </w:rPr>
      </w:pPr>
    </w:p>
    <w:p w14:paraId="69CCC1EF" w14:textId="22E649A6" w:rsidR="00100CB6" w:rsidRPr="00247F7A" w:rsidRDefault="00100CB6" w:rsidP="00247F7A">
      <w:pPr>
        <w:spacing w:line="360" w:lineRule="auto"/>
        <w:jc w:val="both"/>
        <w:rPr>
          <w:rFonts w:ascii="Verdana" w:hAnsi="Verdana" w:cs="Arial"/>
          <w:sz w:val="22"/>
          <w:szCs w:val="22"/>
          <w:lang w:val="es-CO"/>
        </w:rPr>
      </w:pPr>
      <w:r w:rsidRPr="00247F7A">
        <w:rPr>
          <w:rFonts w:ascii="Verdana" w:hAnsi="Verdana" w:cs="Arial"/>
          <w:sz w:val="22"/>
          <w:szCs w:val="22"/>
          <w:lang w:val="es-CO"/>
        </w:rPr>
        <w:t>Por otra parte, según lo previsto en el artículo 43 de la Ley 1429 de 2010, esta acción también podrá presentarse ante la Superintendencia de Sociedades cuando el presupuesto de ineficacia debatido en el proceso sea la realización de actos por parte de compañías controladas por esta entidad, sin contar con la autorización requerida para el efecto.</w:t>
      </w:r>
    </w:p>
    <w:p w14:paraId="6F38EDCD" w14:textId="77777777" w:rsidR="00100CB6" w:rsidRPr="009D308D" w:rsidRDefault="00100CB6" w:rsidP="00100CB6">
      <w:pPr>
        <w:spacing w:line="360" w:lineRule="auto"/>
        <w:jc w:val="both"/>
        <w:rPr>
          <w:rFonts w:ascii="Arial" w:hAnsi="Arial" w:cs="Arial"/>
        </w:rPr>
      </w:pPr>
    </w:p>
    <w:p w14:paraId="7607B49A" w14:textId="26309051" w:rsidR="00100CB6" w:rsidRDefault="00247F7A" w:rsidP="00100CB6">
      <w:pPr>
        <w:spacing w:line="360" w:lineRule="auto"/>
        <w:jc w:val="both"/>
        <w:rPr>
          <w:rFonts w:ascii="Verdana" w:hAnsi="Verdana" w:cs="Arial"/>
          <w:b/>
          <w:bCs/>
          <w:sz w:val="22"/>
          <w:szCs w:val="22"/>
        </w:rPr>
      </w:pPr>
      <w:r w:rsidRPr="00247F7A">
        <w:rPr>
          <w:rFonts w:ascii="Verdana" w:hAnsi="Verdana" w:cs="Arial"/>
          <w:b/>
          <w:bCs/>
          <w:sz w:val="22"/>
          <w:szCs w:val="22"/>
        </w:rPr>
        <w:t xml:space="preserve">5.2.9.2 </w:t>
      </w:r>
      <w:r w:rsidR="00100CB6" w:rsidRPr="00247F7A">
        <w:rPr>
          <w:rFonts w:ascii="Verdana" w:hAnsi="Verdana" w:cs="Arial"/>
          <w:b/>
          <w:bCs/>
          <w:sz w:val="22"/>
          <w:szCs w:val="22"/>
        </w:rPr>
        <w:t>Fundamento Jurídico</w:t>
      </w:r>
    </w:p>
    <w:p w14:paraId="6B196A30" w14:textId="77777777" w:rsidR="00247F7A" w:rsidRPr="00247F7A" w:rsidRDefault="00247F7A" w:rsidP="00100CB6">
      <w:pPr>
        <w:spacing w:line="360" w:lineRule="auto"/>
        <w:jc w:val="both"/>
        <w:rPr>
          <w:rFonts w:ascii="Verdana" w:hAnsi="Verdana" w:cs="Arial"/>
          <w:b/>
          <w:bCs/>
          <w:sz w:val="22"/>
          <w:szCs w:val="22"/>
        </w:rPr>
      </w:pPr>
    </w:p>
    <w:p w14:paraId="20A85DC6" w14:textId="77777777" w:rsidR="00100CB6" w:rsidRPr="009D308D" w:rsidRDefault="00100CB6" w:rsidP="00247F7A">
      <w:pPr>
        <w:spacing w:line="360" w:lineRule="auto"/>
        <w:jc w:val="both"/>
        <w:rPr>
          <w:rFonts w:ascii="Arial" w:hAnsi="Arial" w:cs="Arial"/>
        </w:rPr>
      </w:pPr>
      <w:r w:rsidRPr="00247F7A">
        <w:rPr>
          <w:rFonts w:ascii="Verdana" w:hAnsi="Verdana" w:cs="Arial"/>
          <w:sz w:val="22"/>
          <w:szCs w:val="22"/>
        </w:rPr>
        <w:t>Ley 446 de 1998, artículo 133. ‘Sin perjuicio de lo previsto en el artículo 897 del Código de Comercio, las Superintendencias Bancaria, de Sociedades o de Valores podrán de oficio efectuar el reconocimiento de los presupuestos de ineficacia previstos en el Libro Segundo del Código de Comercio. Así mismo, a falta de acuerdo de las partes sobre la ocurrencia de dichas causales de ineficacia, podrá una de ellas solicitar a la respectiva Superintendencia su reconocimiento. En relación con las sociedades no vigiladas</w:t>
      </w:r>
      <w:r w:rsidRPr="009D308D">
        <w:rPr>
          <w:rFonts w:ascii="Arial" w:hAnsi="Arial" w:cs="Arial"/>
        </w:rPr>
        <w:t xml:space="preserve"> </w:t>
      </w:r>
      <w:r w:rsidRPr="00247F7A">
        <w:rPr>
          <w:rFonts w:ascii="Verdana" w:hAnsi="Verdana" w:cs="Arial"/>
          <w:sz w:val="22"/>
          <w:szCs w:val="22"/>
        </w:rPr>
        <w:t>permanentemente por las referidas entidades, tal función será asumida por la Superintendencia de Sociedades’.</w:t>
      </w:r>
    </w:p>
    <w:p w14:paraId="76224912" w14:textId="77777777" w:rsidR="00100CB6" w:rsidRPr="00D451F7" w:rsidRDefault="00100CB6" w:rsidP="00D451F7">
      <w:pPr>
        <w:spacing w:line="360" w:lineRule="auto"/>
        <w:jc w:val="both"/>
        <w:rPr>
          <w:rFonts w:ascii="Verdana" w:hAnsi="Verdana" w:cs="Arial"/>
          <w:sz w:val="22"/>
          <w:szCs w:val="22"/>
        </w:rPr>
      </w:pPr>
      <w:r w:rsidRPr="00D451F7">
        <w:rPr>
          <w:rFonts w:ascii="Verdana" w:hAnsi="Verdana" w:cs="Arial"/>
          <w:sz w:val="22"/>
          <w:szCs w:val="22"/>
        </w:rPr>
        <w:lastRenderedPageBreak/>
        <w:t>Ley 1429 de 2010, artículo 43. ‘[…] A partir del sometimiento a control, se prohíbe a los administradores y empleados la constitución de garantías que recaigan sobre bienes propios de la sociedad, enajenaciones de bienes u operaciones que no correspondan al giro ordinario de los negocios sin autorización previa de la Superintendencia de Sociedades. Cualquier acto celebrado o ejecutado en contravención a lo dispuesto en el presente artículo será ineficaz de pleno derecho. El reconocimiento de los presupuestos de ineficacia previstos en este artículo será de competencia de la Superintendencia de Sociedades de oficio en ejercicio de funciones administrativas. Así mismo, las partes podrán solicitar a la Superintendencia su reconocimiento a través del proceso verbal sumario’.</w:t>
      </w:r>
    </w:p>
    <w:p w14:paraId="1C5A3712" w14:textId="77777777" w:rsidR="00100CB6" w:rsidRPr="00D451F7" w:rsidRDefault="00100CB6" w:rsidP="00100CB6">
      <w:pPr>
        <w:spacing w:line="360" w:lineRule="auto"/>
        <w:jc w:val="both"/>
        <w:rPr>
          <w:rFonts w:ascii="Verdana" w:hAnsi="Verdana" w:cs="Arial"/>
          <w:b/>
          <w:bCs/>
          <w:lang w:val="es-CO"/>
        </w:rPr>
      </w:pPr>
    </w:p>
    <w:p w14:paraId="4BFF6702" w14:textId="14569C9E" w:rsidR="00100CB6" w:rsidRPr="001A6E3C" w:rsidRDefault="00D451F7" w:rsidP="00100CB6">
      <w:pPr>
        <w:spacing w:line="360" w:lineRule="auto"/>
        <w:jc w:val="both"/>
        <w:rPr>
          <w:rFonts w:ascii="Verdana" w:hAnsi="Verdana" w:cs="Arial"/>
          <w:b/>
          <w:bCs/>
          <w:sz w:val="22"/>
          <w:szCs w:val="22"/>
        </w:rPr>
      </w:pPr>
      <w:r w:rsidRPr="001A6E3C">
        <w:rPr>
          <w:rFonts w:ascii="Verdana" w:hAnsi="Verdana" w:cs="Arial"/>
          <w:b/>
          <w:bCs/>
          <w:sz w:val="22"/>
          <w:szCs w:val="22"/>
        </w:rPr>
        <w:t xml:space="preserve">5.2.9.3 </w:t>
      </w:r>
      <w:r w:rsidR="00100CB6" w:rsidRPr="001A6E3C">
        <w:rPr>
          <w:rFonts w:ascii="Verdana" w:hAnsi="Verdana" w:cs="Arial"/>
          <w:b/>
          <w:bCs/>
          <w:sz w:val="22"/>
          <w:szCs w:val="22"/>
        </w:rPr>
        <w:t>Trámite procesal</w:t>
      </w:r>
    </w:p>
    <w:p w14:paraId="2B9AF5FF" w14:textId="77777777" w:rsidR="00D451F7" w:rsidRPr="001A6E3C" w:rsidRDefault="00D451F7" w:rsidP="00D451F7">
      <w:pPr>
        <w:spacing w:line="360" w:lineRule="auto"/>
        <w:jc w:val="both"/>
        <w:rPr>
          <w:rFonts w:ascii="Arial" w:hAnsi="Arial" w:cs="Arial"/>
          <w:sz w:val="22"/>
          <w:szCs w:val="22"/>
        </w:rPr>
      </w:pPr>
    </w:p>
    <w:p w14:paraId="201F9DC8" w14:textId="59C3121E" w:rsidR="00100CB6" w:rsidRPr="00D451F7" w:rsidRDefault="00100CB6" w:rsidP="00D451F7">
      <w:pPr>
        <w:spacing w:line="360" w:lineRule="auto"/>
        <w:jc w:val="both"/>
        <w:rPr>
          <w:rFonts w:ascii="Verdana" w:hAnsi="Verdana" w:cs="Arial"/>
          <w:sz w:val="22"/>
          <w:szCs w:val="22"/>
        </w:rPr>
      </w:pPr>
      <w:r w:rsidRPr="00D451F7">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p>
    <w:p w14:paraId="77F4C444" w14:textId="77777777" w:rsidR="00100CB6" w:rsidRPr="009D308D" w:rsidRDefault="00100CB6" w:rsidP="00100CB6">
      <w:pPr>
        <w:spacing w:line="360" w:lineRule="auto"/>
        <w:jc w:val="both"/>
        <w:rPr>
          <w:rFonts w:ascii="Arial" w:hAnsi="Arial" w:cs="Arial"/>
        </w:rPr>
      </w:pPr>
    </w:p>
    <w:p w14:paraId="34C25645" w14:textId="24FBE070" w:rsidR="00100CB6" w:rsidRDefault="00D451F7" w:rsidP="00100CB6">
      <w:pPr>
        <w:spacing w:line="360" w:lineRule="auto"/>
        <w:jc w:val="both"/>
        <w:rPr>
          <w:rFonts w:ascii="Verdana" w:hAnsi="Verdana" w:cs="Arial"/>
          <w:b/>
          <w:bCs/>
          <w:sz w:val="22"/>
          <w:szCs w:val="22"/>
        </w:rPr>
      </w:pPr>
      <w:r w:rsidRPr="002D6BD5">
        <w:rPr>
          <w:rFonts w:ascii="Verdana" w:hAnsi="Verdana" w:cs="Arial"/>
          <w:b/>
          <w:bCs/>
          <w:sz w:val="22"/>
          <w:szCs w:val="22"/>
        </w:rPr>
        <w:t xml:space="preserve">5.2.9.5 </w:t>
      </w:r>
      <w:r w:rsidR="00100CB6" w:rsidRPr="002D6BD5">
        <w:rPr>
          <w:rFonts w:ascii="Verdana" w:hAnsi="Verdana" w:cs="Arial"/>
          <w:b/>
          <w:bCs/>
          <w:sz w:val="22"/>
          <w:szCs w:val="22"/>
        </w:rPr>
        <w:t>Jurisprudencia</w:t>
      </w:r>
    </w:p>
    <w:p w14:paraId="015F0456" w14:textId="77777777" w:rsidR="000742BC" w:rsidRPr="002D6BD5" w:rsidRDefault="000742BC" w:rsidP="00100CB6">
      <w:pPr>
        <w:spacing w:line="360" w:lineRule="auto"/>
        <w:jc w:val="both"/>
        <w:rPr>
          <w:rFonts w:ascii="Verdana" w:hAnsi="Verdana" w:cs="Arial"/>
          <w:b/>
          <w:bCs/>
          <w:sz w:val="22"/>
          <w:szCs w:val="22"/>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11"/>
        <w:gridCol w:w="1284"/>
        <w:gridCol w:w="6834"/>
      </w:tblGrid>
      <w:tr w:rsidR="00100CB6" w:rsidRPr="005D272D" w14:paraId="4C2AB09F" w14:textId="77777777" w:rsidTr="00663F8C">
        <w:trPr>
          <w:tblHeader/>
        </w:trPr>
        <w:tc>
          <w:tcPr>
            <w:tcW w:w="672" w:type="pct"/>
            <w:shd w:val="clear" w:color="auto" w:fill="962D46"/>
          </w:tcPr>
          <w:p w14:paraId="1E74610C" w14:textId="77777777" w:rsidR="00100CB6" w:rsidRPr="002D6BD5" w:rsidRDefault="00100CB6" w:rsidP="00DA378C">
            <w:pPr>
              <w:jc w:val="center"/>
              <w:rPr>
                <w:rFonts w:ascii="Verdana" w:hAnsi="Verdana" w:cs="Arial"/>
                <w:b/>
                <w:color w:val="FFFFFF"/>
                <w:sz w:val="20"/>
                <w:szCs w:val="20"/>
              </w:rPr>
            </w:pPr>
            <w:r w:rsidRPr="002D6BD5">
              <w:rPr>
                <w:rFonts w:ascii="Verdana" w:hAnsi="Verdana" w:cs="Arial"/>
                <w:b/>
                <w:color w:val="FFFFFF"/>
                <w:sz w:val="20"/>
                <w:szCs w:val="20"/>
              </w:rPr>
              <w:t>Caso</w:t>
            </w:r>
          </w:p>
        </w:tc>
        <w:tc>
          <w:tcPr>
            <w:tcW w:w="671" w:type="pct"/>
            <w:shd w:val="clear" w:color="auto" w:fill="962D46"/>
          </w:tcPr>
          <w:p w14:paraId="71BBC3E0" w14:textId="77777777" w:rsidR="00100CB6" w:rsidRPr="002D6BD5" w:rsidRDefault="00100CB6" w:rsidP="00DA378C">
            <w:pPr>
              <w:jc w:val="center"/>
              <w:rPr>
                <w:rFonts w:ascii="Verdana" w:hAnsi="Verdana" w:cs="Arial"/>
                <w:b/>
                <w:color w:val="FFFFFF"/>
                <w:sz w:val="20"/>
                <w:szCs w:val="20"/>
              </w:rPr>
            </w:pPr>
            <w:r w:rsidRPr="002D6BD5">
              <w:rPr>
                <w:rFonts w:ascii="Verdana" w:hAnsi="Verdana" w:cs="Arial"/>
                <w:b/>
                <w:color w:val="FFFFFF"/>
                <w:sz w:val="20"/>
                <w:szCs w:val="20"/>
              </w:rPr>
              <w:t>Asunto</w:t>
            </w:r>
          </w:p>
        </w:tc>
        <w:tc>
          <w:tcPr>
            <w:tcW w:w="3658" w:type="pct"/>
            <w:shd w:val="clear" w:color="auto" w:fill="962D46"/>
          </w:tcPr>
          <w:p w14:paraId="4B566342" w14:textId="77777777" w:rsidR="00100CB6" w:rsidRPr="002D6BD5" w:rsidRDefault="00100CB6" w:rsidP="00DA378C">
            <w:pPr>
              <w:jc w:val="center"/>
              <w:rPr>
                <w:rFonts w:ascii="Verdana" w:hAnsi="Verdana" w:cs="Arial"/>
                <w:b/>
                <w:color w:val="FFFFFF"/>
                <w:sz w:val="20"/>
                <w:szCs w:val="20"/>
              </w:rPr>
            </w:pPr>
            <w:r w:rsidRPr="002D6BD5">
              <w:rPr>
                <w:rFonts w:ascii="Verdana" w:hAnsi="Verdana" w:cs="Arial"/>
                <w:b/>
                <w:color w:val="FFFFFF"/>
                <w:sz w:val="20"/>
                <w:szCs w:val="20"/>
              </w:rPr>
              <w:t>Extracto</w:t>
            </w:r>
          </w:p>
        </w:tc>
      </w:tr>
      <w:tr w:rsidR="00100CB6" w:rsidRPr="005D272D" w14:paraId="2562E7AA" w14:textId="77777777" w:rsidTr="00DA378C">
        <w:tc>
          <w:tcPr>
            <w:tcW w:w="672" w:type="pct"/>
            <w:shd w:val="clear" w:color="auto" w:fill="auto"/>
            <w:vAlign w:val="center"/>
          </w:tcPr>
          <w:p w14:paraId="1CC68ED8"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Iván Darío Arteta García contra Cementos Argos S.A.</w:t>
            </w:r>
          </w:p>
        </w:tc>
        <w:tc>
          <w:tcPr>
            <w:tcW w:w="671" w:type="pct"/>
            <w:shd w:val="clear" w:color="auto" w:fill="auto"/>
            <w:vAlign w:val="center"/>
          </w:tcPr>
          <w:p w14:paraId="0862A819"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Presupuestos que dan lugar a la sanción de ineficacia. Medios para efectuar la convocatoria</w:t>
            </w:r>
          </w:p>
        </w:tc>
        <w:tc>
          <w:tcPr>
            <w:tcW w:w="3658" w:type="pct"/>
            <w:shd w:val="clear" w:color="auto" w:fill="auto"/>
          </w:tcPr>
          <w:p w14:paraId="4BD78054" w14:textId="77777777" w:rsidR="00100CB6" w:rsidRPr="002D6BD5" w:rsidRDefault="00100CB6" w:rsidP="00DA378C">
            <w:pPr>
              <w:jc w:val="both"/>
              <w:rPr>
                <w:rFonts w:ascii="Verdana" w:hAnsi="Verdana" w:cs="Arial"/>
                <w:sz w:val="16"/>
                <w:szCs w:val="16"/>
              </w:rPr>
            </w:pPr>
            <w:r w:rsidRPr="002D6BD5">
              <w:rPr>
                <w:rFonts w:ascii="Verdana" w:hAnsi="Verdana" w:cs="Arial"/>
                <w:sz w:val="16"/>
                <w:szCs w:val="16"/>
              </w:rPr>
              <w:t xml:space="preserve">‘En efecto, “la finalidad de la convocatoria es permitir que los asociados, en forma oportuna y en igualdad de condiciones, se puedan enterar de la reunión y de su contenido, a fin de poder ejercer los derechos que les confiere la ley”. Se trata de un acto jurídico solemne y la forma en que ésta debe ser realizada puede ser definida por los asociados en el contrato social, de conformidad con lo previsto en el numeral 7 del artículo 110 del Código de Comercio. Así las cosas, “[l]a forma para convocar la asamblea la fijan los mismos estatutos sociales, y solo en su defecto debe apelarse al medio determinado por la ley”. En este sentido, si en el contrato social no se determina el medio que habrá de utilizarse para efectuar la convocatoria a la reunión del máximo órgano social, se entenderá que aquella debe hacerse mediante aviso que se publicará en un diario de circulación en el domicilio principal de la sociedad, en los términos del artículo 424 del Código de Comercio, para el caso de las sociedades anónimas. Dicho lo anterior, debe advertirse que, si bien los estatutos de Cementos Argos S.A. regulan la forma en que se debe convocar a reuniones de la asamblea general de accionistas, en opinión de este Despacho tales estatutos no imponen como requisito de convocatoria que la compañía dueña del periódico a través del cual se convoca, se encuentre domiciliada en el mismo lugar que Cementos Argos S.A., sino que el periódico en </w:t>
            </w:r>
            <w:r w:rsidRPr="002D6BD5">
              <w:rPr>
                <w:rFonts w:ascii="Verdana" w:hAnsi="Verdana" w:cs="Arial"/>
                <w:sz w:val="16"/>
                <w:szCs w:val="16"/>
              </w:rPr>
              <w:lastRenderedPageBreak/>
              <w:t>cuestión circule en el domicilio de la sociedad. […] En el presente caso, las pruebas que obran en el expediente dan cuenta de que la convocatoria bajo análisis se divulgó en el periódico El Tiempo, en la sección de la región caribe de Colombia […]. [S]</w:t>
            </w:r>
            <w:proofErr w:type="spellStart"/>
            <w:r w:rsidRPr="002D6BD5">
              <w:rPr>
                <w:rFonts w:ascii="Verdana" w:hAnsi="Verdana" w:cs="Arial"/>
                <w:sz w:val="16"/>
                <w:szCs w:val="16"/>
              </w:rPr>
              <w:t>egún</w:t>
            </w:r>
            <w:proofErr w:type="spellEnd"/>
            <w:r w:rsidRPr="002D6BD5">
              <w:rPr>
                <w:rFonts w:ascii="Verdana" w:hAnsi="Verdana" w:cs="Arial"/>
                <w:sz w:val="16"/>
                <w:szCs w:val="16"/>
              </w:rPr>
              <w:t xml:space="preserve"> la certificación del 15 de febrero de 2017, “la publicación El Tiempo – Caribe, de propiedad de Casa Editorial El Tiempo S.A., es editada en la ciudad de Barranquilla, circula y se comercializa en dicha ciudad” […] En este orden de ideas, este Despacho puede concluir que la convocatoria para la reunión de la asamblea general de accionistas de Cementos Argos S.A. del 25 de enero de 2016 no contraviene las disposiciones estatutarias de la compañía’.</w:t>
            </w:r>
          </w:p>
        </w:tc>
      </w:tr>
      <w:tr w:rsidR="00100CB6" w:rsidRPr="005D272D" w14:paraId="34CD8F30" w14:textId="77777777" w:rsidTr="00C52FAB">
        <w:tc>
          <w:tcPr>
            <w:tcW w:w="672" w:type="pct"/>
            <w:shd w:val="clear" w:color="auto" w:fill="F2DCDB"/>
            <w:vAlign w:val="center"/>
          </w:tcPr>
          <w:p w14:paraId="5E5E33BB"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lastRenderedPageBreak/>
              <w:t xml:space="preserve">John Eduardo </w:t>
            </w:r>
            <w:proofErr w:type="spellStart"/>
            <w:r w:rsidRPr="002D6BD5">
              <w:rPr>
                <w:rFonts w:ascii="Verdana" w:hAnsi="Verdana" w:cs="Arial"/>
                <w:sz w:val="16"/>
                <w:szCs w:val="16"/>
              </w:rPr>
              <w:t>Iral</w:t>
            </w:r>
            <w:proofErr w:type="spellEnd"/>
            <w:r w:rsidRPr="002D6BD5">
              <w:rPr>
                <w:rFonts w:ascii="Verdana" w:hAnsi="Verdana" w:cs="Arial"/>
                <w:sz w:val="16"/>
                <w:szCs w:val="16"/>
              </w:rPr>
              <w:t xml:space="preserve"> Chalarca contra </w:t>
            </w:r>
            <w:proofErr w:type="spellStart"/>
            <w:r w:rsidRPr="002D6BD5">
              <w:rPr>
                <w:rFonts w:ascii="Verdana" w:hAnsi="Verdana" w:cs="Arial"/>
                <w:sz w:val="16"/>
                <w:szCs w:val="16"/>
              </w:rPr>
              <w:t>Tedejota</w:t>
            </w:r>
            <w:proofErr w:type="spellEnd"/>
            <w:r w:rsidRPr="002D6BD5">
              <w:rPr>
                <w:rFonts w:ascii="Verdana" w:hAnsi="Verdana" w:cs="Arial"/>
                <w:sz w:val="16"/>
                <w:szCs w:val="16"/>
              </w:rPr>
              <w:t xml:space="preserve"> Villa &amp; Cía. S.C.A. en Liquidación</w:t>
            </w:r>
          </w:p>
        </w:tc>
        <w:tc>
          <w:tcPr>
            <w:tcW w:w="671" w:type="pct"/>
            <w:shd w:val="clear" w:color="auto" w:fill="F2DCDB"/>
            <w:vAlign w:val="center"/>
          </w:tcPr>
          <w:p w14:paraId="5EF37801"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Domicilio social. Valor probatorio de las actas de junta de socios. Hipótesis que dan lugar a la sanción de ineficacia son taxativas.</w:t>
            </w:r>
          </w:p>
        </w:tc>
        <w:tc>
          <w:tcPr>
            <w:tcW w:w="3658" w:type="pct"/>
            <w:shd w:val="clear" w:color="auto" w:fill="F2DCDB"/>
          </w:tcPr>
          <w:p w14:paraId="3D4FADDB" w14:textId="77777777" w:rsidR="00100CB6" w:rsidRPr="002D6BD5" w:rsidRDefault="00100CB6" w:rsidP="00DA378C">
            <w:pPr>
              <w:jc w:val="both"/>
              <w:rPr>
                <w:rFonts w:ascii="Verdana" w:hAnsi="Verdana" w:cs="Arial"/>
                <w:sz w:val="16"/>
                <w:szCs w:val="16"/>
              </w:rPr>
            </w:pPr>
            <w:r w:rsidRPr="002D6BD5">
              <w:rPr>
                <w:rFonts w:ascii="Verdana" w:hAnsi="Verdana" w:cs="Arial"/>
                <w:sz w:val="16"/>
                <w:szCs w:val="16"/>
              </w:rPr>
              <w:t xml:space="preserve">‘[E] lo relativo con la realización de la mencionada sesión asamblearia por fuera del domicilio social, este Despacho debe precisar que el domicilio social es la ciudad señalada al momento de constituir la sociedad como sede principal de la compañía. […] En línea con lo anterior, de acuerdo con el certificado de existencia y representación legal de </w:t>
            </w:r>
            <w:proofErr w:type="spellStart"/>
            <w:r w:rsidRPr="002D6BD5">
              <w:rPr>
                <w:rFonts w:ascii="Verdana" w:hAnsi="Verdana" w:cs="Arial"/>
                <w:sz w:val="16"/>
                <w:szCs w:val="16"/>
              </w:rPr>
              <w:t>Tedejota</w:t>
            </w:r>
            <w:proofErr w:type="spellEnd"/>
            <w:r w:rsidRPr="002D6BD5">
              <w:rPr>
                <w:rFonts w:ascii="Verdana" w:hAnsi="Verdana" w:cs="Arial"/>
                <w:sz w:val="16"/>
                <w:szCs w:val="16"/>
              </w:rPr>
              <w:t xml:space="preserve"> Villa &amp; Cía. S.C.A. en Liquidación, el domicilio social de la compañía es la ciudad de Medellín […]. De igual modo, en el acta </w:t>
            </w:r>
            <w:proofErr w:type="spellStart"/>
            <w:r w:rsidRPr="002D6BD5">
              <w:rPr>
                <w:rFonts w:ascii="Verdana" w:hAnsi="Verdana" w:cs="Arial"/>
                <w:sz w:val="16"/>
                <w:szCs w:val="16"/>
              </w:rPr>
              <w:t>n.°</w:t>
            </w:r>
            <w:proofErr w:type="spellEnd"/>
            <w:r w:rsidRPr="002D6BD5">
              <w:rPr>
                <w:rFonts w:ascii="Verdana" w:hAnsi="Verdana" w:cs="Arial"/>
                <w:sz w:val="16"/>
                <w:szCs w:val="16"/>
              </w:rPr>
              <w:t xml:space="preserve"> 13 del 9 de marzo de 2016 se indicó que el máximo órgano social se habría reunido en Medellín. En este orden, el artículo 189 del Código de Comercio le otorga pleno valor probatorio a las actas correspondientes a las reuniones del máximo órgano social, por lo tanto, este Despacho no puede restarle valor probatorio a las afirmaciones contenidas en un acta, hasta tanto cuente con suficientes elementos de juicio para constatar que lo allí expresado no se ajusta a la realidad. […] De otro lado, en lo relacionado con la firma del presidente y el secretario de la reunión social y la indicación de los asistentes y los votos emitidos, se debe poner de presente que tales reparos no constituyen una causal de ineficacia de las determinaciones sociales, pues las hipótesis fácticas que dan origen a la sanción de ineficacia se encuentran enunciadas taxativamente en el ordenamiento jurídico comercial. En principio, son ineficaces las determinaciones en donde se omitan ciertos elementos esenciales requeridos para el funcionamiento del máximo órgano social, como son la convocatoria, el quórum y el domicilio. […] Finalmente, le corresponde al Despacho analizar la insuficiencia del quórum invocada por el demandante. […] En este sentido, resulta evidente que no se configuró el quórum requerido, pues, pese a que la señora Rúa Guerra representa el 92.5% de las acciones suscritas, la asamblea general de accionistas de </w:t>
            </w:r>
            <w:proofErr w:type="spellStart"/>
            <w:r w:rsidRPr="002D6BD5">
              <w:rPr>
                <w:rFonts w:ascii="Verdana" w:hAnsi="Verdana" w:cs="Arial"/>
                <w:sz w:val="16"/>
                <w:szCs w:val="16"/>
              </w:rPr>
              <w:t>Tedejota</w:t>
            </w:r>
            <w:proofErr w:type="spellEnd"/>
            <w:r w:rsidRPr="002D6BD5">
              <w:rPr>
                <w:rFonts w:ascii="Verdana" w:hAnsi="Verdana" w:cs="Arial"/>
                <w:sz w:val="16"/>
                <w:szCs w:val="16"/>
              </w:rPr>
              <w:t xml:space="preserve"> Villa &amp; Cía. S.C.A. en Liquidación no podía deliberar únicamente con la presencia de ésta, en los términos del citado artículo 30 de los estatutos sociales. Por tales motivos, el Despacho debe concluir que las decisiones adoptadas durante la sesión asamblearia en comento […] son ineficaces’. </w:t>
            </w:r>
          </w:p>
        </w:tc>
      </w:tr>
      <w:tr w:rsidR="00100CB6" w:rsidRPr="005D272D" w14:paraId="769B951B" w14:textId="77777777" w:rsidTr="00DA378C">
        <w:tc>
          <w:tcPr>
            <w:tcW w:w="672" w:type="pct"/>
            <w:shd w:val="clear" w:color="auto" w:fill="FFFFFF"/>
            <w:vAlign w:val="center"/>
          </w:tcPr>
          <w:p w14:paraId="4CFAFC1A"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Grace Victoria Quintero Bermúdez contra Quintero e Hijos Ltda. y Gilberto Antonio Quintero Bermúdez.</w:t>
            </w:r>
          </w:p>
        </w:tc>
        <w:tc>
          <w:tcPr>
            <w:tcW w:w="671" w:type="pct"/>
            <w:shd w:val="clear" w:color="auto" w:fill="FFFFFF"/>
            <w:vAlign w:val="center"/>
          </w:tcPr>
          <w:p w14:paraId="53A65F37"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Presupuestos que dan lugar a la sanción de ineficacia. Indebida convocatoria</w:t>
            </w:r>
          </w:p>
        </w:tc>
        <w:tc>
          <w:tcPr>
            <w:tcW w:w="3658" w:type="pct"/>
            <w:shd w:val="clear" w:color="auto" w:fill="FFFFFF"/>
          </w:tcPr>
          <w:p w14:paraId="309F9ECB" w14:textId="77777777" w:rsidR="00100CB6" w:rsidRPr="002D6BD5" w:rsidRDefault="00100CB6" w:rsidP="00DA378C">
            <w:pPr>
              <w:jc w:val="both"/>
              <w:rPr>
                <w:rFonts w:ascii="Verdana" w:hAnsi="Verdana" w:cs="Arial"/>
                <w:sz w:val="16"/>
                <w:szCs w:val="16"/>
              </w:rPr>
            </w:pPr>
            <w:r w:rsidRPr="002D6BD5">
              <w:rPr>
                <w:rFonts w:ascii="Verdana" w:hAnsi="Verdana" w:cs="Arial"/>
                <w:sz w:val="16"/>
                <w:szCs w:val="16"/>
              </w:rPr>
              <w:t xml:space="preserve">‘Sobre el particular, debe recordarse que la indebida convocatoria es uno de los presupuestos que pueden dar lugar a la sanción de ineficacia. Ello se desprende de las disposiciones contenidas en los artículos 186 y 190 del Código de Comercio. El primero de los artículos citados establece que “las reuniones [del máximo órgano social] se realizarán en el lugar del domicilio social, con sujeción a lo prescrito en las leyes y en los estatutos en cuanto a convocación y quórum”. Por su parte, el artículo 190 dispone que “las decisiones tomadas en una reunión celebrada en contravención a lo prescrito en el artículo 186 serán ineficaces”. Es decir que, de verificarse la indebida convocatoria a la reunión del 18 de enero de 2017, las decisiones adoptadas durante tal reunión serían ineficaces […] [E]l Despacho encuentra que los estatutos de Quintero e Hijos Ltda. no establecen la manera en la cual debe cumplirse el trámite de convocatoria a las reuniones de la junta de socios de la compañía […] Tal como lo sostuvo este Despacho […] “[a]sí las cosas, debe señalarse que el artículo 424 del Código de Comercio dispone que «[t]oda convocatoria se hará en la forma prevista en los estatutos y, a falta de estipulación, mediante aviso que se publicará en un diario de circulación en el domicilio principal de la sociedad»”. Por este motivo, las pruebas disponibles le permiten concluir al Despacho que la convocatoria a la reunión del 18 de enero de 2017 de la junta de socios de Quintero e Hijos Ltda. se surtió de la forma prevista por la ley para el efecto. Ahora bien, aunque como lo afirma el apoderado de la demandante lo anterior podría dar cuenta de argucias o maniobras tendientes, aparentemente, a </w:t>
            </w:r>
            <w:r w:rsidRPr="002D6BD5">
              <w:rPr>
                <w:rFonts w:ascii="Verdana" w:hAnsi="Verdana" w:cs="Arial"/>
                <w:sz w:val="16"/>
                <w:szCs w:val="16"/>
              </w:rPr>
              <w:lastRenderedPageBreak/>
              <w:t>perjudicar a Grace Victoria Quintero Bermúdez, debe señalarse que los presupuestos que dan lugar al reconocimiento de la ineficacia de decisiones sociales son meramente formales. […] [D]</w:t>
            </w:r>
            <w:proofErr w:type="spellStart"/>
            <w:r w:rsidRPr="002D6BD5">
              <w:rPr>
                <w:rFonts w:ascii="Verdana" w:hAnsi="Verdana" w:cs="Arial"/>
                <w:sz w:val="16"/>
                <w:szCs w:val="16"/>
              </w:rPr>
              <w:t>ichas</w:t>
            </w:r>
            <w:proofErr w:type="spellEnd"/>
            <w:r w:rsidRPr="002D6BD5">
              <w:rPr>
                <w:rFonts w:ascii="Verdana" w:hAnsi="Verdana" w:cs="Arial"/>
                <w:sz w:val="16"/>
                <w:szCs w:val="16"/>
              </w:rPr>
              <w:t xml:space="preserve"> circunstancias que acarrean esta drástica sanción se encuentran previstas en el artículo 190 del Código de Comercio. En este sentido, las actuaciones cuestionables del administrador que se han controvertido en este proceso, no tienen la virtualidad de viciar de ineficacia las decisiones adoptadas en la reunión de la junta de socios celebrada el 18 de enero de 2017’.</w:t>
            </w:r>
          </w:p>
        </w:tc>
      </w:tr>
      <w:tr w:rsidR="00100CB6" w:rsidRPr="005D272D" w14:paraId="7D452F3D" w14:textId="77777777" w:rsidTr="00C52FAB">
        <w:tc>
          <w:tcPr>
            <w:tcW w:w="672" w:type="pct"/>
            <w:shd w:val="clear" w:color="auto" w:fill="F2DCDB"/>
            <w:vAlign w:val="center"/>
          </w:tcPr>
          <w:p w14:paraId="49B411F6"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lastRenderedPageBreak/>
              <w:t xml:space="preserve">Luz Stella Pinto Rodríguez contra </w:t>
            </w:r>
            <w:proofErr w:type="spellStart"/>
            <w:r w:rsidRPr="002D6BD5">
              <w:rPr>
                <w:rFonts w:ascii="Verdana" w:hAnsi="Verdana" w:cs="Arial"/>
                <w:sz w:val="16"/>
                <w:szCs w:val="16"/>
              </w:rPr>
              <w:t>Datacom</w:t>
            </w:r>
            <w:proofErr w:type="spellEnd"/>
            <w:r w:rsidRPr="002D6BD5">
              <w:rPr>
                <w:rFonts w:ascii="Verdana" w:hAnsi="Verdana" w:cs="Arial"/>
                <w:sz w:val="16"/>
                <w:szCs w:val="16"/>
              </w:rPr>
              <w:t xml:space="preserve"> Redes y Comunicaciones Ltda.</w:t>
            </w:r>
          </w:p>
        </w:tc>
        <w:tc>
          <w:tcPr>
            <w:tcW w:w="671" w:type="pct"/>
            <w:shd w:val="clear" w:color="auto" w:fill="F2DCDB"/>
            <w:vAlign w:val="center"/>
          </w:tcPr>
          <w:p w14:paraId="1C21EC9A"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rPr>
              <w:t>Valor probatorio de las actas de la junta de socios</w:t>
            </w:r>
          </w:p>
        </w:tc>
        <w:tc>
          <w:tcPr>
            <w:tcW w:w="3658" w:type="pct"/>
            <w:shd w:val="clear" w:color="auto" w:fill="F2DCDB"/>
          </w:tcPr>
          <w:p w14:paraId="5C7E8871" w14:textId="77777777" w:rsidR="00100CB6" w:rsidRPr="002D6BD5" w:rsidRDefault="00100CB6" w:rsidP="00DA378C">
            <w:pPr>
              <w:jc w:val="both"/>
              <w:rPr>
                <w:rFonts w:ascii="Verdana" w:hAnsi="Verdana" w:cs="Arial"/>
                <w:sz w:val="16"/>
                <w:szCs w:val="16"/>
              </w:rPr>
            </w:pPr>
            <w:r w:rsidRPr="002D6BD5">
              <w:rPr>
                <w:rFonts w:ascii="Verdana" w:hAnsi="Verdana" w:cs="Arial"/>
                <w:sz w:val="16"/>
                <w:szCs w:val="16"/>
              </w:rPr>
              <w:t>‘A pesar de lo anterior, debe anotarse que el artículo 189 del Código de Comercio le otorga pleno valor probatorio a las actas correspondientes a las reuniones de junta de socios de una compañía. En efecto, según la norma mencionada ‘la copia de estas actas, autorizada por el secretario o por algún representante de la sociedad, será prueba suficiente de los hechos que consten en ellas, mientras no se demuestre la falsedad de la copia o de las actas’. Así las cosas, la información contenida en el acta No. 16 debe tenerse por cierta, a menos que se demuestre lo contrario en el curso del presente proceso. Es decir que el Despacho no puede restarle valor probatorio al acta precitada, hasta tanto cuente con suficientes elementos de juicio para constatar la falsedad de lo expresado en ese documento’..</w:t>
            </w:r>
          </w:p>
        </w:tc>
      </w:tr>
      <w:tr w:rsidR="00100CB6" w:rsidRPr="005D272D" w14:paraId="192A72B9" w14:textId="77777777" w:rsidTr="00DA378C">
        <w:tc>
          <w:tcPr>
            <w:tcW w:w="672" w:type="pct"/>
            <w:shd w:val="clear" w:color="auto" w:fill="FFFFFF"/>
            <w:vAlign w:val="center"/>
          </w:tcPr>
          <w:p w14:paraId="62322F58" w14:textId="77777777" w:rsidR="00100CB6" w:rsidRPr="002D6BD5" w:rsidRDefault="00100CB6" w:rsidP="00DA378C">
            <w:pPr>
              <w:jc w:val="center"/>
              <w:rPr>
                <w:rFonts w:ascii="Verdana" w:hAnsi="Verdana" w:cs="Arial"/>
                <w:sz w:val="16"/>
                <w:szCs w:val="16"/>
                <w:lang w:val="en-US"/>
              </w:rPr>
            </w:pPr>
            <w:r w:rsidRPr="002D6BD5">
              <w:rPr>
                <w:rFonts w:ascii="Verdana" w:hAnsi="Verdana" w:cs="Arial"/>
                <w:sz w:val="16"/>
                <w:szCs w:val="16"/>
                <w:lang w:val="en-US"/>
              </w:rPr>
              <w:t>Crown Heaven Inc. contra Gano Excel S.A.</w:t>
            </w:r>
          </w:p>
        </w:tc>
        <w:tc>
          <w:tcPr>
            <w:tcW w:w="671" w:type="pct"/>
            <w:shd w:val="clear" w:color="auto" w:fill="FFFFFF"/>
            <w:vAlign w:val="center"/>
          </w:tcPr>
          <w:p w14:paraId="3A4F2A4C" w14:textId="77777777" w:rsidR="00100CB6" w:rsidRPr="002D6BD5" w:rsidRDefault="00100CB6" w:rsidP="00DA378C">
            <w:pPr>
              <w:jc w:val="center"/>
              <w:rPr>
                <w:rFonts w:ascii="Verdana" w:hAnsi="Verdana" w:cs="Arial"/>
                <w:sz w:val="16"/>
                <w:szCs w:val="16"/>
              </w:rPr>
            </w:pPr>
            <w:r w:rsidRPr="002D6BD5">
              <w:rPr>
                <w:rFonts w:ascii="Verdana" w:hAnsi="Verdana" w:cs="Arial"/>
                <w:sz w:val="16"/>
                <w:szCs w:val="16"/>
                <w:lang w:val="es-CO"/>
              </w:rPr>
              <w:t xml:space="preserve">Falencias en la convocatoria a reuniones del máximo órgano social. La sanción de ineficacia no requiere </w:t>
            </w:r>
            <w:r w:rsidRPr="002D6BD5">
              <w:rPr>
                <w:rFonts w:ascii="Verdana" w:hAnsi="Verdana" w:cs="Arial"/>
                <w:sz w:val="16"/>
                <w:szCs w:val="16"/>
              </w:rPr>
              <w:t>declaración judicial</w:t>
            </w:r>
          </w:p>
        </w:tc>
        <w:tc>
          <w:tcPr>
            <w:tcW w:w="3658" w:type="pct"/>
            <w:shd w:val="clear" w:color="auto" w:fill="FFFFFF"/>
          </w:tcPr>
          <w:p w14:paraId="0A166B99" w14:textId="77777777" w:rsidR="00100CB6" w:rsidRPr="002D6BD5" w:rsidRDefault="00100CB6" w:rsidP="00DA378C">
            <w:pPr>
              <w:jc w:val="both"/>
              <w:rPr>
                <w:rFonts w:ascii="Verdana" w:hAnsi="Verdana" w:cs="Arial"/>
                <w:sz w:val="16"/>
                <w:szCs w:val="16"/>
                <w:lang w:val="es-CO"/>
              </w:rPr>
            </w:pPr>
            <w:r w:rsidRPr="002D6BD5">
              <w:rPr>
                <w:rFonts w:ascii="Verdana" w:hAnsi="Verdana" w:cs="Arial"/>
                <w:sz w:val="16"/>
                <w:szCs w:val="16"/>
                <w:lang w:val="es-CO"/>
              </w:rPr>
              <w:t>‘Lo primero que debe señalarse es que, en vista de que la ineficacia opera de pleno derecho, no es necesario contar con una declaración judicial para que tal sanción surta efectos, en los términos del artículo 897 del Código de Comercio. Sin embargo, de no contarse con un pronunciamiento judicial, podrían existir controversias acerca de la configuración de los presupuestos que le dan origen a la ineficacia. Para tales efectos, la Ley 446 de 1998 estableció un novedoso mecanismo orientado a darle mayor celeridad a la resolución de disputas relativas a la sanción de ineficacia. En verdad, el artículo 133 de la citada Ley le confirió a distintas superintendencias la competencia para reconocer los presupuestos fácticos que dan lugar a la ineficacia, con el fin de establecer una ‘vía judicial expedita para obtener una declaración de certeza sobre los supuestos de hecho en que se funda un acto societario ineficaz, en orden a brindar un instrumento que ofrezca certeza sobre los fundamentos de dicha sanción’. Se trata, pues, de una acción orientada de modo exclusivo a reconocer la existencia de los hechos que dan lugar a la ineficacia, a fin de permitir que se verifique, con mayor facilidad, la configuración de esta sanción respecto de ciertos actos. Ahora bien, en el caso analizado, el apoderado de la demandante alega que la sanción de ineficacia se configuró respecto de las decisiones adoptadas por el máximo órgano social de Gano Excel S.A. el 6 de agosto de 2012. Como fundamento de esta afirmación, se aduce que la sociedad Gano Excel S.A.C. no fue convocada a la citada reunión extraordinaria de la asamblea’.</w:t>
            </w:r>
          </w:p>
        </w:tc>
      </w:tr>
    </w:tbl>
    <w:p w14:paraId="091D9450" w14:textId="77777777" w:rsidR="00C56459" w:rsidRDefault="00C56459" w:rsidP="001A6E3C">
      <w:pPr>
        <w:spacing w:line="360" w:lineRule="auto"/>
        <w:jc w:val="both"/>
        <w:rPr>
          <w:rFonts w:ascii="Arial" w:hAnsi="Arial" w:cs="Arial"/>
        </w:rPr>
      </w:pPr>
    </w:p>
    <w:p w14:paraId="0A3F1FF9" w14:textId="77777777" w:rsidR="00BF3E05" w:rsidRDefault="00BF3E05" w:rsidP="001A6E3C">
      <w:pPr>
        <w:spacing w:line="360" w:lineRule="auto"/>
        <w:jc w:val="both"/>
        <w:rPr>
          <w:rFonts w:ascii="Arial" w:hAnsi="Arial" w:cs="Arial"/>
        </w:rPr>
      </w:pPr>
    </w:p>
    <w:p w14:paraId="0C7FE825" w14:textId="7A8CE521" w:rsidR="00100CB6" w:rsidRPr="00AE5C0F" w:rsidRDefault="00825651" w:rsidP="001A6E3C">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t xml:space="preserve">5.2.10 </w:t>
      </w:r>
      <w:r w:rsidR="00921B00" w:rsidRPr="00E774E1">
        <w:rPr>
          <w:rFonts w:ascii="Verdana" w:hAnsi="Verdana" w:cs="Arial"/>
          <w:b/>
          <w:bCs/>
          <w:spacing w:val="4"/>
          <w:sz w:val="22"/>
          <w:szCs w:val="22"/>
        </w:rPr>
        <w:t>RESPONSABILIDAD DE SOCIOS Y LIQUIDADORES</w:t>
      </w:r>
    </w:p>
    <w:p w14:paraId="1589F880" w14:textId="77777777" w:rsidR="00825651" w:rsidRPr="001A6E3C" w:rsidRDefault="00825651" w:rsidP="001A6E3C">
      <w:pPr>
        <w:spacing w:line="360" w:lineRule="auto"/>
        <w:jc w:val="both"/>
        <w:rPr>
          <w:rFonts w:ascii="Verdana" w:hAnsi="Verdana" w:cs="Arial"/>
          <w:b/>
          <w:bCs/>
          <w:spacing w:val="4"/>
          <w:sz w:val="22"/>
          <w:szCs w:val="22"/>
        </w:rPr>
      </w:pPr>
    </w:p>
    <w:p w14:paraId="21F98B1E" w14:textId="5B6E275F" w:rsidR="00100CB6" w:rsidRPr="001A6E3C" w:rsidRDefault="00825651" w:rsidP="00100CB6">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t xml:space="preserve">5.2.10.1 </w:t>
      </w:r>
      <w:r w:rsidR="00100CB6" w:rsidRPr="001A6E3C">
        <w:rPr>
          <w:rFonts w:ascii="Verdana" w:hAnsi="Verdana" w:cs="Arial"/>
          <w:b/>
          <w:bCs/>
          <w:spacing w:val="4"/>
          <w:sz w:val="22"/>
          <w:szCs w:val="22"/>
        </w:rPr>
        <w:t>Descripción general</w:t>
      </w:r>
    </w:p>
    <w:p w14:paraId="5A289641" w14:textId="77777777" w:rsidR="00825651" w:rsidRPr="001A6E3C" w:rsidRDefault="00825651" w:rsidP="00825651">
      <w:pPr>
        <w:spacing w:line="360" w:lineRule="auto"/>
        <w:jc w:val="both"/>
        <w:rPr>
          <w:rFonts w:ascii="Arial" w:hAnsi="Arial" w:cs="Arial"/>
          <w:sz w:val="22"/>
          <w:szCs w:val="22"/>
          <w:lang w:val="es-CO"/>
        </w:rPr>
      </w:pPr>
    </w:p>
    <w:p w14:paraId="7D5AAFCC" w14:textId="47210E26" w:rsidR="00100CB6" w:rsidRPr="001A6E3C" w:rsidRDefault="00100CB6" w:rsidP="00825651">
      <w:pPr>
        <w:spacing w:line="360" w:lineRule="auto"/>
        <w:jc w:val="both"/>
        <w:rPr>
          <w:rFonts w:ascii="Verdana" w:hAnsi="Verdana" w:cs="Arial"/>
          <w:sz w:val="22"/>
          <w:szCs w:val="22"/>
          <w:lang w:val="es-CO"/>
        </w:rPr>
      </w:pPr>
      <w:r w:rsidRPr="001A6E3C">
        <w:rPr>
          <w:rFonts w:ascii="Verdana" w:hAnsi="Verdana" w:cs="Arial"/>
          <w:sz w:val="22"/>
          <w:szCs w:val="22"/>
          <w:lang w:val="es-CO"/>
        </w:rPr>
        <w:t>Por virtud de esta acción, puede controvertirse la responsabilidad de socios y liquidadores de compañías en trámites de liquidación privada.</w:t>
      </w:r>
    </w:p>
    <w:p w14:paraId="1B172444" w14:textId="77777777" w:rsidR="00100CB6" w:rsidRPr="001A6E3C" w:rsidRDefault="00100CB6" w:rsidP="00100CB6">
      <w:pPr>
        <w:spacing w:line="360" w:lineRule="auto"/>
        <w:jc w:val="both"/>
        <w:rPr>
          <w:rFonts w:ascii="Verdana" w:hAnsi="Verdana" w:cs="Arial"/>
          <w:sz w:val="22"/>
          <w:szCs w:val="22"/>
          <w:lang w:val="es-CO"/>
        </w:rPr>
      </w:pPr>
    </w:p>
    <w:p w14:paraId="61D7019E" w14:textId="7A93F8E9" w:rsidR="00100CB6" w:rsidRPr="001A6E3C" w:rsidRDefault="00825651" w:rsidP="00100CB6">
      <w:pPr>
        <w:spacing w:line="360" w:lineRule="auto"/>
        <w:jc w:val="both"/>
        <w:rPr>
          <w:rFonts w:ascii="Verdana" w:hAnsi="Verdana" w:cs="Arial"/>
          <w:b/>
          <w:bCs/>
          <w:sz w:val="22"/>
          <w:szCs w:val="22"/>
        </w:rPr>
      </w:pPr>
      <w:r w:rsidRPr="001A6E3C">
        <w:rPr>
          <w:rFonts w:ascii="Verdana" w:hAnsi="Verdana" w:cs="Arial"/>
          <w:b/>
          <w:bCs/>
          <w:sz w:val="22"/>
          <w:szCs w:val="22"/>
        </w:rPr>
        <w:lastRenderedPageBreak/>
        <w:t>5.2.10.2</w:t>
      </w:r>
      <w:r w:rsidR="006C1A63" w:rsidRPr="001A6E3C">
        <w:rPr>
          <w:rFonts w:ascii="Verdana" w:hAnsi="Verdana" w:cs="Arial"/>
          <w:b/>
          <w:bCs/>
          <w:sz w:val="22"/>
          <w:szCs w:val="22"/>
        </w:rPr>
        <w:t xml:space="preserve"> </w:t>
      </w:r>
      <w:r w:rsidR="00100CB6" w:rsidRPr="001A6E3C">
        <w:rPr>
          <w:rFonts w:ascii="Verdana" w:hAnsi="Verdana" w:cs="Arial"/>
          <w:b/>
          <w:bCs/>
          <w:sz w:val="22"/>
          <w:szCs w:val="22"/>
        </w:rPr>
        <w:t>Fundamento Jurídico</w:t>
      </w:r>
    </w:p>
    <w:p w14:paraId="36FC48F2" w14:textId="77777777" w:rsidR="006C1A63" w:rsidRPr="001A6E3C" w:rsidRDefault="006C1A63" w:rsidP="006C1A63">
      <w:pPr>
        <w:spacing w:line="360" w:lineRule="auto"/>
        <w:jc w:val="both"/>
        <w:rPr>
          <w:rFonts w:ascii="Verdana" w:hAnsi="Verdana" w:cs="Arial"/>
          <w:b/>
          <w:bCs/>
          <w:sz w:val="22"/>
          <w:szCs w:val="22"/>
        </w:rPr>
      </w:pPr>
    </w:p>
    <w:p w14:paraId="1065FE17" w14:textId="2B09EE00" w:rsidR="00100CB6" w:rsidRPr="001A6E3C" w:rsidRDefault="00100CB6" w:rsidP="006C1A63">
      <w:pPr>
        <w:spacing w:line="360" w:lineRule="auto"/>
        <w:jc w:val="both"/>
        <w:rPr>
          <w:rFonts w:ascii="Verdana" w:hAnsi="Verdana" w:cs="Arial"/>
          <w:sz w:val="22"/>
          <w:szCs w:val="22"/>
          <w:lang w:val="es-CO"/>
        </w:rPr>
      </w:pPr>
      <w:r w:rsidRPr="001A6E3C">
        <w:rPr>
          <w:rFonts w:ascii="Verdana" w:hAnsi="Verdana" w:cs="Arial"/>
          <w:sz w:val="22"/>
          <w:szCs w:val="22"/>
          <w:lang w:val="es-CO"/>
        </w:rPr>
        <w:t>Ley 1429 de 2010, artículo 28. ‘La Superintendencia de Sociedades, en uso de funciones jurisdiccionales, conocerá de las acciones de responsabilidad contra socios y liquidadores según las normas legales vigentes’.</w:t>
      </w:r>
    </w:p>
    <w:p w14:paraId="33D17D37" w14:textId="77777777" w:rsidR="00100CB6" w:rsidRPr="001A6E3C" w:rsidRDefault="00100CB6" w:rsidP="00100CB6">
      <w:pPr>
        <w:spacing w:line="360" w:lineRule="auto"/>
        <w:jc w:val="both"/>
        <w:rPr>
          <w:rFonts w:ascii="Arial" w:hAnsi="Arial" w:cs="Arial"/>
          <w:sz w:val="22"/>
          <w:szCs w:val="22"/>
          <w:lang w:val="es-CO"/>
        </w:rPr>
      </w:pPr>
    </w:p>
    <w:p w14:paraId="06BD7E0D" w14:textId="00895C07" w:rsidR="00100CB6" w:rsidRPr="001A6E3C" w:rsidRDefault="006C1A63" w:rsidP="00100CB6">
      <w:pPr>
        <w:spacing w:line="360" w:lineRule="auto"/>
        <w:jc w:val="both"/>
        <w:rPr>
          <w:rFonts w:ascii="Verdana" w:hAnsi="Verdana" w:cs="Arial"/>
          <w:b/>
          <w:bCs/>
          <w:sz w:val="22"/>
          <w:szCs w:val="22"/>
        </w:rPr>
      </w:pPr>
      <w:r w:rsidRPr="001A6E3C">
        <w:rPr>
          <w:rFonts w:ascii="Verdana" w:hAnsi="Verdana" w:cs="Arial"/>
          <w:b/>
          <w:bCs/>
          <w:sz w:val="22"/>
          <w:szCs w:val="22"/>
        </w:rPr>
        <w:t xml:space="preserve">5.2.10.3 </w:t>
      </w:r>
      <w:r w:rsidR="00100CB6" w:rsidRPr="001A6E3C">
        <w:rPr>
          <w:rFonts w:ascii="Verdana" w:hAnsi="Verdana" w:cs="Arial"/>
          <w:b/>
          <w:bCs/>
          <w:sz w:val="22"/>
          <w:szCs w:val="22"/>
        </w:rPr>
        <w:t>Trámite procesal</w:t>
      </w:r>
    </w:p>
    <w:p w14:paraId="34C568FB" w14:textId="77777777" w:rsidR="006C1A63" w:rsidRPr="001A6E3C" w:rsidRDefault="006C1A63" w:rsidP="006C1A63">
      <w:pPr>
        <w:spacing w:line="360" w:lineRule="auto"/>
        <w:jc w:val="both"/>
        <w:rPr>
          <w:rFonts w:ascii="Arial" w:hAnsi="Arial" w:cs="Arial"/>
          <w:i/>
          <w:iCs/>
          <w:sz w:val="22"/>
          <w:szCs w:val="22"/>
        </w:rPr>
      </w:pPr>
    </w:p>
    <w:p w14:paraId="2E996EBF" w14:textId="6C1D229A" w:rsidR="00100CB6" w:rsidRPr="006C1A63" w:rsidRDefault="00100CB6" w:rsidP="006C1A63">
      <w:pPr>
        <w:spacing w:line="360" w:lineRule="auto"/>
        <w:jc w:val="both"/>
        <w:rPr>
          <w:rFonts w:ascii="Verdana" w:hAnsi="Verdana" w:cs="Arial"/>
          <w:sz w:val="22"/>
          <w:szCs w:val="22"/>
        </w:rPr>
      </w:pPr>
      <w:r w:rsidRPr="001A6E3C">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r w:rsidRPr="006C1A63">
        <w:rPr>
          <w:rFonts w:ascii="Verdana" w:hAnsi="Verdana" w:cs="Arial"/>
          <w:sz w:val="22"/>
          <w:szCs w:val="22"/>
        </w:rPr>
        <w:t>.</w:t>
      </w:r>
    </w:p>
    <w:p w14:paraId="4F3A6DCD" w14:textId="77777777" w:rsidR="00100CB6" w:rsidRPr="009D308D" w:rsidRDefault="00100CB6" w:rsidP="00100CB6">
      <w:pPr>
        <w:spacing w:line="360" w:lineRule="auto"/>
        <w:jc w:val="both"/>
        <w:rPr>
          <w:rFonts w:ascii="Arial" w:hAnsi="Arial" w:cs="Arial"/>
          <w:lang w:val="es-CO"/>
        </w:rPr>
      </w:pPr>
    </w:p>
    <w:p w14:paraId="0F933834" w14:textId="1199ACA8" w:rsidR="00100CB6" w:rsidRDefault="006C1A63" w:rsidP="00100CB6">
      <w:pPr>
        <w:spacing w:line="360" w:lineRule="auto"/>
        <w:jc w:val="both"/>
        <w:rPr>
          <w:rFonts w:ascii="Verdana" w:hAnsi="Verdana" w:cs="Arial"/>
          <w:b/>
          <w:bCs/>
          <w:sz w:val="22"/>
          <w:szCs w:val="22"/>
        </w:rPr>
      </w:pPr>
      <w:r w:rsidRPr="006C1A63">
        <w:rPr>
          <w:rFonts w:ascii="Verdana" w:hAnsi="Verdana" w:cs="Arial"/>
          <w:b/>
          <w:bCs/>
          <w:sz w:val="22"/>
          <w:szCs w:val="22"/>
        </w:rPr>
        <w:t xml:space="preserve">5.2.10.4 </w:t>
      </w:r>
      <w:r w:rsidR="00100CB6" w:rsidRPr="006C1A63">
        <w:rPr>
          <w:rFonts w:ascii="Verdana" w:hAnsi="Verdana" w:cs="Arial"/>
          <w:b/>
          <w:bCs/>
          <w:sz w:val="22"/>
          <w:szCs w:val="22"/>
        </w:rPr>
        <w:t>Jurisprudencia</w:t>
      </w:r>
    </w:p>
    <w:p w14:paraId="722CAA35" w14:textId="77777777" w:rsidR="000742BC" w:rsidRPr="006C1A63" w:rsidRDefault="000742BC" w:rsidP="00100CB6">
      <w:pPr>
        <w:spacing w:line="360" w:lineRule="auto"/>
        <w:jc w:val="both"/>
        <w:rPr>
          <w:rFonts w:ascii="Verdana" w:hAnsi="Verdana" w:cs="Arial"/>
          <w:b/>
          <w:bCs/>
          <w:sz w:val="22"/>
          <w:szCs w:val="22"/>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90"/>
        <w:gridCol w:w="1511"/>
        <w:gridCol w:w="6733"/>
      </w:tblGrid>
      <w:tr w:rsidR="00100CB6" w:rsidRPr="005D272D" w14:paraId="13F88E7B" w14:textId="77777777" w:rsidTr="00663F8C">
        <w:trPr>
          <w:tblHeader/>
        </w:trPr>
        <w:tc>
          <w:tcPr>
            <w:tcW w:w="1390" w:type="dxa"/>
            <w:shd w:val="clear" w:color="auto" w:fill="962D46"/>
          </w:tcPr>
          <w:p w14:paraId="1DDFD77E" w14:textId="77777777" w:rsidR="00100CB6" w:rsidRPr="006C1A63" w:rsidRDefault="00100CB6" w:rsidP="00DA378C">
            <w:pPr>
              <w:jc w:val="center"/>
              <w:rPr>
                <w:rFonts w:ascii="Verdana" w:hAnsi="Verdana" w:cs="Arial"/>
                <w:b/>
                <w:color w:val="FFFFFF"/>
                <w:sz w:val="20"/>
                <w:szCs w:val="20"/>
              </w:rPr>
            </w:pPr>
            <w:r w:rsidRPr="006C1A63">
              <w:rPr>
                <w:rFonts w:ascii="Verdana" w:hAnsi="Verdana" w:cs="Arial"/>
                <w:b/>
                <w:color w:val="FFFFFF"/>
                <w:sz w:val="20"/>
                <w:szCs w:val="20"/>
              </w:rPr>
              <w:t>Caso</w:t>
            </w:r>
          </w:p>
        </w:tc>
        <w:tc>
          <w:tcPr>
            <w:tcW w:w="1511" w:type="dxa"/>
            <w:shd w:val="clear" w:color="auto" w:fill="962D46"/>
          </w:tcPr>
          <w:p w14:paraId="2F5AC3E2" w14:textId="77777777" w:rsidR="00100CB6" w:rsidRPr="006C1A63" w:rsidRDefault="00100CB6" w:rsidP="00DA378C">
            <w:pPr>
              <w:jc w:val="center"/>
              <w:rPr>
                <w:rFonts w:ascii="Verdana" w:hAnsi="Verdana" w:cs="Arial"/>
                <w:b/>
                <w:color w:val="FFFFFF"/>
                <w:sz w:val="20"/>
                <w:szCs w:val="20"/>
              </w:rPr>
            </w:pPr>
            <w:r w:rsidRPr="006C1A63">
              <w:rPr>
                <w:rFonts w:ascii="Verdana" w:hAnsi="Verdana" w:cs="Arial"/>
                <w:b/>
                <w:color w:val="FFFFFF"/>
                <w:sz w:val="20"/>
                <w:szCs w:val="20"/>
              </w:rPr>
              <w:t>Asunto</w:t>
            </w:r>
          </w:p>
        </w:tc>
        <w:tc>
          <w:tcPr>
            <w:tcW w:w="6733" w:type="dxa"/>
            <w:shd w:val="clear" w:color="auto" w:fill="962D46"/>
          </w:tcPr>
          <w:p w14:paraId="4819770A" w14:textId="77777777" w:rsidR="00100CB6" w:rsidRPr="006C1A63" w:rsidRDefault="00100CB6" w:rsidP="00DA378C">
            <w:pPr>
              <w:jc w:val="center"/>
              <w:rPr>
                <w:rFonts w:ascii="Verdana" w:hAnsi="Verdana" w:cs="Arial"/>
                <w:b/>
                <w:color w:val="FFFFFF"/>
                <w:sz w:val="20"/>
                <w:szCs w:val="20"/>
              </w:rPr>
            </w:pPr>
            <w:r w:rsidRPr="006C1A63">
              <w:rPr>
                <w:rFonts w:ascii="Verdana" w:hAnsi="Verdana" w:cs="Arial"/>
                <w:b/>
                <w:color w:val="FFFFFF"/>
                <w:sz w:val="20"/>
                <w:szCs w:val="20"/>
              </w:rPr>
              <w:t>Extracto</w:t>
            </w:r>
          </w:p>
        </w:tc>
      </w:tr>
      <w:tr w:rsidR="00100CB6" w:rsidRPr="005D272D" w14:paraId="6ACF5C95" w14:textId="77777777" w:rsidTr="00E774E1">
        <w:tc>
          <w:tcPr>
            <w:tcW w:w="1390" w:type="dxa"/>
            <w:shd w:val="clear" w:color="auto" w:fill="auto"/>
            <w:vAlign w:val="center"/>
          </w:tcPr>
          <w:p w14:paraId="417EC1FA" w14:textId="77777777" w:rsidR="00100CB6" w:rsidRPr="006C1A63" w:rsidRDefault="00100CB6" w:rsidP="00DA378C">
            <w:pPr>
              <w:jc w:val="center"/>
              <w:rPr>
                <w:rFonts w:ascii="Verdana" w:hAnsi="Verdana" w:cs="Arial"/>
                <w:sz w:val="16"/>
                <w:szCs w:val="16"/>
              </w:rPr>
            </w:pPr>
            <w:r w:rsidRPr="006C1A63">
              <w:rPr>
                <w:rFonts w:ascii="Verdana" w:hAnsi="Verdana" w:cs="Arial"/>
                <w:sz w:val="16"/>
                <w:szCs w:val="16"/>
              </w:rPr>
              <w:t>Laurel Ltda. contra Santiago Rojas Maya y Chubb Seguros de Colombia S.A.</w:t>
            </w:r>
          </w:p>
        </w:tc>
        <w:tc>
          <w:tcPr>
            <w:tcW w:w="1511" w:type="dxa"/>
            <w:shd w:val="clear" w:color="auto" w:fill="auto"/>
            <w:vAlign w:val="center"/>
          </w:tcPr>
          <w:p w14:paraId="36E45DA0" w14:textId="77777777" w:rsidR="00100CB6" w:rsidRPr="006C1A63" w:rsidRDefault="00100CB6" w:rsidP="00DA378C">
            <w:pPr>
              <w:jc w:val="center"/>
              <w:rPr>
                <w:rFonts w:ascii="Verdana" w:hAnsi="Verdana" w:cs="Arial"/>
                <w:sz w:val="16"/>
                <w:szCs w:val="16"/>
              </w:rPr>
            </w:pPr>
            <w:r w:rsidRPr="006C1A63">
              <w:rPr>
                <w:rFonts w:ascii="Verdana" w:hAnsi="Verdana" w:cs="Arial"/>
                <w:sz w:val="16"/>
                <w:szCs w:val="16"/>
              </w:rPr>
              <w:t>Responsabilidad del liquidador por incumplimiento de las reglas contenidas en los artículos  247 y 248 del Código de Comercio</w:t>
            </w:r>
          </w:p>
        </w:tc>
        <w:tc>
          <w:tcPr>
            <w:tcW w:w="6733" w:type="dxa"/>
            <w:shd w:val="clear" w:color="auto" w:fill="auto"/>
          </w:tcPr>
          <w:p w14:paraId="71E899BD" w14:textId="77777777" w:rsidR="00100CB6" w:rsidRPr="006C1A63" w:rsidRDefault="00100CB6" w:rsidP="00DA378C">
            <w:pPr>
              <w:jc w:val="both"/>
              <w:rPr>
                <w:rFonts w:ascii="Verdana" w:hAnsi="Verdana" w:cs="Arial"/>
                <w:sz w:val="16"/>
                <w:szCs w:val="16"/>
              </w:rPr>
            </w:pPr>
            <w:r w:rsidRPr="006C1A63">
              <w:rPr>
                <w:rFonts w:ascii="Verdana" w:hAnsi="Verdana" w:cs="Arial"/>
                <w:sz w:val="16"/>
                <w:szCs w:val="16"/>
              </w:rPr>
              <w:t>‘[U]</w:t>
            </w:r>
            <w:proofErr w:type="spellStart"/>
            <w:r w:rsidRPr="006C1A63">
              <w:rPr>
                <w:rFonts w:ascii="Verdana" w:hAnsi="Verdana" w:cs="Arial"/>
                <w:sz w:val="16"/>
                <w:szCs w:val="16"/>
              </w:rPr>
              <w:t>na</w:t>
            </w:r>
            <w:proofErr w:type="spellEnd"/>
            <w:r w:rsidRPr="006C1A63">
              <w:rPr>
                <w:rFonts w:ascii="Verdana" w:hAnsi="Verdana" w:cs="Arial"/>
                <w:sz w:val="16"/>
                <w:szCs w:val="16"/>
              </w:rPr>
              <w:t xml:space="preserve"> sociedad en estado de liquidación podría, de manera excepcional, celebrar contratos que dispongan de los bienes afectos a la masa </w:t>
            </w:r>
            <w:proofErr w:type="spellStart"/>
            <w:r w:rsidRPr="006C1A63">
              <w:rPr>
                <w:rFonts w:ascii="Verdana" w:hAnsi="Verdana" w:cs="Arial"/>
                <w:sz w:val="16"/>
                <w:szCs w:val="16"/>
              </w:rPr>
              <w:t>liquidatoria</w:t>
            </w:r>
            <w:proofErr w:type="spellEnd"/>
            <w:r w:rsidRPr="006C1A63">
              <w:rPr>
                <w:rFonts w:ascii="Verdana" w:hAnsi="Verdana" w:cs="Arial"/>
                <w:sz w:val="16"/>
                <w:szCs w:val="16"/>
              </w:rPr>
              <w:t xml:space="preserve">, con la finalidad de preservar la unidad económica, el valor de los mismos y la atención más oportuna de los bienes de la compañía’. </w:t>
            </w:r>
          </w:p>
          <w:p w14:paraId="035EE6F8" w14:textId="77777777" w:rsidR="00100CB6" w:rsidRPr="006C1A63" w:rsidRDefault="00100CB6" w:rsidP="00DA378C">
            <w:pPr>
              <w:jc w:val="both"/>
              <w:rPr>
                <w:rFonts w:ascii="Verdana" w:hAnsi="Verdana" w:cs="Arial"/>
                <w:sz w:val="16"/>
                <w:szCs w:val="16"/>
              </w:rPr>
            </w:pPr>
            <w:r w:rsidRPr="006C1A63">
              <w:rPr>
                <w:rFonts w:ascii="Verdana" w:hAnsi="Verdana" w:cs="Arial"/>
                <w:sz w:val="16"/>
                <w:szCs w:val="16"/>
              </w:rPr>
              <w:t>’[L]a actuación que fue adelantada por Santiago Rojas Maya iba en contravía de lo dispuesto por la junta de socios de Frigorífico San Martín de Porres Ltda. en liquidación en la reunión de 10 de enero de 2013. [Lo anterior, teniendo en cuenta que] una de las condiciones impuestas al liquidador consistía en esperar dos meses a partir de que se encontrará en firme la inscripción del acta final de liquidación para hacer el pago de las hijuelas que le correspondía a cada uno de los socios. Sin embargo, […] el liquidador desplegó actos tendientes a la entrega del bien inmueble adjudicado a nueve de los socios de Frigorífico San Martín de Porres Ltda. en liquidación, apenas un par de semanas después de haberse celebrado la reunión en donde se aprobó el acta final de liquidación y sin que dicha transferencia se hubiera sometido a condición alguna. […] [No obstante lo anterior] la demandante no puede reclamar, para sí, los perjuicios que le fueron irrogados a Frigorífico San Martín de Porres Ltda. en liquidación […] [toda vez que] como el incumplimiento de los deberes de los administradores sólo lesiona en forma directa a la compañía, se ha dicho que la acción social de responsabilidad es la única vía disponible en Colombia para reclamar los perjuicios derivados de esa conducta. En este sentido, los asociados oprimidos no podrían solicitar una indemnización a título personal con base en el daño irrogado al patrimonio social, puesto que se trataría de perjuicios indirectos, cuya reclamación es inviable en nuestro sistema’.</w:t>
            </w:r>
          </w:p>
        </w:tc>
      </w:tr>
      <w:tr w:rsidR="00100CB6" w:rsidRPr="005D272D" w14:paraId="621770E0" w14:textId="77777777" w:rsidTr="00C52FAB">
        <w:tc>
          <w:tcPr>
            <w:tcW w:w="1390" w:type="dxa"/>
            <w:shd w:val="clear" w:color="auto" w:fill="F2DCDB"/>
            <w:vAlign w:val="center"/>
          </w:tcPr>
          <w:p w14:paraId="301FAB94" w14:textId="77777777" w:rsidR="00100CB6" w:rsidRPr="006C1A63" w:rsidRDefault="00100CB6" w:rsidP="00DA378C">
            <w:pPr>
              <w:jc w:val="center"/>
              <w:rPr>
                <w:rFonts w:ascii="Verdana" w:hAnsi="Verdana" w:cs="Arial"/>
                <w:sz w:val="16"/>
                <w:szCs w:val="16"/>
              </w:rPr>
            </w:pPr>
            <w:r w:rsidRPr="006C1A63">
              <w:rPr>
                <w:rFonts w:ascii="Verdana" w:hAnsi="Verdana" w:cs="Arial"/>
                <w:sz w:val="16"/>
                <w:szCs w:val="16"/>
              </w:rPr>
              <w:t xml:space="preserve">José Lucas </w:t>
            </w:r>
            <w:proofErr w:type="spellStart"/>
            <w:r w:rsidRPr="006C1A63">
              <w:rPr>
                <w:rFonts w:ascii="Verdana" w:hAnsi="Verdana" w:cs="Arial"/>
                <w:sz w:val="16"/>
                <w:szCs w:val="16"/>
              </w:rPr>
              <w:t>Dugand</w:t>
            </w:r>
            <w:proofErr w:type="spellEnd"/>
            <w:r w:rsidRPr="006C1A63">
              <w:rPr>
                <w:rFonts w:ascii="Verdana" w:hAnsi="Verdana" w:cs="Arial"/>
                <w:sz w:val="16"/>
                <w:szCs w:val="16"/>
              </w:rPr>
              <w:t xml:space="preserve"> Pinedo y otros contra Juan Manuel </w:t>
            </w:r>
            <w:r w:rsidRPr="006C1A63">
              <w:rPr>
                <w:rFonts w:ascii="Verdana" w:hAnsi="Verdana" w:cs="Arial"/>
                <w:sz w:val="16"/>
                <w:szCs w:val="16"/>
              </w:rPr>
              <w:lastRenderedPageBreak/>
              <w:t>Mendoza Arango</w:t>
            </w:r>
          </w:p>
        </w:tc>
        <w:tc>
          <w:tcPr>
            <w:tcW w:w="1511" w:type="dxa"/>
            <w:shd w:val="clear" w:color="auto" w:fill="F2DCDB"/>
            <w:vAlign w:val="center"/>
          </w:tcPr>
          <w:p w14:paraId="4A061286" w14:textId="77777777" w:rsidR="00100CB6" w:rsidRPr="006C1A63" w:rsidRDefault="00100CB6" w:rsidP="00DA378C">
            <w:pPr>
              <w:jc w:val="center"/>
              <w:rPr>
                <w:rFonts w:ascii="Verdana" w:hAnsi="Verdana" w:cs="Arial"/>
                <w:sz w:val="16"/>
                <w:szCs w:val="16"/>
              </w:rPr>
            </w:pPr>
            <w:r w:rsidRPr="006C1A63">
              <w:rPr>
                <w:rFonts w:ascii="Verdana" w:hAnsi="Verdana" w:cs="Arial"/>
                <w:sz w:val="16"/>
                <w:szCs w:val="16"/>
              </w:rPr>
              <w:lastRenderedPageBreak/>
              <w:t>Responsabilidad del liquidador</w:t>
            </w:r>
          </w:p>
        </w:tc>
        <w:tc>
          <w:tcPr>
            <w:tcW w:w="6733" w:type="dxa"/>
            <w:shd w:val="clear" w:color="auto" w:fill="F2DCDB"/>
          </w:tcPr>
          <w:p w14:paraId="66017CA3" w14:textId="77777777" w:rsidR="00100CB6" w:rsidRPr="006C1A63" w:rsidRDefault="00100CB6" w:rsidP="00DA378C">
            <w:pPr>
              <w:jc w:val="both"/>
              <w:rPr>
                <w:rFonts w:ascii="Verdana" w:hAnsi="Verdana" w:cs="Arial"/>
                <w:sz w:val="16"/>
                <w:szCs w:val="16"/>
              </w:rPr>
            </w:pPr>
            <w:r w:rsidRPr="006C1A63">
              <w:rPr>
                <w:rFonts w:ascii="Verdana" w:hAnsi="Verdana" w:cs="Arial"/>
                <w:sz w:val="16"/>
                <w:szCs w:val="16"/>
              </w:rPr>
              <w:t xml:space="preserve">‘[…] el Despacho pudo establecer que el demandado puso algunos activos de Comercializadora Auto Extreme S.A.S. a disposición de </w:t>
            </w:r>
            <w:proofErr w:type="spellStart"/>
            <w:r w:rsidRPr="006C1A63">
              <w:rPr>
                <w:rFonts w:ascii="Verdana" w:hAnsi="Verdana" w:cs="Arial"/>
                <w:sz w:val="16"/>
                <w:szCs w:val="16"/>
              </w:rPr>
              <w:t>Coltag</w:t>
            </w:r>
            <w:proofErr w:type="spellEnd"/>
            <w:r w:rsidRPr="006C1A63">
              <w:rPr>
                <w:rFonts w:ascii="Verdana" w:hAnsi="Verdana" w:cs="Arial"/>
                <w:sz w:val="16"/>
                <w:szCs w:val="16"/>
              </w:rPr>
              <w:t xml:space="preserve"> S.A.S., sin que aquella compañía recibiera remuneración alguna. Según lo expresado por la señora María Constanza Salomón, ‘Juan Manuel [...] me dice que los moldes venían desde Comercializadora Auto Extreme porque ellos marcaban su producto </w:t>
            </w:r>
            <w:r w:rsidRPr="006C1A63">
              <w:rPr>
                <w:rFonts w:ascii="Verdana" w:hAnsi="Verdana" w:cs="Arial"/>
                <w:sz w:val="16"/>
                <w:szCs w:val="16"/>
              </w:rPr>
              <w:lastRenderedPageBreak/>
              <w:t>en su momento con esas placas […]. Ya al final de los problemas, [Juan Manuel Mendoza Arango] sí me comentó que [los moldes] venían de Auto Extreme’. Como lo ha expresado este Despacho en otras oportunidades, esta clase de actuaciones constituye una clara violación del deber general de lealtad consagrado en el artículo 23 de la Ley 222 de 1995’.</w:t>
            </w:r>
          </w:p>
        </w:tc>
      </w:tr>
    </w:tbl>
    <w:p w14:paraId="1280BF83" w14:textId="77777777" w:rsidR="0067341A" w:rsidRDefault="0067341A" w:rsidP="0067341A">
      <w:pPr>
        <w:rPr>
          <w:rFonts w:ascii="Arial" w:hAnsi="Arial" w:cs="Arial"/>
        </w:rPr>
      </w:pPr>
    </w:p>
    <w:p w14:paraId="284A05E5" w14:textId="6BCA6DE9" w:rsidR="00F91C88" w:rsidRDefault="00872290" w:rsidP="001A6E3C">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t xml:space="preserve">5.2.11 </w:t>
      </w:r>
      <w:r w:rsidR="001A6E3C" w:rsidRPr="00BF3E05">
        <w:rPr>
          <w:rFonts w:ascii="Verdana" w:hAnsi="Verdana" w:cs="Arial"/>
          <w:b/>
          <w:bCs/>
          <w:spacing w:val="4"/>
          <w:sz w:val="22"/>
          <w:szCs w:val="22"/>
        </w:rPr>
        <w:t>OPOS</w:t>
      </w:r>
      <w:r w:rsidR="00F91C88" w:rsidRPr="00BF3E05">
        <w:rPr>
          <w:rFonts w:ascii="Verdana" w:hAnsi="Verdana" w:cs="Arial"/>
          <w:b/>
          <w:bCs/>
          <w:spacing w:val="4"/>
          <w:sz w:val="22"/>
          <w:szCs w:val="22"/>
        </w:rPr>
        <w:t>ICIÓN A LA REACTIVACIÓN DE SOCIEDADES O SUCURSALES DE SOCIEDADES EXTRANJERAS</w:t>
      </w:r>
      <w:r w:rsidR="00F91C88">
        <w:rPr>
          <w:rFonts w:ascii="Verdana" w:hAnsi="Verdana" w:cs="Arial"/>
          <w:b/>
          <w:bCs/>
          <w:spacing w:val="4"/>
          <w:sz w:val="22"/>
          <w:szCs w:val="22"/>
        </w:rPr>
        <w:t xml:space="preserve"> </w:t>
      </w:r>
    </w:p>
    <w:p w14:paraId="2FC24006" w14:textId="77777777" w:rsidR="00872290" w:rsidRPr="001A6E3C" w:rsidRDefault="00872290" w:rsidP="00100CB6">
      <w:pPr>
        <w:rPr>
          <w:rFonts w:ascii="Arial" w:hAnsi="Arial" w:cs="Arial"/>
          <w:sz w:val="22"/>
          <w:szCs w:val="22"/>
        </w:rPr>
      </w:pPr>
    </w:p>
    <w:p w14:paraId="07D22193" w14:textId="277EB1E5" w:rsidR="00100CB6" w:rsidRPr="001A6E3C" w:rsidRDefault="00872290" w:rsidP="00100CB6">
      <w:pPr>
        <w:spacing w:line="360" w:lineRule="auto"/>
        <w:jc w:val="both"/>
        <w:rPr>
          <w:rFonts w:ascii="Verdana" w:hAnsi="Verdana" w:cs="Arial"/>
          <w:b/>
          <w:bCs/>
          <w:spacing w:val="4"/>
          <w:sz w:val="22"/>
          <w:szCs w:val="22"/>
        </w:rPr>
      </w:pPr>
      <w:r w:rsidRPr="001A6E3C">
        <w:rPr>
          <w:rFonts w:ascii="Verdana" w:hAnsi="Verdana" w:cs="Arial"/>
          <w:b/>
          <w:bCs/>
          <w:spacing w:val="4"/>
          <w:sz w:val="22"/>
          <w:szCs w:val="22"/>
        </w:rPr>
        <w:t>5.2.1</w:t>
      </w:r>
      <w:r w:rsidR="00B045A4" w:rsidRPr="001A6E3C">
        <w:rPr>
          <w:rFonts w:ascii="Verdana" w:hAnsi="Verdana" w:cs="Arial"/>
          <w:b/>
          <w:bCs/>
          <w:spacing w:val="4"/>
          <w:sz w:val="22"/>
          <w:szCs w:val="22"/>
        </w:rPr>
        <w:t>1.1</w:t>
      </w:r>
      <w:r w:rsidRPr="001A6E3C">
        <w:rPr>
          <w:rFonts w:ascii="Verdana" w:hAnsi="Verdana" w:cs="Arial"/>
          <w:b/>
          <w:bCs/>
          <w:spacing w:val="4"/>
          <w:sz w:val="22"/>
          <w:szCs w:val="22"/>
        </w:rPr>
        <w:t xml:space="preserve"> </w:t>
      </w:r>
      <w:r w:rsidR="00100CB6" w:rsidRPr="001A6E3C">
        <w:rPr>
          <w:rFonts w:ascii="Verdana" w:hAnsi="Verdana" w:cs="Arial"/>
          <w:b/>
          <w:bCs/>
          <w:spacing w:val="4"/>
          <w:sz w:val="22"/>
          <w:szCs w:val="22"/>
        </w:rPr>
        <w:t>Descripción general</w:t>
      </w:r>
    </w:p>
    <w:p w14:paraId="35BEF3AA" w14:textId="77777777" w:rsidR="00872290" w:rsidRDefault="00872290" w:rsidP="00872290">
      <w:pPr>
        <w:spacing w:line="360" w:lineRule="auto"/>
        <w:jc w:val="both"/>
        <w:rPr>
          <w:rFonts w:ascii="Verdana" w:hAnsi="Verdana" w:cs="Arial"/>
          <w:b/>
          <w:bCs/>
          <w:spacing w:val="4"/>
        </w:rPr>
      </w:pPr>
    </w:p>
    <w:p w14:paraId="235EB39C" w14:textId="0A172A50" w:rsidR="00100CB6" w:rsidRPr="00C44FEA" w:rsidRDefault="00100CB6" w:rsidP="00872290">
      <w:pPr>
        <w:spacing w:line="360" w:lineRule="auto"/>
        <w:jc w:val="both"/>
        <w:rPr>
          <w:rFonts w:ascii="Verdana" w:hAnsi="Verdana" w:cs="Arial"/>
          <w:sz w:val="22"/>
          <w:szCs w:val="22"/>
          <w:lang w:val="es-CO"/>
        </w:rPr>
      </w:pPr>
      <w:r w:rsidRPr="00C44FEA">
        <w:rPr>
          <w:rFonts w:ascii="Verdana" w:hAnsi="Verdana" w:cs="Arial"/>
          <w:sz w:val="22"/>
          <w:szCs w:val="22"/>
          <w:lang w:val="es-CO"/>
        </w:rPr>
        <w:t>Por virtud de esta acción, los acreedores de una sociedad o sucursal de sociedad extranjera en estado de liquidación pueden oponerse a su reactivación, mediante el ejercicio de la acción de oposición judicial prevista en el artículo 175 del Código de Comercio para los procesos de fusión.</w:t>
      </w:r>
    </w:p>
    <w:p w14:paraId="031D2BC9" w14:textId="77777777" w:rsidR="00100CB6" w:rsidRPr="009D308D" w:rsidRDefault="00100CB6" w:rsidP="00100CB6">
      <w:pPr>
        <w:spacing w:line="360" w:lineRule="auto"/>
        <w:jc w:val="both"/>
        <w:rPr>
          <w:rFonts w:ascii="Arial" w:hAnsi="Arial" w:cs="Arial"/>
          <w:lang w:val="es-CO"/>
        </w:rPr>
      </w:pPr>
    </w:p>
    <w:p w14:paraId="112575C5" w14:textId="69A0EC0D" w:rsidR="00100CB6" w:rsidRDefault="00872290" w:rsidP="00100CB6">
      <w:pPr>
        <w:spacing w:line="360" w:lineRule="auto"/>
        <w:jc w:val="both"/>
        <w:rPr>
          <w:rFonts w:ascii="Verdana" w:hAnsi="Verdana" w:cs="Arial"/>
          <w:b/>
          <w:bCs/>
          <w:sz w:val="22"/>
          <w:szCs w:val="22"/>
        </w:rPr>
      </w:pPr>
      <w:r w:rsidRPr="00B045A4">
        <w:rPr>
          <w:rFonts w:ascii="Verdana" w:hAnsi="Verdana" w:cs="Arial"/>
          <w:b/>
          <w:bCs/>
          <w:sz w:val="22"/>
          <w:szCs w:val="22"/>
        </w:rPr>
        <w:t>5.2.1</w:t>
      </w:r>
      <w:r w:rsidR="00B045A4" w:rsidRPr="00B045A4">
        <w:rPr>
          <w:rFonts w:ascii="Verdana" w:hAnsi="Verdana" w:cs="Arial"/>
          <w:b/>
          <w:bCs/>
          <w:sz w:val="22"/>
          <w:szCs w:val="22"/>
        </w:rPr>
        <w:t xml:space="preserve">1.2 </w:t>
      </w:r>
      <w:r w:rsidR="00100CB6" w:rsidRPr="00B045A4">
        <w:rPr>
          <w:rFonts w:ascii="Verdana" w:hAnsi="Verdana" w:cs="Arial"/>
          <w:b/>
          <w:bCs/>
          <w:sz w:val="22"/>
          <w:szCs w:val="22"/>
        </w:rPr>
        <w:t>Fundamento Jurídico</w:t>
      </w:r>
    </w:p>
    <w:p w14:paraId="142F5B0D" w14:textId="77777777" w:rsidR="00B045A4" w:rsidRDefault="00B045A4" w:rsidP="00B045A4">
      <w:pPr>
        <w:spacing w:line="360" w:lineRule="auto"/>
        <w:jc w:val="both"/>
        <w:rPr>
          <w:rFonts w:ascii="Verdana" w:hAnsi="Verdana" w:cs="Arial"/>
          <w:b/>
          <w:bCs/>
          <w:sz w:val="22"/>
          <w:szCs w:val="22"/>
        </w:rPr>
      </w:pPr>
    </w:p>
    <w:p w14:paraId="6523BF70" w14:textId="0867E0FF" w:rsidR="00100CB6" w:rsidRPr="005730A2" w:rsidRDefault="00100CB6" w:rsidP="00B045A4">
      <w:pPr>
        <w:spacing w:line="360" w:lineRule="auto"/>
        <w:jc w:val="both"/>
        <w:rPr>
          <w:rFonts w:ascii="Verdana" w:hAnsi="Verdana" w:cs="Arial"/>
          <w:sz w:val="22"/>
          <w:szCs w:val="22"/>
          <w:lang w:val="es-CO"/>
        </w:rPr>
      </w:pPr>
      <w:r w:rsidRPr="005730A2">
        <w:rPr>
          <w:rFonts w:ascii="Verdana" w:hAnsi="Verdana" w:cs="Arial"/>
          <w:sz w:val="22"/>
          <w:szCs w:val="22"/>
          <w:lang w:val="es-CO"/>
        </w:rPr>
        <w:t>Ley 1429 de 2010, artículo 28. ‘La acción [de oposición judicial] se tramitará ante la Superintendencia de Sociedades que resolverá en ejercicio de funciones jurisdiccionales’.</w:t>
      </w:r>
    </w:p>
    <w:p w14:paraId="29A5FFB3" w14:textId="77777777" w:rsidR="00C44FEA" w:rsidRPr="009D308D" w:rsidRDefault="00C44FEA" w:rsidP="00100CB6">
      <w:pPr>
        <w:spacing w:line="360" w:lineRule="auto"/>
        <w:jc w:val="both"/>
        <w:rPr>
          <w:rFonts w:ascii="Arial" w:hAnsi="Arial" w:cs="Arial"/>
          <w:lang w:val="es-CO"/>
        </w:rPr>
      </w:pPr>
    </w:p>
    <w:p w14:paraId="2BB0FEF0" w14:textId="59E5F73A" w:rsidR="00100CB6" w:rsidRPr="008574A1" w:rsidRDefault="005730A2" w:rsidP="00100CB6">
      <w:pPr>
        <w:spacing w:line="360" w:lineRule="auto"/>
        <w:jc w:val="both"/>
        <w:rPr>
          <w:rFonts w:ascii="Verdana" w:hAnsi="Verdana" w:cs="Arial"/>
          <w:b/>
          <w:bCs/>
          <w:sz w:val="22"/>
          <w:szCs w:val="22"/>
        </w:rPr>
      </w:pPr>
      <w:r w:rsidRPr="008574A1">
        <w:rPr>
          <w:rFonts w:ascii="Verdana" w:hAnsi="Verdana" w:cs="Arial"/>
          <w:b/>
          <w:bCs/>
          <w:sz w:val="22"/>
          <w:szCs w:val="22"/>
        </w:rPr>
        <w:t xml:space="preserve">5.2.11.3 </w:t>
      </w:r>
      <w:r w:rsidR="00100CB6" w:rsidRPr="008574A1">
        <w:rPr>
          <w:rFonts w:ascii="Verdana" w:hAnsi="Verdana" w:cs="Arial"/>
          <w:b/>
          <w:bCs/>
          <w:sz w:val="22"/>
          <w:szCs w:val="22"/>
        </w:rPr>
        <w:t>Trámite procesal</w:t>
      </w:r>
    </w:p>
    <w:p w14:paraId="6127727A" w14:textId="77777777" w:rsidR="00E436ED" w:rsidRPr="008574A1" w:rsidRDefault="00E436ED" w:rsidP="00100CB6">
      <w:pPr>
        <w:spacing w:line="360" w:lineRule="auto"/>
        <w:jc w:val="both"/>
        <w:rPr>
          <w:rFonts w:ascii="Verdana" w:hAnsi="Verdana" w:cs="Arial"/>
          <w:b/>
          <w:bCs/>
          <w:sz w:val="22"/>
          <w:szCs w:val="22"/>
        </w:rPr>
      </w:pPr>
    </w:p>
    <w:p w14:paraId="403100D9" w14:textId="77777777" w:rsidR="00100CB6" w:rsidRPr="009D308D" w:rsidRDefault="00100CB6" w:rsidP="00E436ED">
      <w:pPr>
        <w:spacing w:line="360" w:lineRule="auto"/>
        <w:jc w:val="both"/>
        <w:rPr>
          <w:rFonts w:ascii="Arial" w:hAnsi="Arial" w:cs="Arial"/>
        </w:rPr>
      </w:pPr>
      <w:r w:rsidRPr="008574A1">
        <w:rPr>
          <w:rFonts w:ascii="Verdana" w:hAnsi="Verdana" w:cs="Arial"/>
          <w:sz w:val="22"/>
          <w:szCs w:val="22"/>
        </w:rPr>
        <w:t>Por virtud de lo previsto en el parágrafo tercero del artículo 24 del Código General del Proceso y el artículo 368 del Código General del Proceso, esta acción debe surtirse por la vía del proceso verbal</w:t>
      </w:r>
      <w:r w:rsidRPr="009D308D">
        <w:rPr>
          <w:rFonts w:ascii="Arial" w:hAnsi="Arial" w:cs="Arial"/>
        </w:rPr>
        <w:t>.</w:t>
      </w:r>
    </w:p>
    <w:p w14:paraId="32FA5F7F" w14:textId="77777777" w:rsidR="00100CB6" w:rsidRPr="009D308D" w:rsidRDefault="00100CB6" w:rsidP="00100CB6">
      <w:pPr>
        <w:spacing w:line="360" w:lineRule="auto"/>
        <w:jc w:val="both"/>
        <w:rPr>
          <w:rFonts w:ascii="Arial" w:hAnsi="Arial" w:cs="Arial"/>
          <w:lang w:val="es-CO"/>
        </w:rPr>
      </w:pPr>
    </w:p>
    <w:p w14:paraId="4A2E5CBC" w14:textId="1632F061" w:rsidR="00100CB6" w:rsidRPr="00F47849" w:rsidRDefault="00100CB6" w:rsidP="00F47849">
      <w:pPr>
        <w:spacing w:line="360" w:lineRule="auto"/>
        <w:jc w:val="both"/>
        <w:rPr>
          <w:rFonts w:ascii="Verdana" w:hAnsi="Verdana" w:cs="Arial"/>
          <w:b/>
          <w:bCs/>
          <w:spacing w:val="4"/>
          <w:sz w:val="22"/>
          <w:szCs w:val="22"/>
        </w:rPr>
      </w:pPr>
      <w:r w:rsidRPr="009D308D">
        <w:rPr>
          <w:rFonts w:ascii="Arial" w:hAnsi="Arial" w:cs="Arial"/>
        </w:rPr>
        <w:br w:type="page"/>
      </w:r>
      <w:r w:rsidR="00E436ED" w:rsidRPr="00F47849">
        <w:rPr>
          <w:rFonts w:ascii="Verdana" w:hAnsi="Verdana" w:cs="Arial"/>
          <w:b/>
          <w:bCs/>
          <w:spacing w:val="4"/>
          <w:sz w:val="22"/>
          <w:szCs w:val="22"/>
        </w:rPr>
        <w:lastRenderedPageBreak/>
        <w:t>5.2.12</w:t>
      </w:r>
      <w:r w:rsidR="00F47849">
        <w:rPr>
          <w:rFonts w:ascii="Verdana" w:hAnsi="Verdana" w:cs="Arial"/>
          <w:b/>
          <w:bCs/>
          <w:spacing w:val="4"/>
          <w:sz w:val="22"/>
          <w:szCs w:val="22"/>
        </w:rPr>
        <w:t xml:space="preserve"> FACULTADES JURISDICCIONALES EN MATERIA DE GARANTÍAS MOBILIARIAS</w:t>
      </w:r>
    </w:p>
    <w:p w14:paraId="37ECBE94" w14:textId="77777777" w:rsidR="00501BBF" w:rsidRPr="00F47849" w:rsidRDefault="00501BBF" w:rsidP="00100CB6">
      <w:pPr>
        <w:spacing w:line="360" w:lineRule="auto"/>
        <w:jc w:val="both"/>
        <w:rPr>
          <w:rFonts w:ascii="Verdana" w:hAnsi="Verdana" w:cs="Arial"/>
          <w:b/>
          <w:bCs/>
          <w:spacing w:val="4"/>
          <w:sz w:val="22"/>
          <w:szCs w:val="22"/>
        </w:rPr>
      </w:pPr>
    </w:p>
    <w:p w14:paraId="6FA86AB7" w14:textId="08AC4AA4" w:rsidR="00100CB6" w:rsidRPr="00AB0407" w:rsidRDefault="00501BBF" w:rsidP="00100CB6">
      <w:pPr>
        <w:spacing w:line="360" w:lineRule="auto"/>
        <w:jc w:val="both"/>
        <w:rPr>
          <w:rFonts w:ascii="Verdana" w:hAnsi="Verdana" w:cs="Arial"/>
          <w:b/>
          <w:bCs/>
          <w:spacing w:val="4"/>
          <w:sz w:val="22"/>
          <w:szCs w:val="22"/>
        </w:rPr>
      </w:pPr>
      <w:r w:rsidRPr="00AB0407">
        <w:rPr>
          <w:rFonts w:ascii="Verdana" w:hAnsi="Verdana" w:cs="Arial"/>
          <w:b/>
          <w:bCs/>
          <w:spacing w:val="4"/>
          <w:sz w:val="22"/>
          <w:szCs w:val="22"/>
        </w:rPr>
        <w:t xml:space="preserve">5.2.12.1 </w:t>
      </w:r>
      <w:r w:rsidR="00100CB6" w:rsidRPr="00AB0407">
        <w:rPr>
          <w:rFonts w:ascii="Verdana" w:hAnsi="Verdana" w:cs="Arial"/>
          <w:b/>
          <w:bCs/>
          <w:spacing w:val="4"/>
          <w:sz w:val="22"/>
          <w:szCs w:val="22"/>
        </w:rPr>
        <w:t>Descripción general</w:t>
      </w:r>
    </w:p>
    <w:p w14:paraId="6F8A1DDF" w14:textId="77777777" w:rsidR="00AE004C" w:rsidRDefault="00AE004C" w:rsidP="00AE004C">
      <w:pPr>
        <w:spacing w:line="360" w:lineRule="auto"/>
        <w:jc w:val="both"/>
        <w:rPr>
          <w:rFonts w:ascii="Arial" w:hAnsi="Arial" w:cs="Arial"/>
          <w:lang w:val="es-CO"/>
        </w:rPr>
      </w:pPr>
    </w:p>
    <w:p w14:paraId="2B12E731" w14:textId="679C3AD6" w:rsidR="00100CB6" w:rsidRPr="00AE004C" w:rsidRDefault="00100CB6" w:rsidP="00AE004C">
      <w:pPr>
        <w:spacing w:line="360" w:lineRule="auto"/>
        <w:jc w:val="both"/>
        <w:rPr>
          <w:rFonts w:ascii="Verdana" w:hAnsi="Verdana" w:cs="Arial"/>
          <w:sz w:val="22"/>
          <w:szCs w:val="22"/>
          <w:lang w:val="es-CO"/>
        </w:rPr>
      </w:pPr>
      <w:r w:rsidRPr="00AE004C">
        <w:rPr>
          <w:rFonts w:ascii="Verdana" w:hAnsi="Verdana" w:cs="Arial"/>
          <w:sz w:val="22"/>
          <w:szCs w:val="22"/>
          <w:lang w:val="es-CO"/>
        </w:rPr>
        <w:t>A partir de lo dispuesto por el numeral 6 del artículo 24 del Código General del Proceso, y en armonía con lo establecido en la Ley 1676 de 2003, la Superintendencia de Sociedades, a través de la Delegatura para Procedimientos Mercantiles, cuenta con facultades jurisdiccionales en materia de garantías mobiliarias, únicamente en el evento en que el garante sea una sociedad sometida a su vigilancia.</w:t>
      </w:r>
    </w:p>
    <w:p w14:paraId="0D1AEED1" w14:textId="77777777" w:rsidR="00AE004C" w:rsidRDefault="00AE004C" w:rsidP="00AE004C">
      <w:pPr>
        <w:spacing w:line="360" w:lineRule="auto"/>
        <w:jc w:val="both"/>
        <w:rPr>
          <w:rFonts w:ascii="Arial" w:hAnsi="Arial" w:cs="Arial"/>
          <w:lang w:val="es-CO"/>
        </w:rPr>
      </w:pPr>
    </w:p>
    <w:p w14:paraId="0F3C0E42" w14:textId="20A8F710" w:rsidR="00100CB6" w:rsidRPr="00AE004C" w:rsidRDefault="00100CB6" w:rsidP="00AE004C">
      <w:pPr>
        <w:spacing w:line="360" w:lineRule="auto"/>
        <w:jc w:val="both"/>
        <w:rPr>
          <w:rFonts w:ascii="Verdana" w:hAnsi="Verdana" w:cs="Arial"/>
          <w:sz w:val="22"/>
          <w:szCs w:val="22"/>
          <w:lang w:val="es-CO"/>
        </w:rPr>
      </w:pPr>
      <w:r w:rsidRPr="00AE004C">
        <w:rPr>
          <w:rFonts w:ascii="Verdana" w:hAnsi="Verdana" w:cs="Arial"/>
          <w:sz w:val="22"/>
          <w:szCs w:val="22"/>
          <w:lang w:val="es-CO"/>
        </w:rPr>
        <w:t>En consecuencia, no todas las sociedades sometidas a supervisión de la Superintendencia de Sociedades generan competencia para este tipo de asuntos, toda vez que la ley lo quiso restringir a aquellos casos en que la garante sea una sociedad vigilada.</w:t>
      </w:r>
    </w:p>
    <w:p w14:paraId="0DFBAA15" w14:textId="77777777" w:rsidR="00100CB6" w:rsidRPr="009D308D" w:rsidRDefault="00100CB6" w:rsidP="00100CB6">
      <w:pPr>
        <w:spacing w:line="360" w:lineRule="auto"/>
        <w:jc w:val="both"/>
        <w:rPr>
          <w:rFonts w:ascii="Arial" w:hAnsi="Arial" w:cs="Arial"/>
          <w:lang w:val="es-CO"/>
        </w:rPr>
      </w:pPr>
    </w:p>
    <w:p w14:paraId="0AB8B2A3" w14:textId="68E2AD2D" w:rsidR="00100CB6" w:rsidRPr="00F47849" w:rsidRDefault="00AE004C" w:rsidP="00100CB6">
      <w:pPr>
        <w:spacing w:line="360" w:lineRule="auto"/>
        <w:jc w:val="both"/>
        <w:rPr>
          <w:rFonts w:ascii="Verdana" w:hAnsi="Verdana" w:cs="Arial"/>
          <w:b/>
          <w:bCs/>
          <w:sz w:val="22"/>
          <w:szCs w:val="22"/>
        </w:rPr>
      </w:pPr>
      <w:r w:rsidRPr="00F47849">
        <w:rPr>
          <w:rFonts w:ascii="Verdana" w:hAnsi="Verdana" w:cs="Arial"/>
          <w:b/>
          <w:bCs/>
          <w:sz w:val="22"/>
          <w:szCs w:val="22"/>
        </w:rPr>
        <w:t xml:space="preserve">5.2.12.2 </w:t>
      </w:r>
      <w:r w:rsidR="00100CB6" w:rsidRPr="00F47849">
        <w:rPr>
          <w:rFonts w:ascii="Verdana" w:hAnsi="Verdana" w:cs="Arial"/>
          <w:b/>
          <w:bCs/>
          <w:sz w:val="22"/>
          <w:szCs w:val="22"/>
        </w:rPr>
        <w:t>Fundamento Jurídico</w:t>
      </w:r>
    </w:p>
    <w:p w14:paraId="26C4E301" w14:textId="77777777" w:rsidR="00AE004C" w:rsidRDefault="00AE004C" w:rsidP="00AE004C">
      <w:pPr>
        <w:spacing w:line="360" w:lineRule="auto"/>
        <w:jc w:val="both"/>
        <w:rPr>
          <w:rFonts w:ascii="Verdana" w:hAnsi="Verdana" w:cs="Arial"/>
          <w:b/>
          <w:bCs/>
        </w:rPr>
      </w:pPr>
    </w:p>
    <w:p w14:paraId="6AA9C3DF" w14:textId="446661DB" w:rsidR="00100CB6" w:rsidRPr="00AE004C" w:rsidRDefault="00100CB6" w:rsidP="00AE004C">
      <w:pPr>
        <w:spacing w:line="360" w:lineRule="auto"/>
        <w:jc w:val="both"/>
        <w:rPr>
          <w:rFonts w:ascii="Verdana" w:hAnsi="Verdana" w:cs="Arial"/>
          <w:sz w:val="22"/>
          <w:szCs w:val="22"/>
          <w:lang w:val="es-CO"/>
        </w:rPr>
      </w:pPr>
      <w:r w:rsidRPr="00AE004C">
        <w:rPr>
          <w:rFonts w:ascii="Verdana" w:hAnsi="Verdana" w:cs="Arial"/>
          <w:sz w:val="22"/>
          <w:szCs w:val="22"/>
          <w:lang w:val="es-CO"/>
        </w:rPr>
        <w:t>Código General del Proceso, artículo 24, numeral 6º. ‘La Superintendencia de Sociedades tendrá facultades jurisdiccionales en materia de garantías mobiliarias’.</w:t>
      </w:r>
    </w:p>
    <w:p w14:paraId="044E8AD6" w14:textId="77777777" w:rsidR="00AE004C" w:rsidRPr="00AE004C" w:rsidRDefault="00AE004C" w:rsidP="00AE004C">
      <w:pPr>
        <w:spacing w:line="360" w:lineRule="auto"/>
        <w:jc w:val="both"/>
        <w:rPr>
          <w:rFonts w:ascii="Verdana" w:hAnsi="Verdana" w:cs="Arial"/>
          <w:sz w:val="22"/>
          <w:szCs w:val="22"/>
          <w:lang w:val="es-CO"/>
        </w:rPr>
      </w:pPr>
    </w:p>
    <w:p w14:paraId="0DCC25BF" w14:textId="6A456C09" w:rsidR="00100CB6" w:rsidRPr="00AE004C" w:rsidRDefault="00100CB6" w:rsidP="00AE004C">
      <w:pPr>
        <w:spacing w:line="360" w:lineRule="auto"/>
        <w:jc w:val="both"/>
        <w:rPr>
          <w:rFonts w:ascii="Verdana" w:hAnsi="Verdana" w:cs="Arial"/>
          <w:sz w:val="22"/>
          <w:szCs w:val="22"/>
          <w:lang w:val="es-CO"/>
        </w:rPr>
      </w:pPr>
      <w:r w:rsidRPr="00AE004C">
        <w:rPr>
          <w:rFonts w:ascii="Verdana" w:hAnsi="Verdana" w:cs="Arial"/>
          <w:sz w:val="22"/>
          <w:szCs w:val="22"/>
          <w:lang w:val="es-CO"/>
        </w:rPr>
        <w:t>Ley 1676 de 2013, artículo 57. ‘La Superintendencia de Sociedades, en uso de facultades jurisdiccionales, de conformidad con lo dispuesto en el inciso 3° del artículo 116 de la Constitución Política, tendrá competencia a prevención y solo en el evento en que el garante sea una sociedad sometida a su vigilancia’.</w:t>
      </w:r>
    </w:p>
    <w:p w14:paraId="6BD0BACB" w14:textId="77777777" w:rsidR="00100CB6" w:rsidRDefault="00100CB6" w:rsidP="00100CB6">
      <w:pPr>
        <w:spacing w:line="360" w:lineRule="auto"/>
        <w:jc w:val="both"/>
        <w:rPr>
          <w:rFonts w:ascii="Verdana" w:hAnsi="Verdana" w:cs="Arial"/>
          <w:sz w:val="22"/>
          <w:szCs w:val="22"/>
          <w:lang w:val="es-CO"/>
        </w:rPr>
      </w:pPr>
    </w:p>
    <w:p w14:paraId="1A2BC2BF" w14:textId="77777777" w:rsidR="00F47849" w:rsidRDefault="00F47849" w:rsidP="00100CB6">
      <w:pPr>
        <w:spacing w:line="360" w:lineRule="auto"/>
        <w:jc w:val="both"/>
        <w:rPr>
          <w:rFonts w:ascii="Verdana" w:hAnsi="Verdana" w:cs="Arial"/>
          <w:sz w:val="22"/>
          <w:szCs w:val="22"/>
          <w:lang w:val="es-CO"/>
        </w:rPr>
      </w:pPr>
    </w:p>
    <w:p w14:paraId="371407E0" w14:textId="77777777" w:rsidR="00F47849" w:rsidRDefault="00F47849" w:rsidP="00100CB6">
      <w:pPr>
        <w:spacing w:line="360" w:lineRule="auto"/>
        <w:jc w:val="both"/>
        <w:rPr>
          <w:rFonts w:ascii="Verdana" w:hAnsi="Verdana" w:cs="Arial"/>
          <w:sz w:val="22"/>
          <w:szCs w:val="22"/>
          <w:lang w:val="es-CO"/>
        </w:rPr>
      </w:pPr>
    </w:p>
    <w:p w14:paraId="1FD24C7E" w14:textId="77777777" w:rsidR="00F47849" w:rsidRPr="00AE004C" w:rsidRDefault="00F47849" w:rsidP="00100CB6">
      <w:pPr>
        <w:spacing w:line="360" w:lineRule="auto"/>
        <w:jc w:val="both"/>
        <w:rPr>
          <w:rFonts w:ascii="Verdana" w:hAnsi="Verdana" w:cs="Arial"/>
          <w:sz w:val="22"/>
          <w:szCs w:val="22"/>
          <w:lang w:val="es-CO"/>
        </w:rPr>
      </w:pPr>
    </w:p>
    <w:p w14:paraId="419AF69B" w14:textId="16114324" w:rsidR="00100CB6" w:rsidRPr="00F47849" w:rsidRDefault="00AE004C" w:rsidP="00100CB6">
      <w:pPr>
        <w:spacing w:line="360" w:lineRule="auto"/>
        <w:jc w:val="both"/>
        <w:rPr>
          <w:rFonts w:ascii="Verdana" w:hAnsi="Verdana" w:cs="Arial"/>
          <w:b/>
          <w:bCs/>
          <w:sz w:val="22"/>
          <w:szCs w:val="22"/>
        </w:rPr>
      </w:pPr>
      <w:r w:rsidRPr="00F47849">
        <w:rPr>
          <w:rFonts w:ascii="Verdana" w:hAnsi="Verdana" w:cs="Arial"/>
          <w:b/>
          <w:bCs/>
          <w:sz w:val="22"/>
          <w:szCs w:val="22"/>
        </w:rPr>
        <w:lastRenderedPageBreak/>
        <w:t xml:space="preserve">5.2.12.3 </w:t>
      </w:r>
      <w:r w:rsidR="00100CB6" w:rsidRPr="00F47849">
        <w:rPr>
          <w:rFonts w:ascii="Verdana" w:hAnsi="Verdana" w:cs="Arial"/>
          <w:b/>
          <w:bCs/>
          <w:sz w:val="22"/>
          <w:szCs w:val="22"/>
        </w:rPr>
        <w:t>Trámite procesal</w:t>
      </w:r>
    </w:p>
    <w:p w14:paraId="30380186" w14:textId="77777777" w:rsidR="00AE004C" w:rsidRDefault="00AE004C" w:rsidP="00AE004C">
      <w:pPr>
        <w:spacing w:line="360" w:lineRule="auto"/>
        <w:jc w:val="both"/>
        <w:rPr>
          <w:rFonts w:ascii="Arial" w:hAnsi="Arial" w:cs="Arial"/>
        </w:rPr>
      </w:pPr>
    </w:p>
    <w:p w14:paraId="70F371B2" w14:textId="2F4975C6" w:rsidR="00100CB6" w:rsidRDefault="00100CB6" w:rsidP="00AE004C">
      <w:pPr>
        <w:spacing w:line="360" w:lineRule="auto"/>
        <w:jc w:val="both"/>
        <w:rPr>
          <w:rFonts w:ascii="Verdana" w:hAnsi="Verdana" w:cs="Arial"/>
          <w:sz w:val="22"/>
          <w:szCs w:val="22"/>
        </w:rPr>
      </w:pPr>
      <w:r w:rsidRPr="00AE004C">
        <w:rPr>
          <w:rFonts w:ascii="Verdana" w:hAnsi="Verdana" w:cs="Arial"/>
          <w:sz w:val="22"/>
          <w:szCs w:val="22"/>
        </w:rPr>
        <w:t>El trámite procesal corresponde a los establecidos en la ley 1676 de 2003, de conformidad con los artículos 58 y siguientes.</w:t>
      </w:r>
    </w:p>
    <w:p w14:paraId="1806D481" w14:textId="77777777" w:rsidR="00F47849" w:rsidRPr="00AE004C" w:rsidRDefault="00F47849" w:rsidP="00AE004C">
      <w:pPr>
        <w:spacing w:line="360" w:lineRule="auto"/>
        <w:jc w:val="both"/>
        <w:rPr>
          <w:rFonts w:ascii="Verdana" w:hAnsi="Verdana" w:cs="Arial"/>
          <w:sz w:val="22"/>
          <w:szCs w:val="22"/>
        </w:rPr>
      </w:pPr>
    </w:p>
    <w:p w14:paraId="465DAE41" w14:textId="5AD42129" w:rsidR="00100CB6" w:rsidRDefault="00AE004C" w:rsidP="00F47849">
      <w:pPr>
        <w:spacing w:line="360" w:lineRule="auto"/>
        <w:jc w:val="both"/>
        <w:rPr>
          <w:rFonts w:ascii="Verdana" w:hAnsi="Verdana" w:cs="Arial"/>
          <w:b/>
          <w:bCs/>
          <w:sz w:val="22"/>
          <w:szCs w:val="22"/>
        </w:rPr>
      </w:pPr>
      <w:r w:rsidRPr="00F47849">
        <w:rPr>
          <w:rFonts w:ascii="Verdana" w:hAnsi="Verdana" w:cs="Arial"/>
          <w:b/>
          <w:bCs/>
          <w:sz w:val="22"/>
          <w:szCs w:val="22"/>
        </w:rPr>
        <w:t xml:space="preserve">5.2.12.4 </w:t>
      </w:r>
      <w:r w:rsidR="00100CB6" w:rsidRPr="00F47849">
        <w:rPr>
          <w:rFonts w:ascii="Verdana" w:hAnsi="Verdana" w:cs="Arial"/>
          <w:b/>
          <w:bCs/>
          <w:sz w:val="22"/>
          <w:szCs w:val="22"/>
        </w:rPr>
        <w:t>Jurisprudencia</w:t>
      </w:r>
    </w:p>
    <w:p w14:paraId="11AC019D" w14:textId="77777777" w:rsidR="00F47849" w:rsidRPr="00F47849" w:rsidRDefault="00F47849" w:rsidP="00F47849">
      <w:pPr>
        <w:spacing w:line="360" w:lineRule="auto"/>
        <w:jc w:val="both"/>
        <w:rPr>
          <w:rFonts w:ascii="Verdana" w:hAnsi="Verdana" w:cs="Arial"/>
          <w:b/>
          <w:bCs/>
          <w:sz w:val="22"/>
          <w:szCs w:val="22"/>
        </w:rPr>
      </w:pPr>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99"/>
        <w:gridCol w:w="1406"/>
        <w:gridCol w:w="6829"/>
      </w:tblGrid>
      <w:tr w:rsidR="00100CB6" w:rsidRPr="009D308D" w14:paraId="3FFEF8BF" w14:textId="77777777" w:rsidTr="00663F8C">
        <w:trPr>
          <w:tblHeader/>
        </w:trPr>
        <w:tc>
          <w:tcPr>
            <w:tcW w:w="1399" w:type="dxa"/>
            <w:shd w:val="clear" w:color="auto" w:fill="962D46"/>
          </w:tcPr>
          <w:p w14:paraId="12F2BF5E" w14:textId="77777777" w:rsidR="00100CB6" w:rsidRPr="00AE004C" w:rsidRDefault="00100CB6" w:rsidP="00DA378C">
            <w:pPr>
              <w:widowControl w:val="0"/>
              <w:autoSpaceDE w:val="0"/>
              <w:autoSpaceDN w:val="0"/>
              <w:jc w:val="center"/>
              <w:rPr>
                <w:rFonts w:ascii="Verdana" w:hAnsi="Verdana" w:cs="Arial"/>
                <w:b/>
                <w:color w:val="FFFFFF"/>
                <w:sz w:val="20"/>
                <w:szCs w:val="20"/>
                <w:lang w:val="en-US"/>
              </w:rPr>
            </w:pPr>
            <w:r w:rsidRPr="00AE004C">
              <w:rPr>
                <w:rFonts w:ascii="Verdana" w:hAnsi="Verdana" w:cs="Arial"/>
                <w:b/>
                <w:color w:val="FFFFFF"/>
                <w:sz w:val="20"/>
                <w:szCs w:val="20"/>
                <w:lang w:val="en-US"/>
              </w:rPr>
              <w:t>Caso</w:t>
            </w:r>
          </w:p>
        </w:tc>
        <w:tc>
          <w:tcPr>
            <w:tcW w:w="1406" w:type="dxa"/>
            <w:shd w:val="clear" w:color="auto" w:fill="962D46"/>
          </w:tcPr>
          <w:p w14:paraId="05A44521" w14:textId="77777777" w:rsidR="00100CB6" w:rsidRPr="00AE004C" w:rsidRDefault="00100CB6" w:rsidP="00DA378C">
            <w:pPr>
              <w:widowControl w:val="0"/>
              <w:autoSpaceDE w:val="0"/>
              <w:autoSpaceDN w:val="0"/>
              <w:jc w:val="center"/>
              <w:rPr>
                <w:rFonts w:ascii="Verdana" w:hAnsi="Verdana" w:cs="Arial"/>
                <w:b/>
                <w:color w:val="FFFFFF"/>
                <w:sz w:val="20"/>
                <w:szCs w:val="20"/>
                <w:lang w:val="en-US"/>
              </w:rPr>
            </w:pPr>
            <w:proofErr w:type="spellStart"/>
            <w:r w:rsidRPr="00AE004C">
              <w:rPr>
                <w:rFonts w:ascii="Verdana" w:hAnsi="Verdana" w:cs="Arial"/>
                <w:b/>
                <w:color w:val="FFFFFF"/>
                <w:sz w:val="20"/>
                <w:szCs w:val="20"/>
                <w:lang w:val="en-US"/>
              </w:rPr>
              <w:t>Asunto</w:t>
            </w:r>
            <w:proofErr w:type="spellEnd"/>
          </w:p>
        </w:tc>
        <w:tc>
          <w:tcPr>
            <w:tcW w:w="6829" w:type="dxa"/>
            <w:shd w:val="clear" w:color="auto" w:fill="962D46"/>
          </w:tcPr>
          <w:p w14:paraId="09FCBD83" w14:textId="77777777" w:rsidR="00100CB6" w:rsidRPr="00AE004C" w:rsidRDefault="00100CB6" w:rsidP="00DA378C">
            <w:pPr>
              <w:widowControl w:val="0"/>
              <w:autoSpaceDE w:val="0"/>
              <w:autoSpaceDN w:val="0"/>
              <w:jc w:val="center"/>
              <w:rPr>
                <w:rFonts w:ascii="Verdana" w:hAnsi="Verdana" w:cs="Arial"/>
                <w:b/>
                <w:color w:val="FFFFFF"/>
                <w:sz w:val="20"/>
                <w:szCs w:val="20"/>
                <w:lang w:val="en-US"/>
              </w:rPr>
            </w:pPr>
            <w:r w:rsidRPr="00AE004C">
              <w:rPr>
                <w:rFonts w:ascii="Verdana" w:hAnsi="Verdana" w:cs="Arial"/>
                <w:b/>
                <w:color w:val="FFFFFF"/>
                <w:sz w:val="20"/>
                <w:szCs w:val="20"/>
                <w:lang w:val="en-US"/>
              </w:rPr>
              <w:t>Extracto</w:t>
            </w:r>
          </w:p>
        </w:tc>
      </w:tr>
      <w:tr w:rsidR="00100CB6" w:rsidRPr="009D308D" w14:paraId="03BED662" w14:textId="77777777" w:rsidTr="00E774E1">
        <w:tc>
          <w:tcPr>
            <w:tcW w:w="1399" w:type="dxa"/>
            <w:shd w:val="clear" w:color="auto" w:fill="auto"/>
            <w:vAlign w:val="center"/>
          </w:tcPr>
          <w:p w14:paraId="33998D08" w14:textId="77777777" w:rsidR="00100CB6" w:rsidRPr="00AE004C" w:rsidRDefault="00100CB6" w:rsidP="00DA378C">
            <w:pPr>
              <w:widowControl w:val="0"/>
              <w:autoSpaceDE w:val="0"/>
              <w:autoSpaceDN w:val="0"/>
              <w:jc w:val="center"/>
              <w:rPr>
                <w:rFonts w:ascii="Verdana" w:hAnsi="Verdana" w:cs="Arial"/>
                <w:sz w:val="16"/>
                <w:szCs w:val="16"/>
                <w:lang w:val="es-CO"/>
              </w:rPr>
            </w:pPr>
            <w:r w:rsidRPr="00AE004C">
              <w:rPr>
                <w:rFonts w:ascii="Verdana" w:hAnsi="Verdana" w:cs="Arial"/>
                <w:sz w:val="16"/>
                <w:szCs w:val="16"/>
                <w:lang w:val="es-CO"/>
              </w:rPr>
              <w:t>G.M.A.C. Financiera de Colombia S.A. contra Andrea del Pilar Olmos Torres</w:t>
            </w:r>
          </w:p>
        </w:tc>
        <w:tc>
          <w:tcPr>
            <w:tcW w:w="1406" w:type="dxa"/>
            <w:shd w:val="clear" w:color="auto" w:fill="auto"/>
            <w:vAlign w:val="center"/>
          </w:tcPr>
          <w:p w14:paraId="24C436FD" w14:textId="77777777" w:rsidR="00100CB6" w:rsidRPr="00AE004C" w:rsidRDefault="00100CB6" w:rsidP="00DA378C">
            <w:pPr>
              <w:widowControl w:val="0"/>
              <w:autoSpaceDE w:val="0"/>
              <w:autoSpaceDN w:val="0"/>
              <w:jc w:val="center"/>
              <w:rPr>
                <w:rFonts w:ascii="Verdana" w:hAnsi="Verdana" w:cs="Arial"/>
                <w:sz w:val="16"/>
                <w:szCs w:val="16"/>
                <w:lang w:val="es-CO"/>
              </w:rPr>
            </w:pPr>
            <w:r w:rsidRPr="00AE004C">
              <w:rPr>
                <w:rFonts w:ascii="Verdana" w:hAnsi="Verdana" w:cs="Arial"/>
                <w:sz w:val="16"/>
                <w:szCs w:val="16"/>
                <w:lang w:val="es-CO"/>
              </w:rPr>
              <w:t>Rechazo de solicitud de aprehensión y entrega por falta de competencia</w:t>
            </w:r>
          </w:p>
        </w:tc>
        <w:tc>
          <w:tcPr>
            <w:tcW w:w="6829" w:type="dxa"/>
            <w:shd w:val="clear" w:color="auto" w:fill="auto"/>
          </w:tcPr>
          <w:p w14:paraId="167E3B8A" w14:textId="77777777" w:rsidR="00100CB6" w:rsidRPr="00AE004C" w:rsidRDefault="00100CB6" w:rsidP="00DA378C">
            <w:pPr>
              <w:widowControl w:val="0"/>
              <w:autoSpaceDE w:val="0"/>
              <w:autoSpaceDN w:val="0"/>
              <w:jc w:val="both"/>
              <w:rPr>
                <w:rFonts w:ascii="Verdana" w:hAnsi="Verdana" w:cs="Arial"/>
                <w:sz w:val="16"/>
                <w:szCs w:val="16"/>
                <w:lang w:val="es-CO"/>
              </w:rPr>
            </w:pPr>
            <w:r w:rsidRPr="00AE004C">
              <w:rPr>
                <w:rFonts w:ascii="Verdana" w:hAnsi="Verdana" w:cs="Arial"/>
                <w:sz w:val="16"/>
                <w:szCs w:val="16"/>
                <w:lang w:val="es-CO"/>
              </w:rPr>
              <w:t>‘Una vez revisada la solicitud de aprehensión y entrega, el Despacho encuentra procedente rechazarla de plano, conforme lo prevé el artículo 90 del Código General del Proceso. Esto se debe a que lo solicitado por GMAC Financiera de Colombia S.A. excede las facultades jurisdiccionales asignadas por ley a esta Superintendencia en materia de garantías mobiliarias. En efecto, de acuerdo con el artículo 57 de la Ley 1676 de 2013, la Superintendencia de Sociedades es competente para conocer acerca de las solicitudes a que hace referencia el parágrafo 2° del artículo 60 de la misma normatividad únicamente cuando el garante es una sociedad sometida a la vigilancia de la entidad. En el presente caso, sin embargo, el garante es una persona natural’.</w:t>
            </w:r>
          </w:p>
        </w:tc>
      </w:tr>
      <w:tr w:rsidR="00100CB6" w:rsidRPr="009D308D" w14:paraId="74EC2978" w14:textId="77777777" w:rsidTr="00C52FAB">
        <w:tc>
          <w:tcPr>
            <w:tcW w:w="1399" w:type="dxa"/>
            <w:shd w:val="clear" w:color="auto" w:fill="F2DCDB"/>
            <w:vAlign w:val="center"/>
          </w:tcPr>
          <w:p w14:paraId="4B331863" w14:textId="77777777" w:rsidR="00100CB6" w:rsidRPr="00AE004C" w:rsidRDefault="00100CB6" w:rsidP="00DA378C">
            <w:pPr>
              <w:widowControl w:val="0"/>
              <w:autoSpaceDE w:val="0"/>
              <w:autoSpaceDN w:val="0"/>
              <w:jc w:val="center"/>
              <w:rPr>
                <w:rFonts w:ascii="Verdana" w:hAnsi="Verdana" w:cs="Arial"/>
                <w:sz w:val="16"/>
                <w:szCs w:val="16"/>
                <w:lang w:val="es-CO"/>
              </w:rPr>
            </w:pPr>
            <w:proofErr w:type="spellStart"/>
            <w:r w:rsidRPr="00AE004C">
              <w:rPr>
                <w:rFonts w:ascii="Verdana" w:hAnsi="Verdana" w:cs="Arial"/>
                <w:sz w:val="16"/>
                <w:szCs w:val="16"/>
                <w:lang w:val="es-CO"/>
              </w:rPr>
              <w:t>Asodatos</w:t>
            </w:r>
            <w:proofErr w:type="spellEnd"/>
            <w:r w:rsidRPr="00AE004C">
              <w:rPr>
                <w:rFonts w:ascii="Verdana" w:hAnsi="Verdana" w:cs="Arial"/>
                <w:sz w:val="16"/>
                <w:szCs w:val="16"/>
                <w:lang w:val="es-CO"/>
              </w:rPr>
              <w:t xml:space="preserve"> S.A. contra </w:t>
            </w:r>
            <w:proofErr w:type="spellStart"/>
            <w:r w:rsidRPr="00AE004C">
              <w:rPr>
                <w:rFonts w:ascii="Verdana" w:hAnsi="Verdana" w:cs="Arial"/>
                <w:sz w:val="16"/>
                <w:szCs w:val="16"/>
                <w:lang w:val="es-CO"/>
              </w:rPr>
              <w:t>Cilas</w:t>
            </w:r>
            <w:proofErr w:type="spellEnd"/>
            <w:r w:rsidRPr="00AE004C">
              <w:rPr>
                <w:rFonts w:ascii="Verdana" w:hAnsi="Verdana" w:cs="Arial"/>
                <w:sz w:val="16"/>
                <w:szCs w:val="16"/>
                <w:lang w:val="es-CO"/>
              </w:rPr>
              <w:t xml:space="preserve"> S.A.S.</w:t>
            </w:r>
          </w:p>
        </w:tc>
        <w:tc>
          <w:tcPr>
            <w:tcW w:w="1406" w:type="dxa"/>
            <w:shd w:val="clear" w:color="auto" w:fill="F2DCDB"/>
            <w:vAlign w:val="center"/>
          </w:tcPr>
          <w:p w14:paraId="023B5CF2" w14:textId="77777777" w:rsidR="00100CB6" w:rsidRPr="00AE004C" w:rsidRDefault="00100CB6" w:rsidP="00DA378C">
            <w:pPr>
              <w:widowControl w:val="0"/>
              <w:autoSpaceDE w:val="0"/>
              <w:autoSpaceDN w:val="0"/>
              <w:jc w:val="center"/>
              <w:rPr>
                <w:rFonts w:ascii="Verdana" w:hAnsi="Verdana" w:cs="Arial"/>
                <w:sz w:val="16"/>
                <w:szCs w:val="16"/>
                <w:lang w:val="es-CO"/>
              </w:rPr>
            </w:pPr>
            <w:r w:rsidRPr="00AE004C">
              <w:rPr>
                <w:rFonts w:ascii="Verdana" w:hAnsi="Verdana" w:cs="Arial"/>
                <w:sz w:val="16"/>
                <w:szCs w:val="16"/>
                <w:lang w:val="es-CO"/>
              </w:rPr>
              <w:t>Rechazo de solicitud de aprehensión y entrega por falta de competencia</w:t>
            </w:r>
          </w:p>
        </w:tc>
        <w:tc>
          <w:tcPr>
            <w:tcW w:w="6829" w:type="dxa"/>
            <w:shd w:val="clear" w:color="auto" w:fill="F2DCDB"/>
          </w:tcPr>
          <w:p w14:paraId="3A694E43" w14:textId="77777777" w:rsidR="00100CB6" w:rsidRPr="00AE004C" w:rsidRDefault="00100CB6" w:rsidP="00DA378C">
            <w:pPr>
              <w:widowControl w:val="0"/>
              <w:autoSpaceDE w:val="0"/>
              <w:autoSpaceDN w:val="0"/>
              <w:jc w:val="both"/>
              <w:rPr>
                <w:rFonts w:ascii="Verdana" w:hAnsi="Verdana" w:cs="Arial"/>
                <w:sz w:val="16"/>
                <w:szCs w:val="16"/>
                <w:lang w:val="es-CO"/>
              </w:rPr>
            </w:pPr>
            <w:r w:rsidRPr="00AE004C">
              <w:rPr>
                <w:rFonts w:ascii="Verdana" w:hAnsi="Verdana" w:cs="Arial"/>
                <w:sz w:val="16"/>
                <w:szCs w:val="16"/>
                <w:lang w:val="es-CO"/>
              </w:rPr>
              <w:t xml:space="preserve">‘Una vez revisada la solicitud de aprehensión y entrega, el Despacho encuentra procedente rechazarla de plano, conforme lo prevé el artículo 90 del Código General del Proceso. Esto se debe a que lo solicitado excede las facultades jurisdiccionales asignadas por ley a esta Superintendencia en materia de garantías mobiliarias. En efecto, de acuerdo con el artículo 57 de la Ley 1676 de 2013, la Superintendencia de Sociedades es competente para conocer sobre las solicitudes a que se refiere el parágrafo 2° del artículo 60 de la citada Ley 1676, únicamente cuando el garante sea una sociedad sometida a la vigilancia de esta entidad. Una vez analizada la información del garante, este Despacho pudo advertir que no se trata de una sociedad sujeta a tal grado de intervención. En verdad, </w:t>
            </w:r>
            <w:proofErr w:type="spellStart"/>
            <w:r w:rsidRPr="00AE004C">
              <w:rPr>
                <w:rFonts w:ascii="Verdana" w:hAnsi="Verdana" w:cs="Arial"/>
                <w:sz w:val="16"/>
                <w:szCs w:val="16"/>
                <w:lang w:val="es-CO"/>
              </w:rPr>
              <w:t>Cilas</w:t>
            </w:r>
            <w:proofErr w:type="spellEnd"/>
            <w:r w:rsidRPr="00AE004C">
              <w:rPr>
                <w:rFonts w:ascii="Verdana" w:hAnsi="Verdana" w:cs="Arial"/>
                <w:sz w:val="16"/>
                <w:szCs w:val="16"/>
                <w:lang w:val="es-CO"/>
              </w:rPr>
              <w:t xml:space="preserve"> S.A.S. tan solo se encuentra sometida al nivel de supervisión denominado inspección, en los términos del artículo 83 de la Ley 222 de 1995. Así las cosas, este Despacho enviará la demanda junto con sus anexos a la autoridad competente’.</w:t>
            </w:r>
          </w:p>
        </w:tc>
      </w:tr>
    </w:tbl>
    <w:p w14:paraId="22FFDC3A" w14:textId="77777777" w:rsidR="00100CB6" w:rsidRPr="009D308D" w:rsidRDefault="00100CB6" w:rsidP="00100CB6">
      <w:pPr>
        <w:rPr>
          <w:rFonts w:ascii="Arial" w:hAnsi="Arial" w:cs="Arial"/>
          <w:lang w:val="es-MX" w:eastAsia="es-MX"/>
        </w:rPr>
      </w:pPr>
    </w:p>
    <w:p w14:paraId="78C2EC18" w14:textId="47F5BAE7" w:rsidR="003260BD" w:rsidRDefault="006D5D67" w:rsidP="000742BC">
      <w:pPr>
        <w:spacing w:line="360" w:lineRule="auto"/>
        <w:jc w:val="both"/>
        <w:rPr>
          <w:rFonts w:ascii="Verdana" w:hAnsi="Verdana" w:cs="Arial"/>
          <w:b/>
          <w:bCs/>
          <w:sz w:val="22"/>
          <w:szCs w:val="22"/>
        </w:rPr>
      </w:pPr>
      <w:bookmarkStart w:id="5" w:name="_Toc47131461"/>
      <w:bookmarkStart w:id="6" w:name="_Toc47131467"/>
      <w:r w:rsidRPr="000742BC">
        <w:rPr>
          <w:rFonts w:ascii="Verdana" w:hAnsi="Verdana" w:cs="Arial"/>
          <w:b/>
          <w:bCs/>
          <w:sz w:val="22"/>
          <w:szCs w:val="22"/>
        </w:rPr>
        <w:t>5.3</w:t>
      </w:r>
      <w:r w:rsidR="000742BC">
        <w:rPr>
          <w:rFonts w:ascii="Verdana" w:hAnsi="Verdana" w:cs="Arial"/>
          <w:b/>
          <w:bCs/>
          <w:sz w:val="22"/>
          <w:szCs w:val="22"/>
        </w:rPr>
        <w:t xml:space="preserve"> </w:t>
      </w:r>
      <w:r w:rsidR="000742BC" w:rsidRPr="00900E80">
        <w:rPr>
          <w:rFonts w:ascii="Verdana" w:hAnsi="Verdana" w:cs="Arial"/>
          <w:b/>
          <w:bCs/>
          <w:sz w:val="22"/>
          <w:szCs w:val="22"/>
        </w:rPr>
        <w:t>PROCEDIMIENTO DE SEGURIDAD Y CUSTODIA DE LOS ACTIVOS FIJOS</w:t>
      </w:r>
      <w:r w:rsidR="003260BD">
        <w:rPr>
          <w:rFonts w:ascii="Verdana" w:hAnsi="Verdana" w:cs="Arial"/>
          <w:b/>
          <w:bCs/>
          <w:sz w:val="22"/>
          <w:szCs w:val="22"/>
        </w:rPr>
        <w:t xml:space="preserve"> DE</w:t>
      </w:r>
    </w:p>
    <w:p w14:paraId="4CB06BD2" w14:textId="1337FEBD" w:rsidR="00100CB6" w:rsidRDefault="000742BC" w:rsidP="000742BC">
      <w:pPr>
        <w:spacing w:line="360" w:lineRule="auto"/>
        <w:jc w:val="both"/>
        <w:rPr>
          <w:rFonts w:ascii="Verdana" w:hAnsi="Verdana" w:cs="Arial"/>
          <w:b/>
          <w:bCs/>
          <w:sz w:val="22"/>
          <w:szCs w:val="22"/>
        </w:rPr>
      </w:pPr>
      <w:r w:rsidRPr="00900E80">
        <w:rPr>
          <w:rFonts w:ascii="Verdana" w:hAnsi="Verdana" w:cs="Arial"/>
          <w:b/>
          <w:bCs/>
          <w:sz w:val="22"/>
          <w:szCs w:val="22"/>
        </w:rPr>
        <w:t xml:space="preserve">  LAS SALAS DE AUDIENCIAS</w:t>
      </w:r>
      <w:bookmarkEnd w:id="5"/>
      <w:bookmarkEnd w:id="6"/>
    </w:p>
    <w:p w14:paraId="27E95FD5" w14:textId="77777777" w:rsidR="000742BC" w:rsidRPr="000742BC" w:rsidRDefault="000742BC" w:rsidP="000742BC">
      <w:pPr>
        <w:spacing w:line="360" w:lineRule="auto"/>
        <w:jc w:val="both"/>
        <w:rPr>
          <w:rFonts w:ascii="Verdana" w:hAnsi="Verdana" w:cs="Arial"/>
          <w:b/>
          <w:bCs/>
          <w:sz w:val="22"/>
          <w:szCs w:val="22"/>
        </w:rPr>
      </w:pPr>
    </w:p>
    <w:p w14:paraId="696595AA" w14:textId="060C5336" w:rsidR="006D5D67" w:rsidRPr="00AB0407" w:rsidRDefault="00100CB6" w:rsidP="00100CB6">
      <w:pPr>
        <w:pStyle w:val="Textoindependiente"/>
        <w:spacing w:line="336" w:lineRule="auto"/>
        <w:rPr>
          <w:rFonts w:ascii="Verdana" w:hAnsi="Verdana"/>
          <w:bCs/>
          <w:spacing w:val="4"/>
          <w:sz w:val="22"/>
          <w:szCs w:val="22"/>
        </w:rPr>
      </w:pPr>
      <w:r w:rsidRPr="00AB0407">
        <w:rPr>
          <w:rFonts w:ascii="Verdana" w:hAnsi="Verdana"/>
          <w:bCs/>
          <w:spacing w:val="4"/>
          <w:sz w:val="22"/>
          <w:szCs w:val="22"/>
        </w:rPr>
        <w:t xml:space="preserve">Puede consultar </w:t>
      </w:r>
      <w:r w:rsidR="002A1D20">
        <w:rPr>
          <w:rFonts w:ascii="Verdana" w:hAnsi="Verdana"/>
          <w:bCs/>
          <w:spacing w:val="4"/>
          <w:sz w:val="22"/>
          <w:szCs w:val="22"/>
        </w:rPr>
        <w:t>el procedimiento AJU-PR-007 en</w:t>
      </w:r>
      <w:r w:rsidR="007F6E88">
        <w:rPr>
          <w:rFonts w:ascii="Verdana" w:hAnsi="Verdana"/>
          <w:bCs/>
          <w:spacing w:val="4"/>
          <w:sz w:val="22"/>
          <w:szCs w:val="22"/>
        </w:rPr>
        <w:t xml:space="preserve"> el proceso apoyo judicial </w:t>
      </w:r>
      <w:r w:rsidR="00656AFA">
        <w:rPr>
          <w:rFonts w:ascii="Verdana" w:hAnsi="Verdana"/>
          <w:bCs/>
          <w:spacing w:val="4"/>
          <w:sz w:val="22"/>
          <w:szCs w:val="22"/>
        </w:rPr>
        <w:t>de nuestro</w:t>
      </w:r>
      <w:r w:rsidR="002A1D20">
        <w:rPr>
          <w:rFonts w:ascii="Verdana" w:hAnsi="Verdana"/>
          <w:bCs/>
          <w:spacing w:val="4"/>
          <w:sz w:val="22"/>
          <w:szCs w:val="22"/>
        </w:rPr>
        <w:t xml:space="preserve"> Sistema de Gestión Integrado</w:t>
      </w:r>
      <w:r w:rsidR="007F6E88">
        <w:rPr>
          <w:rFonts w:ascii="Verdana" w:hAnsi="Verdana"/>
          <w:bCs/>
          <w:spacing w:val="4"/>
          <w:sz w:val="22"/>
          <w:szCs w:val="22"/>
        </w:rPr>
        <w:t xml:space="preserve"> en</w:t>
      </w:r>
      <w:r w:rsidR="00656AFA">
        <w:rPr>
          <w:rFonts w:ascii="Verdana" w:hAnsi="Verdana"/>
          <w:bCs/>
          <w:spacing w:val="4"/>
          <w:sz w:val="22"/>
          <w:szCs w:val="22"/>
        </w:rPr>
        <w:t xml:space="preserve"> </w:t>
      </w:r>
      <w:r w:rsidR="007F6E88">
        <w:rPr>
          <w:rFonts w:ascii="Verdana" w:hAnsi="Verdana"/>
          <w:bCs/>
          <w:spacing w:val="4"/>
          <w:sz w:val="22"/>
          <w:szCs w:val="22"/>
        </w:rPr>
        <w:t>Intranet o Página web</w:t>
      </w:r>
      <w:r w:rsidR="00656AFA">
        <w:rPr>
          <w:rFonts w:ascii="Verdana" w:hAnsi="Verdana"/>
          <w:bCs/>
          <w:spacing w:val="4"/>
          <w:sz w:val="22"/>
          <w:szCs w:val="22"/>
        </w:rPr>
        <w:t xml:space="preserve"> de la entidad</w:t>
      </w:r>
      <w:r w:rsidR="002A1D20">
        <w:rPr>
          <w:rFonts w:ascii="Verdana" w:hAnsi="Verdana"/>
          <w:bCs/>
          <w:spacing w:val="4"/>
          <w:sz w:val="22"/>
          <w:szCs w:val="22"/>
        </w:rPr>
        <w:t xml:space="preserve">. </w:t>
      </w:r>
    </w:p>
    <w:p w14:paraId="17AB4F23" w14:textId="77777777" w:rsidR="006D5D67" w:rsidRPr="00AB0407" w:rsidRDefault="006D5D67" w:rsidP="00100CB6">
      <w:pPr>
        <w:pStyle w:val="Textoindependiente"/>
        <w:spacing w:line="336" w:lineRule="auto"/>
        <w:rPr>
          <w:rFonts w:ascii="Verdana" w:hAnsi="Verdana"/>
          <w:bCs/>
          <w:spacing w:val="4"/>
          <w:sz w:val="22"/>
          <w:szCs w:val="22"/>
        </w:rPr>
      </w:pPr>
    </w:p>
    <w:p w14:paraId="78D278AE" w14:textId="77777777" w:rsidR="003260BD" w:rsidRPr="00853D53" w:rsidRDefault="003260BD" w:rsidP="00853D53">
      <w:pPr>
        <w:rPr>
          <w:rFonts w:ascii="Arial" w:hAnsi="Arial" w:cs="Arial"/>
        </w:rPr>
      </w:pPr>
    </w:p>
    <w:p w14:paraId="7203AAD9" w14:textId="77777777" w:rsidR="0067341A" w:rsidRPr="009F7F0D" w:rsidRDefault="0067341A" w:rsidP="00E774E1">
      <w:pPr>
        <w:rPr>
          <w:rFonts w:ascii="Verdana" w:hAnsi="Verdana" w:cs="Arial"/>
          <w:color w:val="FF0000"/>
          <w:sz w:val="22"/>
          <w:szCs w:val="22"/>
          <w:lang w:val="es-ES_tradnl"/>
        </w:rPr>
      </w:pPr>
    </w:p>
    <w:p w14:paraId="368C477A" w14:textId="77777777" w:rsidR="00AC389F" w:rsidRDefault="00AC389F" w:rsidP="00AC389F">
      <w:pPr>
        <w:jc w:val="both"/>
        <w:rPr>
          <w:rFonts w:ascii="Verdana" w:hAnsi="Verdana" w:cs="Arial"/>
          <w:color w:val="FF0000"/>
          <w:sz w:val="22"/>
          <w:szCs w:val="22"/>
          <w:lang w:val="es-ES_tradnl"/>
        </w:rPr>
      </w:pPr>
    </w:p>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lastRenderedPageBreak/>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B4FEE" w:rsidRPr="00293386" w14:paraId="3A1A9154" w14:textId="77777777" w:rsidTr="005168A6">
        <w:trPr>
          <w:trHeight w:val="345"/>
          <w:jc w:val="center"/>
        </w:trPr>
        <w:tc>
          <w:tcPr>
            <w:tcW w:w="1271" w:type="dxa"/>
            <w:shd w:val="clear" w:color="auto" w:fill="F2DCDB"/>
            <w:vAlign w:val="center"/>
          </w:tcPr>
          <w:p w14:paraId="48DAA568"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07086C8A"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93890DE"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0517F7" w:rsidRPr="00293386" w14:paraId="169F1832" w14:textId="77777777" w:rsidTr="005A0E6D">
        <w:trPr>
          <w:trHeight w:val="365"/>
          <w:jc w:val="center"/>
        </w:trPr>
        <w:tc>
          <w:tcPr>
            <w:tcW w:w="1271" w:type="dxa"/>
            <w:vAlign w:val="center"/>
          </w:tcPr>
          <w:p w14:paraId="27AC6794" w14:textId="00A1591C" w:rsidR="000517F7" w:rsidRPr="00853D53" w:rsidRDefault="00FC3B48" w:rsidP="005A0E6D">
            <w:pPr>
              <w:jc w:val="center"/>
              <w:rPr>
                <w:rFonts w:ascii="Verdana" w:hAnsi="Verdana" w:cs="Arial"/>
                <w:sz w:val="18"/>
                <w:szCs w:val="18"/>
              </w:rPr>
            </w:pPr>
            <w:r w:rsidRPr="00853D53">
              <w:rPr>
                <w:rFonts w:ascii="Verdana" w:hAnsi="Verdana" w:cs="Arial"/>
                <w:sz w:val="18"/>
                <w:szCs w:val="18"/>
              </w:rPr>
              <w:t>001</w:t>
            </w:r>
          </w:p>
        </w:tc>
        <w:tc>
          <w:tcPr>
            <w:tcW w:w="1379" w:type="dxa"/>
            <w:vAlign w:val="center"/>
          </w:tcPr>
          <w:p w14:paraId="1C0E6738" w14:textId="778F3F85" w:rsidR="000517F7" w:rsidRPr="00853D53" w:rsidRDefault="00BC10DC" w:rsidP="005A0E6D">
            <w:pPr>
              <w:jc w:val="center"/>
              <w:rPr>
                <w:rFonts w:ascii="Verdana" w:hAnsi="Verdana"/>
                <w:sz w:val="18"/>
                <w:szCs w:val="18"/>
              </w:rPr>
            </w:pPr>
            <w:r w:rsidRPr="00853D53">
              <w:rPr>
                <w:rFonts w:ascii="Verdana" w:hAnsi="Verdana"/>
                <w:sz w:val="18"/>
                <w:szCs w:val="18"/>
              </w:rPr>
              <w:t>25-01-2013</w:t>
            </w:r>
          </w:p>
        </w:tc>
        <w:tc>
          <w:tcPr>
            <w:tcW w:w="6979" w:type="dxa"/>
            <w:vAlign w:val="center"/>
          </w:tcPr>
          <w:p w14:paraId="6F9A89A3" w14:textId="4A6BA8C1" w:rsidR="000517F7" w:rsidRPr="00853D53" w:rsidRDefault="00BC10DC" w:rsidP="005A0E6D">
            <w:pPr>
              <w:rPr>
                <w:rFonts w:ascii="Verdana" w:hAnsi="Verdana"/>
                <w:sz w:val="18"/>
                <w:szCs w:val="18"/>
                <w:lang w:val="es-CO"/>
              </w:rPr>
            </w:pPr>
            <w:r w:rsidRPr="00853D53">
              <w:rPr>
                <w:rFonts w:ascii="Verdana" w:hAnsi="Verdana"/>
                <w:sz w:val="18"/>
                <w:szCs w:val="18"/>
                <w:lang w:val="es-CO"/>
              </w:rPr>
              <w:t>Creación del documento</w:t>
            </w:r>
          </w:p>
        </w:tc>
      </w:tr>
      <w:tr w:rsidR="00BC10DC" w:rsidRPr="00293386" w14:paraId="1E424F89" w14:textId="77777777" w:rsidTr="005A0E6D">
        <w:trPr>
          <w:trHeight w:val="365"/>
          <w:jc w:val="center"/>
        </w:trPr>
        <w:tc>
          <w:tcPr>
            <w:tcW w:w="1271" w:type="dxa"/>
            <w:vAlign w:val="center"/>
          </w:tcPr>
          <w:p w14:paraId="5BEA23E9" w14:textId="213A3E1A" w:rsidR="00BC10DC" w:rsidRPr="00853D53" w:rsidRDefault="00BC10DC" w:rsidP="005A0E6D">
            <w:pPr>
              <w:jc w:val="center"/>
              <w:rPr>
                <w:rFonts w:ascii="Verdana" w:hAnsi="Verdana" w:cs="Arial"/>
                <w:sz w:val="18"/>
                <w:szCs w:val="18"/>
              </w:rPr>
            </w:pPr>
            <w:r w:rsidRPr="00853D53">
              <w:rPr>
                <w:rFonts w:ascii="Verdana" w:hAnsi="Verdana" w:cs="Arial"/>
                <w:sz w:val="18"/>
                <w:szCs w:val="18"/>
              </w:rPr>
              <w:t>002</w:t>
            </w:r>
          </w:p>
        </w:tc>
        <w:tc>
          <w:tcPr>
            <w:tcW w:w="1379" w:type="dxa"/>
            <w:vAlign w:val="center"/>
          </w:tcPr>
          <w:p w14:paraId="40708380" w14:textId="31BB9137" w:rsidR="00BC10DC" w:rsidRPr="00853D53" w:rsidRDefault="00BC10DC" w:rsidP="005A0E6D">
            <w:pPr>
              <w:jc w:val="center"/>
              <w:rPr>
                <w:rFonts w:ascii="Verdana" w:hAnsi="Verdana"/>
                <w:sz w:val="18"/>
                <w:szCs w:val="18"/>
              </w:rPr>
            </w:pPr>
            <w:r w:rsidRPr="00853D53">
              <w:rPr>
                <w:rFonts w:ascii="Verdana" w:hAnsi="Verdana"/>
                <w:sz w:val="18"/>
                <w:szCs w:val="18"/>
              </w:rPr>
              <w:t>20-07-2020</w:t>
            </w:r>
          </w:p>
        </w:tc>
        <w:tc>
          <w:tcPr>
            <w:tcW w:w="6979" w:type="dxa"/>
            <w:vAlign w:val="center"/>
          </w:tcPr>
          <w:p w14:paraId="3771A7E2" w14:textId="1CDE61BA" w:rsidR="00BC10DC" w:rsidRPr="00853D53" w:rsidRDefault="00F359F7" w:rsidP="005A0E6D">
            <w:pPr>
              <w:rPr>
                <w:rFonts w:ascii="Verdana" w:hAnsi="Verdana"/>
                <w:sz w:val="18"/>
                <w:szCs w:val="18"/>
                <w:lang w:val="es-CO"/>
              </w:rPr>
            </w:pPr>
            <w:r w:rsidRPr="00853D53">
              <w:rPr>
                <w:rFonts w:ascii="Verdana" w:hAnsi="Verdana"/>
                <w:sz w:val="18"/>
                <w:szCs w:val="18"/>
                <w:lang w:val="es-CO"/>
              </w:rPr>
              <w:t>Se actualiza toda la guía, incluyendo los procesos adecuados y la jurisprudencia más relevante</w:t>
            </w:r>
          </w:p>
        </w:tc>
      </w:tr>
      <w:tr w:rsidR="00F359F7" w:rsidRPr="00293386" w14:paraId="5499D292" w14:textId="77777777" w:rsidTr="005A0E6D">
        <w:trPr>
          <w:trHeight w:val="365"/>
          <w:jc w:val="center"/>
        </w:trPr>
        <w:tc>
          <w:tcPr>
            <w:tcW w:w="1271" w:type="dxa"/>
            <w:vAlign w:val="center"/>
          </w:tcPr>
          <w:p w14:paraId="6E24B8F2" w14:textId="02022A6D" w:rsidR="00F359F7" w:rsidRPr="00853D53" w:rsidRDefault="00F359F7" w:rsidP="005A0E6D">
            <w:pPr>
              <w:jc w:val="center"/>
              <w:rPr>
                <w:rFonts w:ascii="Verdana" w:hAnsi="Verdana" w:cs="Arial"/>
                <w:sz w:val="18"/>
                <w:szCs w:val="18"/>
              </w:rPr>
            </w:pPr>
            <w:r w:rsidRPr="00853D53">
              <w:rPr>
                <w:rFonts w:ascii="Verdana" w:hAnsi="Verdana" w:cs="Arial"/>
                <w:sz w:val="18"/>
                <w:szCs w:val="18"/>
              </w:rPr>
              <w:t>003</w:t>
            </w:r>
          </w:p>
        </w:tc>
        <w:tc>
          <w:tcPr>
            <w:tcW w:w="1379" w:type="dxa"/>
            <w:vAlign w:val="center"/>
          </w:tcPr>
          <w:p w14:paraId="11D80B7C" w14:textId="110A5226" w:rsidR="00F359F7" w:rsidRPr="00853D53" w:rsidRDefault="00F359F7" w:rsidP="005A0E6D">
            <w:pPr>
              <w:jc w:val="center"/>
              <w:rPr>
                <w:rFonts w:ascii="Verdana" w:hAnsi="Verdana"/>
                <w:sz w:val="18"/>
                <w:szCs w:val="18"/>
              </w:rPr>
            </w:pPr>
            <w:r w:rsidRPr="00853D53">
              <w:rPr>
                <w:rFonts w:ascii="Verdana" w:hAnsi="Verdana"/>
                <w:sz w:val="18"/>
                <w:szCs w:val="18"/>
              </w:rPr>
              <w:t>26-05-2025</w:t>
            </w:r>
          </w:p>
        </w:tc>
        <w:tc>
          <w:tcPr>
            <w:tcW w:w="6979" w:type="dxa"/>
            <w:vAlign w:val="center"/>
          </w:tcPr>
          <w:p w14:paraId="283D595B" w14:textId="43CEBD10" w:rsidR="00F359F7" w:rsidRPr="00853D53" w:rsidRDefault="00E86EAC" w:rsidP="005A0E6D">
            <w:pPr>
              <w:rPr>
                <w:spacing w:val="4"/>
                <w:sz w:val="18"/>
                <w:szCs w:val="18"/>
              </w:rPr>
            </w:pPr>
            <w:r w:rsidRPr="00853D53">
              <w:rPr>
                <w:rFonts w:ascii="Verdana" w:hAnsi="Verdana"/>
                <w:sz w:val="18"/>
                <w:szCs w:val="18"/>
                <w:lang w:val="es-CO"/>
              </w:rPr>
              <w:t>Se actualiza la guía, excluyendo los conflictos suscitados entre la sociedad y los administradores e incluyendo las regulaciones del Decreto 046 de 2024</w:t>
            </w:r>
          </w:p>
        </w:tc>
      </w:tr>
    </w:tbl>
    <w:p w14:paraId="65CF6A47" w14:textId="77777777" w:rsidR="006B4FEE" w:rsidRPr="001C0189" w:rsidRDefault="006B4FEE" w:rsidP="006B4FEE">
      <w:pPr>
        <w:rPr>
          <w:rFonts w:ascii="Verdana" w:hAnsi="Verdana"/>
          <w:sz w:val="22"/>
          <w:szCs w:val="22"/>
        </w:rPr>
      </w:pPr>
    </w:p>
    <w:p w14:paraId="612D00E7" w14:textId="77777777" w:rsidR="006B4FEE" w:rsidRDefault="006B4FEE" w:rsidP="006B4FE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5168A6">
        <w:trPr>
          <w:trHeight w:val="270"/>
          <w:jc w:val="center"/>
        </w:trPr>
        <w:tc>
          <w:tcPr>
            <w:tcW w:w="3114" w:type="dxa"/>
            <w:shd w:val="clear" w:color="auto" w:fill="F2DCDB"/>
            <w:vAlign w:val="center"/>
          </w:tcPr>
          <w:p w14:paraId="16889954"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116EE537"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665C1D36" w14:textId="41D2D95D" w:rsidR="006B4FEE" w:rsidRPr="00693D09" w:rsidRDefault="006B4FEE" w:rsidP="005168A6">
            <w:pPr>
              <w:jc w:val="center"/>
              <w:rPr>
                <w:rFonts w:ascii="Verdana" w:hAnsi="Verdana"/>
                <w:b/>
                <w:bCs/>
                <w:sz w:val="18"/>
                <w:szCs w:val="18"/>
              </w:rPr>
            </w:pPr>
            <w:r w:rsidRPr="00693D09">
              <w:rPr>
                <w:rFonts w:ascii="Verdana" w:hAnsi="Verdana"/>
                <w:b/>
                <w:bCs/>
                <w:sz w:val="18"/>
                <w:szCs w:val="18"/>
              </w:rPr>
              <w:t xml:space="preserve">Aprobó </w:t>
            </w:r>
          </w:p>
        </w:tc>
      </w:tr>
      <w:tr w:rsidR="006B4FEE" w:rsidRPr="00693D09" w14:paraId="6EBA99D4" w14:textId="77777777" w:rsidTr="005168A6">
        <w:trPr>
          <w:trHeight w:val="270"/>
          <w:jc w:val="center"/>
        </w:trPr>
        <w:tc>
          <w:tcPr>
            <w:tcW w:w="3114" w:type="dxa"/>
          </w:tcPr>
          <w:p w14:paraId="10A60765" w14:textId="331985CE"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0517F7">
              <w:rPr>
                <w:rFonts w:ascii="Verdana" w:hAnsi="Verdana" w:cs="Arial"/>
                <w:sz w:val="18"/>
                <w:szCs w:val="18"/>
              </w:rPr>
              <w:t xml:space="preserve"> Sebasti</w:t>
            </w:r>
            <w:r w:rsidR="000545D5">
              <w:rPr>
                <w:rFonts w:ascii="Verdana" w:hAnsi="Verdana" w:cs="Arial"/>
                <w:sz w:val="18"/>
                <w:szCs w:val="18"/>
              </w:rPr>
              <w:t>á</w:t>
            </w:r>
            <w:r w:rsidR="000517F7">
              <w:rPr>
                <w:rFonts w:ascii="Verdana" w:hAnsi="Verdana" w:cs="Arial"/>
                <w:sz w:val="18"/>
                <w:szCs w:val="18"/>
              </w:rPr>
              <w:t>n Bernal</w:t>
            </w:r>
            <w:r w:rsidR="002359BE">
              <w:rPr>
                <w:rFonts w:ascii="Verdana" w:hAnsi="Verdana" w:cs="Arial"/>
                <w:sz w:val="18"/>
                <w:szCs w:val="18"/>
              </w:rPr>
              <w:t xml:space="preserve"> Garavito</w:t>
            </w:r>
          </w:p>
          <w:p w14:paraId="4C7661C4" w14:textId="6394D14D"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0517F7">
              <w:rPr>
                <w:rFonts w:ascii="Verdana" w:hAnsi="Verdana" w:cs="Arial"/>
                <w:sz w:val="18"/>
                <w:szCs w:val="18"/>
              </w:rPr>
              <w:t xml:space="preserve">Director </w:t>
            </w:r>
            <w:r w:rsidR="0059445B">
              <w:rPr>
                <w:rFonts w:ascii="Verdana" w:hAnsi="Verdana" w:cs="Arial"/>
                <w:sz w:val="18"/>
                <w:szCs w:val="18"/>
              </w:rPr>
              <w:t>de Jurisdicción Societaria I</w:t>
            </w:r>
          </w:p>
          <w:p w14:paraId="74917F41" w14:textId="1C40BBE0"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7462A6">
              <w:rPr>
                <w:rFonts w:ascii="Verdana" w:hAnsi="Verdana" w:cs="Arial"/>
                <w:sz w:val="18"/>
                <w:szCs w:val="18"/>
              </w:rPr>
              <w:t>19-05-2025</w:t>
            </w:r>
          </w:p>
        </w:tc>
        <w:tc>
          <w:tcPr>
            <w:tcW w:w="3260" w:type="dxa"/>
          </w:tcPr>
          <w:p w14:paraId="0CCBE5C4" w14:textId="2E1049D2"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7462A6">
              <w:rPr>
                <w:rFonts w:ascii="Verdana" w:hAnsi="Verdana" w:cs="Arial"/>
                <w:sz w:val="18"/>
                <w:szCs w:val="18"/>
              </w:rPr>
              <w:t xml:space="preserve"> </w:t>
            </w:r>
            <w:r w:rsidR="00900E80">
              <w:rPr>
                <w:rFonts w:ascii="Verdana" w:hAnsi="Verdana" w:cs="Arial"/>
                <w:sz w:val="18"/>
                <w:szCs w:val="18"/>
              </w:rPr>
              <w:t>Luis Fernando</w:t>
            </w:r>
          </w:p>
          <w:p w14:paraId="053A3B24" w14:textId="449FBA42"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BA4DA7">
              <w:rPr>
                <w:rFonts w:ascii="Verdana" w:hAnsi="Verdana" w:cs="Arial"/>
                <w:sz w:val="18"/>
                <w:szCs w:val="18"/>
              </w:rPr>
              <w:t>D</w:t>
            </w:r>
            <w:r w:rsidR="003A06B8">
              <w:rPr>
                <w:rFonts w:ascii="Verdana" w:hAnsi="Verdana" w:cs="Arial"/>
                <w:sz w:val="18"/>
                <w:szCs w:val="18"/>
              </w:rPr>
              <w:t>irector</w:t>
            </w:r>
            <w:r w:rsidR="002359BE">
              <w:rPr>
                <w:rFonts w:ascii="Verdana" w:hAnsi="Verdana" w:cs="Arial"/>
                <w:sz w:val="18"/>
                <w:szCs w:val="18"/>
              </w:rPr>
              <w:t xml:space="preserve"> de Jurisdicción Societaria </w:t>
            </w:r>
            <w:r w:rsidR="00765781">
              <w:rPr>
                <w:rFonts w:ascii="Verdana" w:hAnsi="Verdana" w:cs="Arial"/>
                <w:sz w:val="18"/>
                <w:szCs w:val="18"/>
              </w:rPr>
              <w:t>II</w:t>
            </w:r>
          </w:p>
          <w:p w14:paraId="25FB8AA1" w14:textId="5F3E36E8"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2359BE">
              <w:rPr>
                <w:rFonts w:ascii="Verdana" w:hAnsi="Verdana" w:cs="Arial"/>
                <w:sz w:val="18"/>
                <w:szCs w:val="18"/>
              </w:rPr>
              <w:t xml:space="preserve"> </w:t>
            </w:r>
            <w:r w:rsidR="003A06B8">
              <w:rPr>
                <w:rFonts w:ascii="Verdana" w:hAnsi="Verdana" w:cs="Arial"/>
                <w:sz w:val="18"/>
                <w:szCs w:val="18"/>
              </w:rPr>
              <w:t>28</w:t>
            </w:r>
            <w:r w:rsidR="002359BE">
              <w:rPr>
                <w:rFonts w:ascii="Verdana" w:hAnsi="Verdana" w:cs="Arial"/>
                <w:sz w:val="18"/>
                <w:szCs w:val="18"/>
              </w:rPr>
              <w:t>-05-2025</w:t>
            </w:r>
          </w:p>
        </w:tc>
        <w:tc>
          <w:tcPr>
            <w:tcW w:w="3266" w:type="dxa"/>
          </w:tcPr>
          <w:p w14:paraId="3E01FEF5" w14:textId="1FD734D6"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C625CA">
              <w:rPr>
                <w:rFonts w:ascii="Verdana" w:hAnsi="Verdana" w:cs="Arial"/>
                <w:sz w:val="18"/>
                <w:szCs w:val="18"/>
              </w:rPr>
              <w:t xml:space="preserve"> </w:t>
            </w:r>
            <w:r w:rsidR="007B52E9">
              <w:rPr>
                <w:rFonts w:ascii="Verdana" w:hAnsi="Verdana" w:cs="Arial"/>
                <w:sz w:val="18"/>
                <w:szCs w:val="18"/>
              </w:rPr>
              <w:t xml:space="preserve">Jorge </w:t>
            </w:r>
            <w:r w:rsidR="0043018F">
              <w:rPr>
                <w:rFonts w:ascii="Verdana" w:hAnsi="Verdana" w:cs="Arial"/>
                <w:sz w:val="18"/>
                <w:szCs w:val="18"/>
              </w:rPr>
              <w:t>Eduardo Cabrera Jaramillo</w:t>
            </w:r>
          </w:p>
          <w:p w14:paraId="6D9EC6E1" w14:textId="4D5FD61A"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43018F">
              <w:rPr>
                <w:rFonts w:ascii="Verdana" w:hAnsi="Verdana" w:cs="Arial"/>
                <w:sz w:val="18"/>
                <w:szCs w:val="18"/>
              </w:rPr>
              <w:t xml:space="preserve">Superintendente </w:t>
            </w:r>
            <w:r w:rsidR="00C625CA">
              <w:rPr>
                <w:rFonts w:ascii="Verdana" w:hAnsi="Verdana" w:cs="Arial"/>
                <w:sz w:val="18"/>
                <w:szCs w:val="18"/>
              </w:rPr>
              <w:t>delegado</w:t>
            </w:r>
            <w:r w:rsidR="0043018F">
              <w:rPr>
                <w:rFonts w:ascii="Verdana" w:hAnsi="Verdana" w:cs="Arial"/>
                <w:sz w:val="18"/>
                <w:szCs w:val="18"/>
              </w:rPr>
              <w:t xml:space="preserve"> Procedimientos Mercantiles</w:t>
            </w:r>
          </w:p>
          <w:p w14:paraId="7F40A9AF" w14:textId="1B6FB78A"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43018F">
              <w:rPr>
                <w:rFonts w:ascii="Verdana" w:hAnsi="Verdana" w:cs="Arial"/>
                <w:sz w:val="18"/>
                <w:szCs w:val="18"/>
              </w:rPr>
              <w:t xml:space="preserve"> </w:t>
            </w:r>
            <w:r w:rsidR="003260BD">
              <w:rPr>
                <w:rFonts w:ascii="Verdana" w:hAnsi="Verdana" w:cs="Arial"/>
                <w:sz w:val="18"/>
                <w:szCs w:val="18"/>
              </w:rPr>
              <w:t>28</w:t>
            </w:r>
            <w:r w:rsidR="00C625CA">
              <w:rPr>
                <w:rFonts w:ascii="Verdana" w:hAnsi="Verdana" w:cs="Arial"/>
                <w:sz w:val="18"/>
                <w:szCs w:val="18"/>
              </w:rPr>
              <w:t>-05-2025</w:t>
            </w:r>
          </w:p>
        </w:tc>
      </w:tr>
    </w:tbl>
    <w:p w14:paraId="07AC5294" w14:textId="77777777" w:rsidR="006B4FEE" w:rsidRPr="001C0189" w:rsidRDefault="006B4FEE" w:rsidP="006B4FEE">
      <w:pPr>
        <w:rPr>
          <w:rFonts w:ascii="Verdana" w:hAnsi="Verdana" w:cs="Arial"/>
          <w:b/>
          <w:sz w:val="22"/>
          <w:szCs w:val="22"/>
        </w:rPr>
      </w:pPr>
    </w:p>
    <w:p w14:paraId="1ADDF22F" w14:textId="77777777" w:rsidR="009853F1" w:rsidRDefault="009853F1" w:rsidP="009065C0">
      <w:pPr>
        <w:jc w:val="both"/>
        <w:rPr>
          <w:rFonts w:ascii="Verdana" w:hAnsi="Verdana" w:cs="Arial"/>
          <w:color w:val="FF0000"/>
          <w:sz w:val="22"/>
          <w:szCs w:val="22"/>
          <w:lang w:val="es-ES_tradnl"/>
        </w:rPr>
      </w:pPr>
    </w:p>
    <w:p w14:paraId="181FAA4F" w14:textId="77777777" w:rsidR="006B4FEE" w:rsidRDefault="006B4FEE" w:rsidP="009065C0">
      <w:pPr>
        <w:jc w:val="both"/>
        <w:rPr>
          <w:rFonts w:ascii="Verdana" w:hAnsi="Verdana" w:cs="Arial"/>
          <w:color w:val="FF0000"/>
          <w:sz w:val="22"/>
          <w:szCs w:val="22"/>
          <w:lang w:val="es-ES_tradnl"/>
        </w:rPr>
      </w:pPr>
    </w:p>
    <w:p w14:paraId="003C7897" w14:textId="77777777" w:rsidR="006B4FEE" w:rsidRDefault="006B4FEE" w:rsidP="009065C0">
      <w:pPr>
        <w:jc w:val="both"/>
        <w:rPr>
          <w:rFonts w:ascii="Verdana" w:hAnsi="Verdana" w:cs="Arial"/>
          <w:color w:val="FF0000"/>
          <w:sz w:val="22"/>
          <w:szCs w:val="22"/>
          <w:lang w:val="es-ES_tradnl"/>
        </w:rPr>
      </w:pPr>
    </w:p>
    <w:p w14:paraId="623283D8" w14:textId="77777777" w:rsidR="006B4FEE" w:rsidRDefault="006B4FEE" w:rsidP="009065C0">
      <w:pPr>
        <w:jc w:val="both"/>
        <w:rPr>
          <w:rFonts w:ascii="Verdana" w:hAnsi="Verdana" w:cs="Arial"/>
          <w:color w:val="FF0000"/>
          <w:sz w:val="22"/>
          <w:szCs w:val="22"/>
          <w:lang w:val="es-ES_tradnl"/>
        </w:rPr>
      </w:pPr>
    </w:p>
    <w:p w14:paraId="672FDC17" w14:textId="77777777" w:rsidR="009A2A60" w:rsidRPr="009A2A60" w:rsidRDefault="009A2A60" w:rsidP="009A2A60">
      <w:pPr>
        <w:rPr>
          <w:rFonts w:ascii="Verdana" w:hAnsi="Verdana" w:cs="Arial"/>
          <w:sz w:val="22"/>
          <w:szCs w:val="22"/>
        </w:rPr>
      </w:pPr>
    </w:p>
    <w:p w14:paraId="1C45C827" w14:textId="77777777" w:rsidR="009A2A60" w:rsidRPr="009A2A60" w:rsidRDefault="009A2A60" w:rsidP="009A2A60">
      <w:pPr>
        <w:rPr>
          <w:rFonts w:ascii="Verdana" w:hAnsi="Verdana" w:cs="Arial"/>
          <w:sz w:val="22"/>
          <w:szCs w:val="22"/>
        </w:rPr>
      </w:pPr>
    </w:p>
    <w:p w14:paraId="2531C1DC" w14:textId="77777777" w:rsidR="009A2A60" w:rsidRPr="009A2A60" w:rsidRDefault="009A2A60" w:rsidP="009A2A60">
      <w:pPr>
        <w:rPr>
          <w:rFonts w:ascii="Verdana" w:hAnsi="Verdana" w:cs="Arial"/>
          <w:sz w:val="22"/>
          <w:szCs w:val="22"/>
        </w:rPr>
      </w:pPr>
    </w:p>
    <w:p w14:paraId="33744244" w14:textId="77777777" w:rsidR="009A2A60" w:rsidRPr="009A2A60" w:rsidRDefault="009A2A60" w:rsidP="009A2A60">
      <w:pPr>
        <w:rPr>
          <w:rFonts w:ascii="Verdana" w:hAnsi="Verdana" w:cs="Arial"/>
          <w:sz w:val="22"/>
          <w:szCs w:val="22"/>
        </w:rPr>
      </w:pPr>
    </w:p>
    <w:p w14:paraId="572383FD" w14:textId="77777777" w:rsidR="009A2A60" w:rsidRPr="009A2A60" w:rsidRDefault="009A2A60" w:rsidP="009A2A60">
      <w:pPr>
        <w:rPr>
          <w:rFonts w:ascii="Verdana" w:hAnsi="Verdana" w:cs="Arial"/>
          <w:sz w:val="22"/>
          <w:szCs w:val="22"/>
        </w:rPr>
      </w:pPr>
    </w:p>
    <w:p w14:paraId="64FE7B21" w14:textId="77777777" w:rsidR="009A2A60" w:rsidRPr="009A2A60" w:rsidRDefault="009A2A60" w:rsidP="009A2A60">
      <w:pPr>
        <w:rPr>
          <w:rFonts w:ascii="Verdana" w:hAnsi="Verdana" w:cs="Arial"/>
          <w:sz w:val="22"/>
          <w:szCs w:val="22"/>
        </w:rPr>
      </w:pPr>
    </w:p>
    <w:p w14:paraId="086291AC" w14:textId="77777777" w:rsidR="009A2A60" w:rsidRPr="009A2A60" w:rsidRDefault="009A2A60" w:rsidP="009A2A60">
      <w:pPr>
        <w:rPr>
          <w:rFonts w:ascii="Verdana" w:hAnsi="Verdana" w:cs="Arial"/>
          <w:sz w:val="22"/>
          <w:szCs w:val="22"/>
        </w:rPr>
      </w:pPr>
    </w:p>
    <w:p w14:paraId="36CF05D6" w14:textId="77777777" w:rsidR="009A2A60" w:rsidRPr="009A2A60" w:rsidRDefault="009A2A60" w:rsidP="009A2A60">
      <w:pPr>
        <w:rPr>
          <w:rFonts w:ascii="Verdana" w:hAnsi="Verdana" w:cs="Arial"/>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5D6D3" w14:textId="77777777" w:rsidR="003B0034" w:rsidRDefault="003B0034">
      <w:r>
        <w:separator/>
      </w:r>
    </w:p>
  </w:endnote>
  <w:endnote w:type="continuationSeparator" w:id="0">
    <w:p w14:paraId="141A6201" w14:textId="77777777" w:rsidR="003B0034" w:rsidRDefault="003B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26AAAF2D" w14:textId="2A18FCB4"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19B65" w14:textId="77777777" w:rsidR="003B0034" w:rsidRDefault="003B0034">
      <w:r>
        <w:separator/>
      </w:r>
    </w:p>
  </w:footnote>
  <w:footnote w:type="continuationSeparator" w:id="0">
    <w:p w14:paraId="612255DC" w14:textId="77777777" w:rsidR="003B0034" w:rsidRDefault="003B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1A7306A6" w14:textId="4495FDE6"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sidRPr="002F3465">
            <w:rPr>
              <w:rFonts w:ascii="Verdana" w:hAnsi="Verdana" w:cs="Arial"/>
              <w:b/>
              <w:bCs/>
              <w:sz w:val="18"/>
              <w:szCs w:val="18"/>
              <w:lang w:val="es-MX"/>
            </w:rPr>
            <w:t xml:space="preserve">: </w:t>
          </w:r>
          <w:r w:rsidR="00D9137B">
            <w:rPr>
              <w:rFonts w:ascii="Verdana" w:hAnsi="Verdana" w:cs="Arial"/>
              <w:sz w:val="18"/>
              <w:szCs w:val="18"/>
              <w:lang w:val="es-MX"/>
            </w:rPr>
            <w:t>PROCESO SOCIETARIO</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173A74F8" w:rsidR="006B4FEE" w:rsidRPr="007817D4" w:rsidRDefault="004E727B" w:rsidP="006B4FEE">
          <w:pPr>
            <w:jc w:val="center"/>
            <w:rPr>
              <w:rFonts w:ascii="Verdana" w:hAnsi="Verdana" w:cs="Arial"/>
              <w:sz w:val="18"/>
              <w:szCs w:val="18"/>
              <w:lang w:val="es-MX"/>
            </w:rPr>
          </w:pPr>
          <w:r w:rsidRPr="007817D4">
            <w:rPr>
              <w:rFonts w:ascii="Verdana" w:hAnsi="Verdana" w:cs="Arial"/>
              <w:sz w:val="18"/>
              <w:szCs w:val="18"/>
              <w:lang w:val="es-MX"/>
            </w:rPr>
            <w:t>PSO</w:t>
          </w:r>
          <w:r w:rsidR="006B4FEE" w:rsidRPr="007817D4">
            <w:rPr>
              <w:rFonts w:ascii="Verdana" w:hAnsi="Verdana" w:cs="Arial"/>
              <w:sz w:val="18"/>
              <w:szCs w:val="18"/>
              <w:lang w:val="es-MX"/>
            </w:rPr>
            <w:t>-</w:t>
          </w:r>
          <w:r w:rsidR="004A7FC6" w:rsidRPr="007817D4">
            <w:rPr>
              <w:rFonts w:ascii="Verdana" w:hAnsi="Verdana" w:cs="Arial"/>
              <w:sz w:val="18"/>
              <w:szCs w:val="18"/>
              <w:lang w:val="es-MX"/>
            </w:rPr>
            <w:t>GU</w:t>
          </w:r>
          <w:r w:rsidR="006B4FEE" w:rsidRPr="007817D4">
            <w:rPr>
              <w:rFonts w:ascii="Verdana" w:hAnsi="Verdana" w:cs="Arial"/>
              <w:sz w:val="18"/>
              <w:szCs w:val="18"/>
              <w:lang w:val="es-MX"/>
            </w:rPr>
            <w:t>-</w:t>
          </w:r>
          <w:r w:rsidR="004A7FC6" w:rsidRPr="007817D4">
            <w:rPr>
              <w:rFonts w:ascii="Verdana" w:hAnsi="Verdana" w:cs="Arial"/>
              <w:sz w:val="18"/>
              <w:szCs w:val="18"/>
              <w:lang w:val="es-MX"/>
            </w:rPr>
            <w:t>001</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shd w:val="clear" w:color="auto" w:fill="auto"/>
          <w:vAlign w:val="center"/>
        </w:tcPr>
        <w:p w14:paraId="4CA851B6" w14:textId="77777777" w:rsidR="006B4FEE" w:rsidRPr="00E833B8"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6CFD0ECF" w:rsidR="006B4FEE" w:rsidRPr="002F3465" w:rsidRDefault="002F3465" w:rsidP="006B4FEE">
          <w:pPr>
            <w:jc w:val="center"/>
            <w:rPr>
              <w:rFonts w:ascii="Verdana" w:hAnsi="Verdana" w:cs="Arial"/>
              <w:sz w:val="18"/>
              <w:szCs w:val="18"/>
              <w:lang w:val="es-MX"/>
            </w:rPr>
          </w:pPr>
          <w:r w:rsidRPr="002F3465">
            <w:rPr>
              <w:rFonts w:ascii="Verdana" w:hAnsi="Verdana" w:cs="Arial"/>
              <w:sz w:val="18"/>
              <w:szCs w:val="18"/>
              <w:lang w:val="es-MX"/>
            </w:rPr>
            <w:t>003</w:t>
          </w:r>
        </w:p>
      </w:tc>
    </w:tr>
    <w:tr w:rsidR="006B4FEE" w:rsidRPr="00E833B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shd w:val="clear" w:color="auto" w:fill="auto"/>
          <w:vAlign w:val="center"/>
        </w:tcPr>
        <w:p w14:paraId="6CBEACD5" w14:textId="384C2522" w:rsidR="006B4FEE" w:rsidRPr="00E833B8" w:rsidRDefault="006B4FEE" w:rsidP="006B4FEE">
          <w:pPr>
            <w:jc w:val="center"/>
            <w:rPr>
              <w:rFonts w:ascii="Verdana" w:hAnsi="Verdana" w:cs="Arial"/>
              <w:b/>
              <w:bCs/>
              <w:sz w:val="18"/>
              <w:szCs w:val="18"/>
              <w:lang w:val="es-MX"/>
            </w:rPr>
          </w:pPr>
          <w:r>
            <w:rPr>
              <w:rFonts w:ascii="Verdana" w:hAnsi="Verdana" w:cs="Arial"/>
              <w:b/>
              <w:bCs/>
              <w:sz w:val="18"/>
              <w:szCs w:val="18"/>
              <w:lang w:val="es-MX"/>
            </w:rPr>
            <w:t>GUÍA</w:t>
          </w:r>
          <w:r w:rsidRPr="005E4E23">
            <w:rPr>
              <w:rFonts w:ascii="Verdana" w:hAnsi="Verdana" w:cs="Arial"/>
              <w:b/>
              <w:bCs/>
              <w:sz w:val="18"/>
              <w:szCs w:val="18"/>
              <w:lang w:val="es-MX"/>
            </w:rPr>
            <w:t>:</w:t>
          </w:r>
          <w:r w:rsidR="002E1954">
            <w:rPr>
              <w:rFonts w:ascii="Verdana" w:hAnsi="Verdana" w:cs="Arial"/>
              <w:b/>
              <w:bCs/>
              <w:sz w:val="18"/>
              <w:szCs w:val="18"/>
              <w:lang w:val="es-MX"/>
            </w:rPr>
            <w:t xml:space="preserve"> DE LITIGIO SOCIETARIO</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27E0DC63" w:rsidR="006B4FEE" w:rsidRPr="002F3465" w:rsidRDefault="002F3465" w:rsidP="006B4FEE">
          <w:pPr>
            <w:jc w:val="center"/>
            <w:rPr>
              <w:rFonts w:ascii="Verdana" w:hAnsi="Verdana" w:cs="Arial"/>
              <w:sz w:val="18"/>
              <w:szCs w:val="18"/>
              <w:lang w:val="es-MX"/>
            </w:rPr>
          </w:pPr>
          <w:r w:rsidRPr="002F3465">
            <w:rPr>
              <w:rFonts w:ascii="Verdana" w:hAnsi="Verdana" w:cs="Arial"/>
              <w:sz w:val="18"/>
              <w:szCs w:val="18"/>
              <w:lang w:val="es-MX"/>
            </w:rPr>
            <w:t>2</w:t>
          </w:r>
          <w:r w:rsidR="00474B14">
            <w:rPr>
              <w:rFonts w:ascii="Verdana" w:hAnsi="Verdana" w:cs="Arial"/>
              <w:sz w:val="18"/>
              <w:szCs w:val="18"/>
              <w:lang w:val="es-MX"/>
            </w:rPr>
            <w:t>3</w:t>
          </w:r>
          <w:r w:rsidR="006B4FEE" w:rsidRPr="002F3465">
            <w:rPr>
              <w:rFonts w:ascii="Verdana" w:hAnsi="Verdana" w:cs="Arial"/>
              <w:sz w:val="18"/>
              <w:szCs w:val="18"/>
              <w:lang w:val="es-MX"/>
            </w:rPr>
            <w:t>/</w:t>
          </w:r>
          <w:r w:rsidRPr="002F3465">
            <w:rPr>
              <w:rFonts w:ascii="Verdana" w:hAnsi="Verdana" w:cs="Arial"/>
              <w:sz w:val="18"/>
              <w:szCs w:val="18"/>
              <w:lang w:val="es-MX"/>
            </w:rPr>
            <w:t>05</w:t>
          </w:r>
          <w:r w:rsidR="006B4FEE" w:rsidRPr="002F3465">
            <w:rPr>
              <w:rFonts w:ascii="Verdana" w:hAnsi="Verdana" w:cs="Arial"/>
              <w:sz w:val="18"/>
              <w:szCs w:val="18"/>
              <w:lang w:val="es-MX"/>
            </w:rPr>
            <w:t>/</w:t>
          </w:r>
          <w:r w:rsidRPr="002F3465">
            <w:rPr>
              <w:rFonts w:ascii="Verdana" w:hAnsi="Verdana" w:cs="Arial"/>
              <w:sz w:val="18"/>
              <w:szCs w:val="18"/>
              <w:lang w:val="es-MX"/>
            </w:rPr>
            <w:t>2025</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shd w:val="clear" w:color="auto" w:fill="auto"/>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25181295" w:rsidR="006B4FEE" w:rsidRPr="002F3465" w:rsidRDefault="006B4FEE" w:rsidP="006B4FEE">
          <w:pPr>
            <w:jc w:val="center"/>
            <w:rPr>
              <w:rFonts w:ascii="Verdana" w:hAnsi="Verdana" w:cs="Arial"/>
              <w:sz w:val="18"/>
              <w:szCs w:val="18"/>
              <w:lang w:val="es-MX"/>
            </w:rPr>
          </w:pPr>
          <w:r w:rsidRPr="002F3465">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8FC604C"/>
    <w:multiLevelType w:val="hybridMultilevel"/>
    <w:tmpl w:val="93C0DBD0"/>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E77E57"/>
    <w:multiLevelType w:val="hybridMultilevel"/>
    <w:tmpl w:val="4B1E1D8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6"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7"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2"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494220839">
    <w:abstractNumId w:val="33"/>
  </w:num>
  <w:num w:numId="2" w16cid:durableId="1619415602">
    <w:abstractNumId w:val="23"/>
  </w:num>
  <w:num w:numId="3" w16cid:durableId="1297445562">
    <w:abstractNumId w:val="26"/>
  </w:num>
  <w:num w:numId="4" w16cid:durableId="781727392">
    <w:abstractNumId w:val="30"/>
  </w:num>
  <w:num w:numId="5" w16cid:durableId="2139644826">
    <w:abstractNumId w:val="27"/>
  </w:num>
  <w:num w:numId="6" w16cid:durableId="592399931">
    <w:abstractNumId w:val="5"/>
  </w:num>
  <w:num w:numId="7" w16cid:durableId="553390127">
    <w:abstractNumId w:val="22"/>
  </w:num>
  <w:num w:numId="8" w16cid:durableId="949052273">
    <w:abstractNumId w:val="21"/>
  </w:num>
  <w:num w:numId="9" w16cid:durableId="336538671">
    <w:abstractNumId w:val="8"/>
  </w:num>
  <w:num w:numId="10" w16cid:durableId="812403818">
    <w:abstractNumId w:val="7"/>
  </w:num>
  <w:num w:numId="11" w16cid:durableId="775565888">
    <w:abstractNumId w:val="20"/>
  </w:num>
  <w:num w:numId="12" w16cid:durableId="1857304739">
    <w:abstractNumId w:val="1"/>
  </w:num>
  <w:num w:numId="13" w16cid:durableId="1582132778">
    <w:abstractNumId w:val="6"/>
  </w:num>
  <w:num w:numId="14" w16cid:durableId="1119108308">
    <w:abstractNumId w:val="2"/>
  </w:num>
  <w:num w:numId="15" w16cid:durableId="378672179">
    <w:abstractNumId w:val="4"/>
  </w:num>
  <w:num w:numId="16" w16cid:durableId="96298483">
    <w:abstractNumId w:val="9"/>
  </w:num>
  <w:num w:numId="17" w16cid:durableId="1068575140">
    <w:abstractNumId w:val="34"/>
  </w:num>
  <w:num w:numId="18" w16cid:durableId="1622375877">
    <w:abstractNumId w:val="27"/>
  </w:num>
  <w:num w:numId="19" w16cid:durableId="630988317">
    <w:abstractNumId w:val="22"/>
  </w:num>
  <w:num w:numId="20" w16cid:durableId="213469999">
    <w:abstractNumId w:val="30"/>
  </w:num>
  <w:num w:numId="21" w16cid:durableId="1091043721">
    <w:abstractNumId w:val="14"/>
  </w:num>
  <w:num w:numId="22" w16cid:durableId="756755110">
    <w:abstractNumId w:val="28"/>
  </w:num>
  <w:num w:numId="23" w16cid:durableId="539898127">
    <w:abstractNumId w:val="29"/>
  </w:num>
  <w:num w:numId="24" w16cid:durableId="506137867">
    <w:abstractNumId w:val="17"/>
  </w:num>
  <w:num w:numId="25" w16cid:durableId="1416587233">
    <w:abstractNumId w:val="18"/>
  </w:num>
  <w:num w:numId="26" w16cid:durableId="3630155">
    <w:abstractNumId w:val="12"/>
  </w:num>
  <w:num w:numId="27" w16cid:durableId="1843280977">
    <w:abstractNumId w:val="11"/>
  </w:num>
  <w:num w:numId="28" w16cid:durableId="1487359747">
    <w:abstractNumId w:val="32"/>
  </w:num>
  <w:num w:numId="29" w16cid:durableId="8300954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139245">
    <w:abstractNumId w:val="10"/>
  </w:num>
  <w:num w:numId="31" w16cid:durableId="1254313273">
    <w:abstractNumId w:val="24"/>
  </w:num>
  <w:num w:numId="32" w16cid:durableId="1029187380">
    <w:abstractNumId w:val="19"/>
  </w:num>
  <w:num w:numId="33" w16cid:durableId="9423052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565956">
    <w:abstractNumId w:val="25"/>
  </w:num>
  <w:num w:numId="35" w16cid:durableId="1605847544">
    <w:abstractNumId w:val="31"/>
  </w:num>
  <w:num w:numId="36" w16cid:durableId="279070297">
    <w:abstractNumId w:val="0"/>
  </w:num>
  <w:num w:numId="37" w16cid:durableId="1210875282">
    <w:abstractNumId w:val="13"/>
  </w:num>
  <w:num w:numId="38" w16cid:durableId="1138034310">
    <w:abstractNumId w:val="13"/>
  </w:num>
  <w:num w:numId="39" w16cid:durableId="13383014">
    <w:abstractNumId w:val="15"/>
  </w:num>
  <w:num w:numId="40" w16cid:durableId="955479715">
    <w:abstractNumId w:val="16"/>
  </w:num>
  <w:num w:numId="41" w16cid:durableId="162026292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203CA"/>
    <w:rsid w:val="00021EEA"/>
    <w:rsid w:val="000278E6"/>
    <w:rsid w:val="00036CE2"/>
    <w:rsid w:val="00044B02"/>
    <w:rsid w:val="00045949"/>
    <w:rsid w:val="000517F7"/>
    <w:rsid w:val="00052039"/>
    <w:rsid w:val="000545D5"/>
    <w:rsid w:val="00055B96"/>
    <w:rsid w:val="000560E2"/>
    <w:rsid w:val="000570DE"/>
    <w:rsid w:val="000571BC"/>
    <w:rsid w:val="000573B5"/>
    <w:rsid w:val="00061AA2"/>
    <w:rsid w:val="00061C60"/>
    <w:rsid w:val="0006382B"/>
    <w:rsid w:val="0006776E"/>
    <w:rsid w:val="000726D5"/>
    <w:rsid w:val="0007378A"/>
    <w:rsid w:val="00073CC6"/>
    <w:rsid w:val="000742BC"/>
    <w:rsid w:val="000764C5"/>
    <w:rsid w:val="00082257"/>
    <w:rsid w:val="00084472"/>
    <w:rsid w:val="00084752"/>
    <w:rsid w:val="00086DE6"/>
    <w:rsid w:val="00087EB8"/>
    <w:rsid w:val="0009115C"/>
    <w:rsid w:val="0009311B"/>
    <w:rsid w:val="00095A02"/>
    <w:rsid w:val="00096A8A"/>
    <w:rsid w:val="000A055E"/>
    <w:rsid w:val="000A322E"/>
    <w:rsid w:val="000A3DF8"/>
    <w:rsid w:val="000A4682"/>
    <w:rsid w:val="000A7F43"/>
    <w:rsid w:val="000B18C5"/>
    <w:rsid w:val="000B209B"/>
    <w:rsid w:val="000B3528"/>
    <w:rsid w:val="000B441F"/>
    <w:rsid w:val="000B5F55"/>
    <w:rsid w:val="000B7ACF"/>
    <w:rsid w:val="000C0DD9"/>
    <w:rsid w:val="000C1CF8"/>
    <w:rsid w:val="000C2140"/>
    <w:rsid w:val="000C270A"/>
    <w:rsid w:val="000C2DA6"/>
    <w:rsid w:val="000C68E2"/>
    <w:rsid w:val="000C7687"/>
    <w:rsid w:val="000D0B46"/>
    <w:rsid w:val="000E059A"/>
    <w:rsid w:val="000E50ED"/>
    <w:rsid w:val="000F0D64"/>
    <w:rsid w:val="000F3A24"/>
    <w:rsid w:val="000F3D44"/>
    <w:rsid w:val="000F705F"/>
    <w:rsid w:val="001002A6"/>
    <w:rsid w:val="00100CB6"/>
    <w:rsid w:val="00110393"/>
    <w:rsid w:val="00111B31"/>
    <w:rsid w:val="00115580"/>
    <w:rsid w:val="001202F5"/>
    <w:rsid w:val="0012086F"/>
    <w:rsid w:val="001210BA"/>
    <w:rsid w:val="0012395D"/>
    <w:rsid w:val="0012490B"/>
    <w:rsid w:val="0012691E"/>
    <w:rsid w:val="0012786E"/>
    <w:rsid w:val="00127D5F"/>
    <w:rsid w:val="00131710"/>
    <w:rsid w:val="00131EA7"/>
    <w:rsid w:val="00137D9E"/>
    <w:rsid w:val="001408BF"/>
    <w:rsid w:val="00141A06"/>
    <w:rsid w:val="00141CC9"/>
    <w:rsid w:val="00144B2A"/>
    <w:rsid w:val="001456E5"/>
    <w:rsid w:val="00145E74"/>
    <w:rsid w:val="00150980"/>
    <w:rsid w:val="001576BC"/>
    <w:rsid w:val="00163037"/>
    <w:rsid w:val="00166EAB"/>
    <w:rsid w:val="00170BD4"/>
    <w:rsid w:val="00171814"/>
    <w:rsid w:val="0017192E"/>
    <w:rsid w:val="00171A22"/>
    <w:rsid w:val="00176BD5"/>
    <w:rsid w:val="001770BA"/>
    <w:rsid w:val="001775CC"/>
    <w:rsid w:val="001776C0"/>
    <w:rsid w:val="001813E6"/>
    <w:rsid w:val="001832D8"/>
    <w:rsid w:val="00183763"/>
    <w:rsid w:val="00185FA1"/>
    <w:rsid w:val="0019071E"/>
    <w:rsid w:val="00190CDB"/>
    <w:rsid w:val="001928DD"/>
    <w:rsid w:val="00195034"/>
    <w:rsid w:val="001953E4"/>
    <w:rsid w:val="00195504"/>
    <w:rsid w:val="001A1543"/>
    <w:rsid w:val="001A4A18"/>
    <w:rsid w:val="001A6087"/>
    <w:rsid w:val="001A6E3C"/>
    <w:rsid w:val="001B2F1B"/>
    <w:rsid w:val="001C2F04"/>
    <w:rsid w:val="001C4EEA"/>
    <w:rsid w:val="001C77C1"/>
    <w:rsid w:val="001D1B3B"/>
    <w:rsid w:val="001D49C2"/>
    <w:rsid w:val="001D6DFF"/>
    <w:rsid w:val="001D74CD"/>
    <w:rsid w:val="001E0280"/>
    <w:rsid w:val="001E6367"/>
    <w:rsid w:val="001E7133"/>
    <w:rsid w:val="001E7347"/>
    <w:rsid w:val="001F0C15"/>
    <w:rsid w:val="001F1D92"/>
    <w:rsid w:val="001F23EA"/>
    <w:rsid w:val="001F4FD3"/>
    <w:rsid w:val="001F527D"/>
    <w:rsid w:val="001F7699"/>
    <w:rsid w:val="002030A6"/>
    <w:rsid w:val="0020538B"/>
    <w:rsid w:val="00206AB3"/>
    <w:rsid w:val="00215ED2"/>
    <w:rsid w:val="00215F5F"/>
    <w:rsid w:val="00220E90"/>
    <w:rsid w:val="00224415"/>
    <w:rsid w:val="00225889"/>
    <w:rsid w:val="00227592"/>
    <w:rsid w:val="00227793"/>
    <w:rsid w:val="00231B62"/>
    <w:rsid w:val="002323CD"/>
    <w:rsid w:val="002346A9"/>
    <w:rsid w:val="00234D1C"/>
    <w:rsid w:val="0023580F"/>
    <w:rsid w:val="002359BE"/>
    <w:rsid w:val="00240FD0"/>
    <w:rsid w:val="00241B3A"/>
    <w:rsid w:val="00242C52"/>
    <w:rsid w:val="0024361E"/>
    <w:rsid w:val="00243C17"/>
    <w:rsid w:val="002449DD"/>
    <w:rsid w:val="00245ACA"/>
    <w:rsid w:val="00245D80"/>
    <w:rsid w:val="00247F7A"/>
    <w:rsid w:val="0025145E"/>
    <w:rsid w:val="00252E3A"/>
    <w:rsid w:val="0025467E"/>
    <w:rsid w:val="002561CD"/>
    <w:rsid w:val="00256902"/>
    <w:rsid w:val="00257EA8"/>
    <w:rsid w:val="00263F4F"/>
    <w:rsid w:val="00264163"/>
    <w:rsid w:val="002671B9"/>
    <w:rsid w:val="0026769D"/>
    <w:rsid w:val="0026776C"/>
    <w:rsid w:val="0027060C"/>
    <w:rsid w:val="0027172F"/>
    <w:rsid w:val="0027502D"/>
    <w:rsid w:val="002840EA"/>
    <w:rsid w:val="00285B55"/>
    <w:rsid w:val="0029321F"/>
    <w:rsid w:val="00294225"/>
    <w:rsid w:val="002973DE"/>
    <w:rsid w:val="002A1D20"/>
    <w:rsid w:val="002A53F3"/>
    <w:rsid w:val="002A5C26"/>
    <w:rsid w:val="002C135E"/>
    <w:rsid w:val="002C1530"/>
    <w:rsid w:val="002C5AEC"/>
    <w:rsid w:val="002C7BF4"/>
    <w:rsid w:val="002D2DAF"/>
    <w:rsid w:val="002D4085"/>
    <w:rsid w:val="002D6BD5"/>
    <w:rsid w:val="002D6FA3"/>
    <w:rsid w:val="002E1954"/>
    <w:rsid w:val="002E1AD8"/>
    <w:rsid w:val="002E4955"/>
    <w:rsid w:val="002E60BF"/>
    <w:rsid w:val="002F3329"/>
    <w:rsid w:val="002F3465"/>
    <w:rsid w:val="002F5176"/>
    <w:rsid w:val="003033AC"/>
    <w:rsid w:val="00303C5A"/>
    <w:rsid w:val="00303FB4"/>
    <w:rsid w:val="003058A9"/>
    <w:rsid w:val="003062A0"/>
    <w:rsid w:val="0030752C"/>
    <w:rsid w:val="00312555"/>
    <w:rsid w:val="00313560"/>
    <w:rsid w:val="00316FBB"/>
    <w:rsid w:val="0032076E"/>
    <w:rsid w:val="003260BD"/>
    <w:rsid w:val="00327877"/>
    <w:rsid w:val="00331765"/>
    <w:rsid w:val="00335AE3"/>
    <w:rsid w:val="00336A1D"/>
    <w:rsid w:val="00337B55"/>
    <w:rsid w:val="00340B86"/>
    <w:rsid w:val="00342EE6"/>
    <w:rsid w:val="003500A6"/>
    <w:rsid w:val="0035013A"/>
    <w:rsid w:val="00356A97"/>
    <w:rsid w:val="00360861"/>
    <w:rsid w:val="00361711"/>
    <w:rsid w:val="00362AF2"/>
    <w:rsid w:val="0037085A"/>
    <w:rsid w:val="00375D0C"/>
    <w:rsid w:val="00377241"/>
    <w:rsid w:val="003815C2"/>
    <w:rsid w:val="0038515F"/>
    <w:rsid w:val="003860B3"/>
    <w:rsid w:val="0039147C"/>
    <w:rsid w:val="00392246"/>
    <w:rsid w:val="003A06B8"/>
    <w:rsid w:val="003A15AF"/>
    <w:rsid w:val="003A1A1A"/>
    <w:rsid w:val="003A23AC"/>
    <w:rsid w:val="003A28FC"/>
    <w:rsid w:val="003A313A"/>
    <w:rsid w:val="003A3628"/>
    <w:rsid w:val="003A3AFB"/>
    <w:rsid w:val="003A6222"/>
    <w:rsid w:val="003A6E84"/>
    <w:rsid w:val="003A6F40"/>
    <w:rsid w:val="003B0034"/>
    <w:rsid w:val="003B2B6A"/>
    <w:rsid w:val="003B2D1F"/>
    <w:rsid w:val="003B447C"/>
    <w:rsid w:val="003B5B10"/>
    <w:rsid w:val="003C1F7B"/>
    <w:rsid w:val="003C28A7"/>
    <w:rsid w:val="003C6692"/>
    <w:rsid w:val="003C6C7F"/>
    <w:rsid w:val="003D2945"/>
    <w:rsid w:val="003D43DC"/>
    <w:rsid w:val="003D4D27"/>
    <w:rsid w:val="003E055B"/>
    <w:rsid w:val="003E105E"/>
    <w:rsid w:val="003E166C"/>
    <w:rsid w:val="003E4874"/>
    <w:rsid w:val="003E60BC"/>
    <w:rsid w:val="003F511C"/>
    <w:rsid w:val="003F602F"/>
    <w:rsid w:val="00403FBD"/>
    <w:rsid w:val="004073DB"/>
    <w:rsid w:val="00410347"/>
    <w:rsid w:val="00411494"/>
    <w:rsid w:val="00413AF9"/>
    <w:rsid w:val="0041733F"/>
    <w:rsid w:val="0041740A"/>
    <w:rsid w:val="00417579"/>
    <w:rsid w:val="00422035"/>
    <w:rsid w:val="00422AA4"/>
    <w:rsid w:val="0043018F"/>
    <w:rsid w:val="00430E65"/>
    <w:rsid w:val="00440410"/>
    <w:rsid w:val="00444291"/>
    <w:rsid w:val="004459C1"/>
    <w:rsid w:val="0045227F"/>
    <w:rsid w:val="00452700"/>
    <w:rsid w:val="00457870"/>
    <w:rsid w:val="00474B14"/>
    <w:rsid w:val="0048653D"/>
    <w:rsid w:val="00486FDE"/>
    <w:rsid w:val="00491B58"/>
    <w:rsid w:val="00495F1F"/>
    <w:rsid w:val="004A2639"/>
    <w:rsid w:val="004A4D34"/>
    <w:rsid w:val="004A6417"/>
    <w:rsid w:val="004A6754"/>
    <w:rsid w:val="004A741B"/>
    <w:rsid w:val="004A7D5C"/>
    <w:rsid w:val="004A7FC6"/>
    <w:rsid w:val="004B4F1E"/>
    <w:rsid w:val="004B786C"/>
    <w:rsid w:val="004C02E7"/>
    <w:rsid w:val="004C40E9"/>
    <w:rsid w:val="004D184F"/>
    <w:rsid w:val="004D1A27"/>
    <w:rsid w:val="004E1AFE"/>
    <w:rsid w:val="004E2702"/>
    <w:rsid w:val="004E727B"/>
    <w:rsid w:val="004F0324"/>
    <w:rsid w:val="004F0C56"/>
    <w:rsid w:val="004F1653"/>
    <w:rsid w:val="004F16B1"/>
    <w:rsid w:val="004F2A3F"/>
    <w:rsid w:val="004F5EB5"/>
    <w:rsid w:val="00501BBF"/>
    <w:rsid w:val="00503930"/>
    <w:rsid w:val="00507242"/>
    <w:rsid w:val="0051423A"/>
    <w:rsid w:val="005146F4"/>
    <w:rsid w:val="00516EC5"/>
    <w:rsid w:val="00517035"/>
    <w:rsid w:val="00520172"/>
    <w:rsid w:val="00521527"/>
    <w:rsid w:val="00523F2D"/>
    <w:rsid w:val="005256D2"/>
    <w:rsid w:val="00525717"/>
    <w:rsid w:val="00532529"/>
    <w:rsid w:val="00532682"/>
    <w:rsid w:val="00534847"/>
    <w:rsid w:val="005376BC"/>
    <w:rsid w:val="00541531"/>
    <w:rsid w:val="00541611"/>
    <w:rsid w:val="00544425"/>
    <w:rsid w:val="005447ED"/>
    <w:rsid w:val="00545FDE"/>
    <w:rsid w:val="0054635D"/>
    <w:rsid w:val="00546551"/>
    <w:rsid w:val="00562955"/>
    <w:rsid w:val="005675B2"/>
    <w:rsid w:val="00571F49"/>
    <w:rsid w:val="005730A2"/>
    <w:rsid w:val="00575DC5"/>
    <w:rsid w:val="00576FAA"/>
    <w:rsid w:val="005814EB"/>
    <w:rsid w:val="00583A4B"/>
    <w:rsid w:val="005855B9"/>
    <w:rsid w:val="005914AF"/>
    <w:rsid w:val="0059445B"/>
    <w:rsid w:val="00597D2B"/>
    <w:rsid w:val="005A0E6D"/>
    <w:rsid w:val="005B2AD1"/>
    <w:rsid w:val="005B2DA4"/>
    <w:rsid w:val="005B441E"/>
    <w:rsid w:val="005B5467"/>
    <w:rsid w:val="005C26E2"/>
    <w:rsid w:val="005C5C8B"/>
    <w:rsid w:val="005C688F"/>
    <w:rsid w:val="005D0C85"/>
    <w:rsid w:val="005D2D9D"/>
    <w:rsid w:val="005D3B14"/>
    <w:rsid w:val="005D4D0A"/>
    <w:rsid w:val="005D5EE5"/>
    <w:rsid w:val="005D6E21"/>
    <w:rsid w:val="005E3269"/>
    <w:rsid w:val="005E4C64"/>
    <w:rsid w:val="005F3922"/>
    <w:rsid w:val="005F4932"/>
    <w:rsid w:val="006033CF"/>
    <w:rsid w:val="006071D4"/>
    <w:rsid w:val="00610F2C"/>
    <w:rsid w:val="0061241A"/>
    <w:rsid w:val="00612D4F"/>
    <w:rsid w:val="00613614"/>
    <w:rsid w:val="00614613"/>
    <w:rsid w:val="00614B97"/>
    <w:rsid w:val="00620FA6"/>
    <w:rsid w:val="006263C7"/>
    <w:rsid w:val="006314B2"/>
    <w:rsid w:val="00631A1A"/>
    <w:rsid w:val="0063481E"/>
    <w:rsid w:val="00640F9D"/>
    <w:rsid w:val="00641100"/>
    <w:rsid w:val="00641166"/>
    <w:rsid w:val="006427E4"/>
    <w:rsid w:val="00644940"/>
    <w:rsid w:val="006453EB"/>
    <w:rsid w:val="0065053E"/>
    <w:rsid w:val="00654491"/>
    <w:rsid w:val="00654560"/>
    <w:rsid w:val="00656AFA"/>
    <w:rsid w:val="00660722"/>
    <w:rsid w:val="00663F8C"/>
    <w:rsid w:val="0067341A"/>
    <w:rsid w:val="00674CAB"/>
    <w:rsid w:val="00675C40"/>
    <w:rsid w:val="00677C21"/>
    <w:rsid w:val="0068148D"/>
    <w:rsid w:val="006834B2"/>
    <w:rsid w:val="00683787"/>
    <w:rsid w:val="0068798E"/>
    <w:rsid w:val="0069121D"/>
    <w:rsid w:val="00691586"/>
    <w:rsid w:val="00694A1C"/>
    <w:rsid w:val="00695BF1"/>
    <w:rsid w:val="00697CBB"/>
    <w:rsid w:val="006A744B"/>
    <w:rsid w:val="006B25E2"/>
    <w:rsid w:val="006B4FEE"/>
    <w:rsid w:val="006B68C6"/>
    <w:rsid w:val="006C05F3"/>
    <w:rsid w:val="006C1A63"/>
    <w:rsid w:val="006C2E11"/>
    <w:rsid w:val="006C3297"/>
    <w:rsid w:val="006D3E68"/>
    <w:rsid w:val="006D5D67"/>
    <w:rsid w:val="006D5F0F"/>
    <w:rsid w:val="006D6094"/>
    <w:rsid w:val="006D75B6"/>
    <w:rsid w:val="006E1F28"/>
    <w:rsid w:val="006F04D4"/>
    <w:rsid w:val="006F309E"/>
    <w:rsid w:val="006F3AA0"/>
    <w:rsid w:val="006F3CED"/>
    <w:rsid w:val="006F4830"/>
    <w:rsid w:val="006F7352"/>
    <w:rsid w:val="006F7491"/>
    <w:rsid w:val="0070079D"/>
    <w:rsid w:val="00704A8A"/>
    <w:rsid w:val="00705A10"/>
    <w:rsid w:val="00707474"/>
    <w:rsid w:val="007125F4"/>
    <w:rsid w:val="007151F2"/>
    <w:rsid w:val="007208EB"/>
    <w:rsid w:val="00722DAC"/>
    <w:rsid w:val="007234B1"/>
    <w:rsid w:val="00733A67"/>
    <w:rsid w:val="007359EF"/>
    <w:rsid w:val="0073758F"/>
    <w:rsid w:val="00737AC1"/>
    <w:rsid w:val="00743840"/>
    <w:rsid w:val="00745528"/>
    <w:rsid w:val="00745B2A"/>
    <w:rsid w:val="007462A6"/>
    <w:rsid w:val="00747C1E"/>
    <w:rsid w:val="0075042D"/>
    <w:rsid w:val="0075147B"/>
    <w:rsid w:val="007520CC"/>
    <w:rsid w:val="00752A49"/>
    <w:rsid w:val="00753A7D"/>
    <w:rsid w:val="00757866"/>
    <w:rsid w:val="00762378"/>
    <w:rsid w:val="00765781"/>
    <w:rsid w:val="007657B0"/>
    <w:rsid w:val="00766BAB"/>
    <w:rsid w:val="007726E1"/>
    <w:rsid w:val="00772900"/>
    <w:rsid w:val="00776C93"/>
    <w:rsid w:val="00776CF2"/>
    <w:rsid w:val="00777454"/>
    <w:rsid w:val="0078046B"/>
    <w:rsid w:val="0078067C"/>
    <w:rsid w:val="007816AE"/>
    <w:rsid w:val="007817D4"/>
    <w:rsid w:val="007852AD"/>
    <w:rsid w:val="007855AB"/>
    <w:rsid w:val="0079049E"/>
    <w:rsid w:val="00797922"/>
    <w:rsid w:val="007A0964"/>
    <w:rsid w:val="007A127C"/>
    <w:rsid w:val="007A1645"/>
    <w:rsid w:val="007A4996"/>
    <w:rsid w:val="007A541B"/>
    <w:rsid w:val="007A594C"/>
    <w:rsid w:val="007A59CA"/>
    <w:rsid w:val="007B1ACB"/>
    <w:rsid w:val="007B1F55"/>
    <w:rsid w:val="007B52E9"/>
    <w:rsid w:val="007B6407"/>
    <w:rsid w:val="007B712F"/>
    <w:rsid w:val="007C1003"/>
    <w:rsid w:val="007C2649"/>
    <w:rsid w:val="007C7FF0"/>
    <w:rsid w:val="007D49FB"/>
    <w:rsid w:val="007D52F5"/>
    <w:rsid w:val="007D5A3C"/>
    <w:rsid w:val="007E07E8"/>
    <w:rsid w:val="007E0E9A"/>
    <w:rsid w:val="007E67D9"/>
    <w:rsid w:val="007F087B"/>
    <w:rsid w:val="007F6101"/>
    <w:rsid w:val="007F6E88"/>
    <w:rsid w:val="00800675"/>
    <w:rsid w:val="0080123E"/>
    <w:rsid w:val="00804E44"/>
    <w:rsid w:val="0080788B"/>
    <w:rsid w:val="008121FE"/>
    <w:rsid w:val="00815623"/>
    <w:rsid w:val="00824A79"/>
    <w:rsid w:val="008251CA"/>
    <w:rsid w:val="00825651"/>
    <w:rsid w:val="00827292"/>
    <w:rsid w:val="0083063B"/>
    <w:rsid w:val="00832EA6"/>
    <w:rsid w:val="008330E6"/>
    <w:rsid w:val="00834D1A"/>
    <w:rsid w:val="008366BC"/>
    <w:rsid w:val="008409B1"/>
    <w:rsid w:val="00842177"/>
    <w:rsid w:val="00843E9A"/>
    <w:rsid w:val="008470A0"/>
    <w:rsid w:val="008472B2"/>
    <w:rsid w:val="00851059"/>
    <w:rsid w:val="00853D53"/>
    <w:rsid w:val="00853EFB"/>
    <w:rsid w:val="0085425C"/>
    <w:rsid w:val="0085461B"/>
    <w:rsid w:val="008574A1"/>
    <w:rsid w:val="008624ED"/>
    <w:rsid w:val="00863223"/>
    <w:rsid w:val="00863EEC"/>
    <w:rsid w:val="00871089"/>
    <w:rsid w:val="00872290"/>
    <w:rsid w:val="00875A17"/>
    <w:rsid w:val="00876F7C"/>
    <w:rsid w:val="008773D0"/>
    <w:rsid w:val="0087749D"/>
    <w:rsid w:val="00880AB7"/>
    <w:rsid w:val="0088176A"/>
    <w:rsid w:val="00882DAA"/>
    <w:rsid w:val="008842AB"/>
    <w:rsid w:val="0088656C"/>
    <w:rsid w:val="00886EE1"/>
    <w:rsid w:val="00890381"/>
    <w:rsid w:val="00891303"/>
    <w:rsid w:val="00893801"/>
    <w:rsid w:val="008A42C8"/>
    <w:rsid w:val="008A45B8"/>
    <w:rsid w:val="008A597D"/>
    <w:rsid w:val="008A734C"/>
    <w:rsid w:val="008B6AC1"/>
    <w:rsid w:val="008B786A"/>
    <w:rsid w:val="008C192D"/>
    <w:rsid w:val="008C24DE"/>
    <w:rsid w:val="008C2CD7"/>
    <w:rsid w:val="008C7A9D"/>
    <w:rsid w:val="008C7EF9"/>
    <w:rsid w:val="008D75B5"/>
    <w:rsid w:val="008E487C"/>
    <w:rsid w:val="008E7D62"/>
    <w:rsid w:val="008F1E27"/>
    <w:rsid w:val="008F4F0C"/>
    <w:rsid w:val="008F5DA2"/>
    <w:rsid w:val="008F73EB"/>
    <w:rsid w:val="009007AD"/>
    <w:rsid w:val="00900E80"/>
    <w:rsid w:val="00905D27"/>
    <w:rsid w:val="009065C0"/>
    <w:rsid w:val="009121DA"/>
    <w:rsid w:val="009125E0"/>
    <w:rsid w:val="0091619A"/>
    <w:rsid w:val="00917885"/>
    <w:rsid w:val="009204FF"/>
    <w:rsid w:val="009212E1"/>
    <w:rsid w:val="00921B00"/>
    <w:rsid w:val="009229A3"/>
    <w:rsid w:val="00922A06"/>
    <w:rsid w:val="0092626D"/>
    <w:rsid w:val="0092640F"/>
    <w:rsid w:val="00927FA5"/>
    <w:rsid w:val="0093394C"/>
    <w:rsid w:val="0093528C"/>
    <w:rsid w:val="009370F4"/>
    <w:rsid w:val="00937DFB"/>
    <w:rsid w:val="0095238D"/>
    <w:rsid w:val="00952541"/>
    <w:rsid w:val="009561AF"/>
    <w:rsid w:val="009608BA"/>
    <w:rsid w:val="0096788A"/>
    <w:rsid w:val="00967950"/>
    <w:rsid w:val="00967A55"/>
    <w:rsid w:val="00971164"/>
    <w:rsid w:val="009718FD"/>
    <w:rsid w:val="00971DD4"/>
    <w:rsid w:val="00974DE0"/>
    <w:rsid w:val="0097602E"/>
    <w:rsid w:val="0097697D"/>
    <w:rsid w:val="00983DCE"/>
    <w:rsid w:val="009849FF"/>
    <w:rsid w:val="00984BB7"/>
    <w:rsid w:val="009853F1"/>
    <w:rsid w:val="00986614"/>
    <w:rsid w:val="0098771C"/>
    <w:rsid w:val="00990864"/>
    <w:rsid w:val="00994A9A"/>
    <w:rsid w:val="009A0F7D"/>
    <w:rsid w:val="009A2A60"/>
    <w:rsid w:val="009B5D2C"/>
    <w:rsid w:val="009B66C6"/>
    <w:rsid w:val="009B68AA"/>
    <w:rsid w:val="009C6163"/>
    <w:rsid w:val="009D10F5"/>
    <w:rsid w:val="009D3CF0"/>
    <w:rsid w:val="009D6105"/>
    <w:rsid w:val="009D7959"/>
    <w:rsid w:val="009E7448"/>
    <w:rsid w:val="009E7BD3"/>
    <w:rsid w:val="009F0DB0"/>
    <w:rsid w:val="009F1B6D"/>
    <w:rsid w:val="009F3F82"/>
    <w:rsid w:val="009F6099"/>
    <w:rsid w:val="009F7F0D"/>
    <w:rsid w:val="00A03498"/>
    <w:rsid w:val="00A04765"/>
    <w:rsid w:val="00A064A4"/>
    <w:rsid w:val="00A076EE"/>
    <w:rsid w:val="00A13F34"/>
    <w:rsid w:val="00A140B2"/>
    <w:rsid w:val="00A144BB"/>
    <w:rsid w:val="00A14829"/>
    <w:rsid w:val="00A16E2E"/>
    <w:rsid w:val="00A214AD"/>
    <w:rsid w:val="00A22C2B"/>
    <w:rsid w:val="00A2622C"/>
    <w:rsid w:val="00A406E7"/>
    <w:rsid w:val="00A40C90"/>
    <w:rsid w:val="00A422CD"/>
    <w:rsid w:val="00A42575"/>
    <w:rsid w:val="00A438B5"/>
    <w:rsid w:val="00A441B1"/>
    <w:rsid w:val="00A441E5"/>
    <w:rsid w:val="00A44DE3"/>
    <w:rsid w:val="00A5272C"/>
    <w:rsid w:val="00A578C3"/>
    <w:rsid w:val="00A57CD1"/>
    <w:rsid w:val="00A62F0C"/>
    <w:rsid w:val="00A67242"/>
    <w:rsid w:val="00A70523"/>
    <w:rsid w:val="00A718F6"/>
    <w:rsid w:val="00A71C95"/>
    <w:rsid w:val="00A72906"/>
    <w:rsid w:val="00A7648C"/>
    <w:rsid w:val="00A80BE6"/>
    <w:rsid w:val="00A80DCD"/>
    <w:rsid w:val="00A868D7"/>
    <w:rsid w:val="00A917EE"/>
    <w:rsid w:val="00A9393F"/>
    <w:rsid w:val="00A952A7"/>
    <w:rsid w:val="00A96D8D"/>
    <w:rsid w:val="00AA2429"/>
    <w:rsid w:val="00AA5FB4"/>
    <w:rsid w:val="00AA6FFC"/>
    <w:rsid w:val="00AB0407"/>
    <w:rsid w:val="00AB0591"/>
    <w:rsid w:val="00AB549B"/>
    <w:rsid w:val="00AB6577"/>
    <w:rsid w:val="00AC0246"/>
    <w:rsid w:val="00AC0DA0"/>
    <w:rsid w:val="00AC1498"/>
    <w:rsid w:val="00AC30CC"/>
    <w:rsid w:val="00AC389F"/>
    <w:rsid w:val="00AC72A9"/>
    <w:rsid w:val="00AE004C"/>
    <w:rsid w:val="00AE10BD"/>
    <w:rsid w:val="00AE159A"/>
    <w:rsid w:val="00AE4078"/>
    <w:rsid w:val="00AE4AFB"/>
    <w:rsid w:val="00AE5C0F"/>
    <w:rsid w:val="00AE5F21"/>
    <w:rsid w:val="00AE7176"/>
    <w:rsid w:val="00AE79CF"/>
    <w:rsid w:val="00AF01DA"/>
    <w:rsid w:val="00AF1556"/>
    <w:rsid w:val="00AF3632"/>
    <w:rsid w:val="00AF4B3A"/>
    <w:rsid w:val="00AF539F"/>
    <w:rsid w:val="00AF790E"/>
    <w:rsid w:val="00B01CCA"/>
    <w:rsid w:val="00B03D59"/>
    <w:rsid w:val="00B045A4"/>
    <w:rsid w:val="00B04D25"/>
    <w:rsid w:val="00B0548C"/>
    <w:rsid w:val="00B06E7F"/>
    <w:rsid w:val="00B10BB6"/>
    <w:rsid w:val="00B11BE8"/>
    <w:rsid w:val="00B13891"/>
    <w:rsid w:val="00B15020"/>
    <w:rsid w:val="00B15B20"/>
    <w:rsid w:val="00B16171"/>
    <w:rsid w:val="00B17813"/>
    <w:rsid w:val="00B22E4A"/>
    <w:rsid w:val="00B274B8"/>
    <w:rsid w:val="00B30E57"/>
    <w:rsid w:val="00B314AC"/>
    <w:rsid w:val="00B33B85"/>
    <w:rsid w:val="00B34EC1"/>
    <w:rsid w:val="00B37BEA"/>
    <w:rsid w:val="00B46D2A"/>
    <w:rsid w:val="00B4731A"/>
    <w:rsid w:val="00B476EE"/>
    <w:rsid w:val="00B47DDC"/>
    <w:rsid w:val="00B62E26"/>
    <w:rsid w:val="00B6496F"/>
    <w:rsid w:val="00B66F9E"/>
    <w:rsid w:val="00B712FB"/>
    <w:rsid w:val="00B73ABC"/>
    <w:rsid w:val="00B73FD3"/>
    <w:rsid w:val="00B7702B"/>
    <w:rsid w:val="00B77848"/>
    <w:rsid w:val="00B810E0"/>
    <w:rsid w:val="00B81DCC"/>
    <w:rsid w:val="00B82BE2"/>
    <w:rsid w:val="00B87345"/>
    <w:rsid w:val="00B934E0"/>
    <w:rsid w:val="00B94E62"/>
    <w:rsid w:val="00B950B8"/>
    <w:rsid w:val="00B95AFE"/>
    <w:rsid w:val="00B96ED4"/>
    <w:rsid w:val="00BA1B9F"/>
    <w:rsid w:val="00BA4DA7"/>
    <w:rsid w:val="00BA73D2"/>
    <w:rsid w:val="00BA7DD8"/>
    <w:rsid w:val="00BB32F5"/>
    <w:rsid w:val="00BB4E86"/>
    <w:rsid w:val="00BB6B63"/>
    <w:rsid w:val="00BC10DC"/>
    <w:rsid w:val="00BC4BF0"/>
    <w:rsid w:val="00BC76F1"/>
    <w:rsid w:val="00BD05D3"/>
    <w:rsid w:val="00BD0BCD"/>
    <w:rsid w:val="00BD2D3A"/>
    <w:rsid w:val="00BE14AB"/>
    <w:rsid w:val="00BE20C0"/>
    <w:rsid w:val="00BE264A"/>
    <w:rsid w:val="00BE5177"/>
    <w:rsid w:val="00BE5F23"/>
    <w:rsid w:val="00BF0BDD"/>
    <w:rsid w:val="00BF1150"/>
    <w:rsid w:val="00BF3E05"/>
    <w:rsid w:val="00BF67E4"/>
    <w:rsid w:val="00BF7026"/>
    <w:rsid w:val="00BF757D"/>
    <w:rsid w:val="00C03E23"/>
    <w:rsid w:val="00C060B8"/>
    <w:rsid w:val="00C121A0"/>
    <w:rsid w:val="00C160F2"/>
    <w:rsid w:val="00C1662E"/>
    <w:rsid w:val="00C2560C"/>
    <w:rsid w:val="00C26521"/>
    <w:rsid w:val="00C27A4B"/>
    <w:rsid w:val="00C3300D"/>
    <w:rsid w:val="00C3346D"/>
    <w:rsid w:val="00C33D7E"/>
    <w:rsid w:val="00C367E7"/>
    <w:rsid w:val="00C36BFD"/>
    <w:rsid w:val="00C36DC1"/>
    <w:rsid w:val="00C408AE"/>
    <w:rsid w:val="00C40ED9"/>
    <w:rsid w:val="00C43953"/>
    <w:rsid w:val="00C43C1B"/>
    <w:rsid w:val="00C44471"/>
    <w:rsid w:val="00C4494A"/>
    <w:rsid w:val="00C44FEA"/>
    <w:rsid w:val="00C45DE3"/>
    <w:rsid w:val="00C52FAB"/>
    <w:rsid w:val="00C54029"/>
    <w:rsid w:val="00C56459"/>
    <w:rsid w:val="00C625CA"/>
    <w:rsid w:val="00C65B9D"/>
    <w:rsid w:val="00C6617D"/>
    <w:rsid w:val="00C701A3"/>
    <w:rsid w:val="00C73378"/>
    <w:rsid w:val="00C75611"/>
    <w:rsid w:val="00C760D7"/>
    <w:rsid w:val="00C76E87"/>
    <w:rsid w:val="00C775B5"/>
    <w:rsid w:val="00C836E4"/>
    <w:rsid w:val="00C83F57"/>
    <w:rsid w:val="00C8424B"/>
    <w:rsid w:val="00C87CF9"/>
    <w:rsid w:val="00C90585"/>
    <w:rsid w:val="00C91B3B"/>
    <w:rsid w:val="00C9272D"/>
    <w:rsid w:val="00C9318E"/>
    <w:rsid w:val="00C97896"/>
    <w:rsid w:val="00CA4BAA"/>
    <w:rsid w:val="00CB2C51"/>
    <w:rsid w:val="00CB5757"/>
    <w:rsid w:val="00CB7FAD"/>
    <w:rsid w:val="00CC4D4F"/>
    <w:rsid w:val="00CD01C7"/>
    <w:rsid w:val="00CD3317"/>
    <w:rsid w:val="00CD63C9"/>
    <w:rsid w:val="00CD76DF"/>
    <w:rsid w:val="00CE2058"/>
    <w:rsid w:val="00CE29CD"/>
    <w:rsid w:val="00CE6B1C"/>
    <w:rsid w:val="00CE6DA0"/>
    <w:rsid w:val="00CF0C7B"/>
    <w:rsid w:val="00CF0E64"/>
    <w:rsid w:val="00CF1489"/>
    <w:rsid w:val="00CF28B2"/>
    <w:rsid w:val="00CF2C3D"/>
    <w:rsid w:val="00CF3C19"/>
    <w:rsid w:val="00D0021C"/>
    <w:rsid w:val="00D02BAC"/>
    <w:rsid w:val="00D054E5"/>
    <w:rsid w:val="00D12E59"/>
    <w:rsid w:val="00D14B3D"/>
    <w:rsid w:val="00D16AB3"/>
    <w:rsid w:val="00D20494"/>
    <w:rsid w:val="00D21B3F"/>
    <w:rsid w:val="00D2493A"/>
    <w:rsid w:val="00D26123"/>
    <w:rsid w:val="00D26431"/>
    <w:rsid w:val="00D265A6"/>
    <w:rsid w:val="00D32F2B"/>
    <w:rsid w:val="00D3393A"/>
    <w:rsid w:val="00D34630"/>
    <w:rsid w:val="00D37F5E"/>
    <w:rsid w:val="00D4199D"/>
    <w:rsid w:val="00D43DC1"/>
    <w:rsid w:val="00D451E4"/>
    <w:rsid w:val="00D451F7"/>
    <w:rsid w:val="00D50772"/>
    <w:rsid w:val="00D50D51"/>
    <w:rsid w:val="00D544D2"/>
    <w:rsid w:val="00D54FCF"/>
    <w:rsid w:val="00D55DAD"/>
    <w:rsid w:val="00D5717D"/>
    <w:rsid w:val="00D67832"/>
    <w:rsid w:val="00D751AC"/>
    <w:rsid w:val="00D75ECF"/>
    <w:rsid w:val="00D77E1B"/>
    <w:rsid w:val="00D80387"/>
    <w:rsid w:val="00D81225"/>
    <w:rsid w:val="00D82935"/>
    <w:rsid w:val="00D82F8A"/>
    <w:rsid w:val="00D8406D"/>
    <w:rsid w:val="00D85439"/>
    <w:rsid w:val="00D90620"/>
    <w:rsid w:val="00D9137B"/>
    <w:rsid w:val="00D93671"/>
    <w:rsid w:val="00D9622F"/>
    <w:rsid w:val="00D9789B"/>
    <w:rsid w:val="00D97B79"/>
    <w:rsid w:val="00DA019D"/>
    <w:rsid w:val="00DA03C6"/>
    <w:rsid w:val="00DA32EC"/>
    <w:rsid w:val="00DA5B65"/>
    <w:rsid w:val="00DA5DBC"/>
    <w:rsid w:val="00DA6FB0"/>
    <w:rsid w:val="00DA7C55"/>
    <w:rsid w:val="00DB041F"/>
    <w:rsid w:val="00DB70B6"/>
    <w:rsid w:val="00DC08AB"/>
    <w:rsid w:val="00DC0BE1"/>
    <w:rsid w:val="00DC2383"/>
    <w:rsid w:val="00DC7A9C"/>
    <w:rsid w:val="00DD3E27"/>
    <w:rsid w:val="00DD4333"/>
    <w:rsid w:val="00DD77FC"/>
    <w:rsid w:val="00DE1A97"/>
    <w:rsid w:val="00DF4E52"/>
    <w:rsid w:val="00DF7CC5"/>
    <w:rsid w:val="00E02B66"/>
    <w:rsid w:val="00E03B35"/>
    <w:rsid w:val="00E14940"/>
    <w:rsid w:val="00E16346"/>
    <w:rsid w:val="00E1658E"/>
    <w:rsid w:val="00E26922"/>
    <w:rsid w:val="00E273CA"/>
    <w:rsid w:val="00E30A1D"/>
    <w:rsid w:val="00E36C7E"/>
    <w:rsid w:val="00E426A5"/>
    <w:rsid w:val="00E436ED"/>
    <w:rsid w:val="00E462BE"/>
    <w:rsid w:val="00E5039A"/>
    <w:rsid w:val="00E51FCF"/>
    <w:rsid w:val="00E529C5"/>
    <w:rsid w:val="00E575A3"/>
    <w:rsid w:val="00E609EA"/>
    <w:rsid w:val="00E62A04"/>
    <w:rsid w:val="00E65AD0"/>
    <w:rsid w:val="00E70147"/>
    <w:rsid w:val="00E70A60"/>
    <w:rsid w:val="00E71ACB"/>
    <w:rsid w:val="00E759B4"/>
    <w:rsid w:val="00E774E1"/>
    <w:rsid w:val="00E81094"/>
    <w:rsid w:val="00E812D8"/>
    <w:rsid w:val="00E81F1B"/>
    <w:rsid w:val="00E85765"/>
    <w:rsid w:val="00E86EAC"/>
    <w:rsid w:val="00E873C9"/>
    <w:rsid w:val="00E91ABB"/>
    <w:rsid w:val="00E944BC"/>
    <w:rsid w:val="00E94CE8"/>
    <w:rsid w:val="00E95F96"/>
    <w:rsid w:val="00E96764"/>
    <w:rsid w:val="00E9685B"/>
    <w:rsid w:val="00EA1D62"/>
    <w:rsid w:val="00EA29CA"/>
    <w:rsid w:val="00EA7936"/>
    <w:rsid w:val="00EA79EB"/>
    <w:rsid w:val="00EB0CCE"/>
    <w:rsid w:val="00EB1483"/>
    <w:rsid w:val="00EB4DD6"/>
    <w:rsid w:val="00EB4F95"/>
    <w:rsid w:val="00EB7E12"/>
    <w:rsid w:val="00EC22AB"/>
    <w:rsid w:val="00EC5344"/>
    <w:rsid w:val="00EC648D"/>
    <w:rsid w:val="00ED01A4"/>
    <w:rsid w:val="00ED0A55"/>
    <w:rsid w:val="00ED0ABB"/>
    <w:rsid w:val="00ED4E16"/>
    <w:rsid w:val="00EE0974"/>
    <w:rsid w:val="00EE0A58"/>
    <w:rsid w:val="00EE1565"/>
    <w:rsid w:val="00EE3EB0"/>
    <w:rsid w:val="00EE7A9A"/>
    <w:rsid w:val="00EF0FE5"/>
    <w:rsid w:val="00EF3246"/>
    <w:rsid w:val="00EF3FD3"/>
    <w:rsid w:val="00EF7E79"/>
    <w:rsid w:val="00F0006B"/>
    <w:rsid w:val="00F009FA"/>
    <w:rsid w:val="00F03D3F"/>
    <w:rsid w:val="00F0439B"/>
    <w:rsid w:val="00F05A6F"/>
    <w:rsid w:val="00F06EFC"/>
    <w:rsid w:val="00F0788B"/>
    <w:rsid w:val="00F07B75"/>
    <w:rsid w:val="00F1033B"/>
    <w:rsid w:val="00F10FEC"/>
    <w:rsid w:val="00F11DDC"/>
    <w:rsid w:val="00F13D2E"/>
    <w:rsid w:val="00F1445B"/>
    <w:rsid w:val="00F14D46"/>
    <w:rsid w:val="00F1650D"/>
    <w:rsid w:val="00F17718"/>
    <w:rsid w:val="00F22759"/>
    <w:rsid w:val="00F23033"/>
    <w:rsid w:val="00F23D93"/>
    <w:rsid w:val="00F26FAE"/>
    <w:rsid w:val="00F272BB"/>
    <w:rsid w:val="00F30FAC"/>
    <w:rsid w:val="00F346C3"/>
    <w:rsid w:val="00F359F7"/>
    <w:rsid w:val="00F3741F"/>
    <w:rsid w:val="00F40281"/>
    <w:rsid w:val="00F412E3"/>
    <w:rsid w:val="00F42071"/>
    <w:rsid w:val="00F429F8"/>
    <w:rsid w:val="00F4562A"/>
    <w:rsid w:val="00F47849"/>
    <w:rsid w:val="00F51A41"/>
    <w:rsid w:val="00F57CF2"/>
    <w:rsid w:val="00F64A85"/>
    <w:rsid w:val="00F70DC1"/>
    <w:rsid w:val="00F70E51"/>
    <w:rsid w:val="00F71A0D"/>
    <w:rsid w:val="00F73DDC"/>
    <w:rsid w:val="00F74A51"/>
    <w:rsid w:val="00F87196"/>
    <w:rsid w:val="00F873C6"/>
    <w:rsid w:val="00F91C88"/>
    <w:rsid w:val="00F93392"/>
    <w:rsid w:val="00F93B51"/>
    <w:rsid w:val="00F94554"/>
    <w:rsid w:val="00F956E8"/>
    <w:rsid w:val="00F95EC0"/>
    <w:rsid w:val="00F97B72"/>
    <w:rsid w:val="00FA2154"/>
    <w:rsid w:val="00FA4ED3"/>
    <w:rsid w:val="00FA63AB"/>
    <w:rsid w:val="00FA737B"/>
    <w:rsid w:val="00FB5476"/>
    <w:rsid w:val="00FB7C8D"/>
    <w:rsid w:val="00FC005C"/>
    <w:rsid w:val="00FC27BE"/>
    <w:rsid w:val="00FC3B48"/>
    <w:rsid w:val="00FC63D0"/>
    <w:rsid w:val="00FC63DD"/>
    <w:rsid w:val="00FD09CB"/>
    <w:rsid w:val="00FD156B"/>
    <w:rsid w:val="00FD2C02"/>
    <w:rsid w:val="00FD2DCF"/>
    <w:rsid w:val="00FD7884"/>
    <w:rsid w:val="00FE060B"/>
    <w:rsid w:val="00FE6B43"/>
    <w:rsid w:val="00FF117D"/>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paragraph" w:customStyle="1" w:styleId="alignjustify">
    <w:name w:val="alignjustify"/>
    <w:basedOn w:val="Normal"/>
    <w:uiPriority w:val="99"/>
    <w:rsid w:val="0067341A"/>
    <w:pPr>
      <w:spacing w:before="100" w:beforeAutospacing="1" w:after="100" w:afterAutospacing="1"/>
    </w:pPr>
    <w:rPr>
      <w:lang w:val="es-MX" w:eastAsia="es-MX"/>
    </w:rPr>
  </w:style>
  <w:style w:type="paragraph" w:styleId="Revisin">
    <w:name w:val="Revision"/>
    <w:hidden/>
    <w:uiPriority w:val="99"/>
    <w:semiHidden/>
    <w:rsid w:val="001928D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14717578">
      <w:bodyDiv w:val="1"/>
      <w:marLeft w:val="0"/>
      <w:marRight w:val="0"/>
      <w:marTop w:val="0"/>
      <w:marBottom w:val="0"/>
      <w:divBdr>
        <w:top w:val="none" w:sz="0" w:space="0" w:color="auto"/>
        <w:left w:val="none" w:sz="0" w:space="0" w:color="auto"/>
        <w:bottom w:val="none" w:sz="0" w:space="0" w:color="auto"/>
        <w:right w:val="none" w:sz="0" w:space="0" w:color="auto"/>
      </w:divBdr>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387339821">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0948c079-19c9-4a36-bb7d-d65ca794eba7"/>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16394</Words>
  <Characters>88151</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104337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6</cp:revision>
  <cp:lastPrinted>2025-06-04T19:26:00Z</cp:lastPrinted>
  <dcterms:created xsi:type="dcterms:W3CDTF">2025-05-30T14:21:00Z</dcterms:created>
  <dcterms:modified xsi:type="dcterms:W3CDTF">2025-06-04T19:27:00Z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