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AD7AA1" w:rsidRDefault="00DA046A" w:rsidP="00DA046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AD7AA1">
        <w:rPr>
          <w:rFonts w:ascii="Verdana" w:hAnsi="Verdana"/>
          <w:sz w:val="22"/>
          <w:szCs w:val="22"/>
        </w:rPr>
        <w:t>OBJETIVO</w:t>
      </w:r>
      <w:bookmarkEnd w:id="0"/>
    </w:p>
    <w:p w14:paraId="07DB0128" w14:textId="77777777" w:rsidR="003F1C7B" w:rsidRPr="00AD7AA1" w:rsidRDefault="003F1C7B" w:rsidP="003F1C7B">
      <w:pPr>
        <w:pStyle w:val="Ttulo1"/>
        <w:spacing w:line="240" w:lineRule="auto"/>
        <w:ind w:left="720"/>
        <w:jc w:val="both"/>
        <w:rPr>
          <w:rFonts w:ascii="Verdana" w:hAnsi="Verdana"/>
          <w:sz w:val="22"/>
          <w:szCs w:val="22"/>
        </w:rPr>
      </w:pPr>
    </w:p>
    <w:p w14:paraId="6D18E4F7" w14:textId="2C715D69" w:rsidR="00837D12" w:rsidRDefault="00DC75E6" w:rsidP="00DC75E6">
      <w:pPr>
        <w:jc w:val="both"/>
        <w:rPr>
          <w:rFonts w:ascii="Verdana" w:hAnsi="Verdana"/>
          <w:sz w:val="22"/>
          <w:szCs w:val="22"/>
        </w:rPr>
      </w:pPr>
      <w:r w:rsidRPr="00DC75E6">
        <w:rPr>
          <w:rFonts w:ascii="Verdana" w:hAnsi="Verdana"/>
          <w:sz w:val="22"/>
          <w:szCs w:val="22"/>
        </w:rPr>
        <w:t xml:space="preserve">Atender las solicitudes </w:t>
      </w:r>
      <w:r w:rsidR="005541C3">
        <w:rPr>
          <w:rFonts w:ascii="Verdana" w:hAnsi="Verdana"/>
          <w:sz w:val="22"/>
          <w:szCs w:val="22"/>
        </w:rPr>
        <w:t xml:space="preserve">al proceso </w:t>
      </w:r>
      <w:r w:rsidRPr="00DC75E6">
        <w:rPr>
          <w:rFonts w:ascii="Verdana" w:hAnsi="Verdana"/>
          <w:sz w:val="22"/>
          <w:szCs w:val="22"/>
        </w:rPr>
        <w:t xml:space="preserve">de </w:t>
      </w:r>
      <w:r w:rsidR="005541C3">
        <w:rPr>
          <w:rFonts w:ascii="Verdana" w:hAnsi="Verdana"/>
          <w:sz w:val="22"/>
          <w:szCs w:val="22"/>
        </w:rPr>
        <w:t>r</w:t>
      </w:r>
      <w:r w:rsidRPr="00DC75E6">
        <w:rPr>
          <w:rFonts w:ascii="Verdana" w:hAnsi="Verdana"/>
          <w:sz w:val="22"/>
          <w:szCs w:val="22"/>
        </w:rPr>
        <w:t>eorganización</w:t>
      </w:r>
      <w:r w:rsidR="005541C3">
        <w:rPr>
          <w:rFonts w:ascii="Verdana" w:hAnsi="Verdana"/>
          <w:sz w:val="22"/>
          <w:szCs w:val="22"/>
        </w:rPr>
        <w:t xml:space="preserve"> empresarial</w:t>
      </w:r>
      <w:r w:rsidRPr="00DC75E6">
        <w:rPr>
          <w:rFonts w:ascii="Verdana" w:hAnsi="Verdana"/>
          <w:sz w:val="22"/>
          <w:szCs w:val="22"/>
        </w:rPr>
        <w:t xml:space="preserve"> </w:t>
      </w:r>
      <w:r w:rsidR="005541C3">
        <w:rPr>
          <w:rFonts w:ascii="Verdana" w:hAnsi="Verdana"/>
          <w:sz w:val="22"/>
          <w:szCs w:val="22"/>
        </w:rPr>
        <w:t>a</w:t>
      </w:r>
      <w:r w:rsidRPr="00DC75E6">
        <w:rPr>
          <w:rFonts w:ascii="Verdana" w:hAnsi="Verdana"/>
          <w:sz w:val="22"/>
          <w:szCs w:val="22"/>
        </w:rPr>
        <w:t xml:space="preserve">breviada en los términos de la Ley 1116 de 2006 y </w:t>
      </w:r>
      <w:r w:rsidR="005541C3">
        <w:rPr>
          <w:rFonts w:ascii="Verdana" w:hAnsi="Verdana"/>
          <w:sz w:val="22"/>
          <w:szCs w:val="22"/>
        </w:rPr>
        <w:t xml:space="preserve">la Ley 2437 de 2024 </w:t>
      </w:r>
      <w:r w:rsidR="005541C3" w:rsidRPr="005F27B2">
        <w:rPr>
          <w:rFonts w:ascii="Verdana" w:hAnsi="Verdana"/>
          <w:sz w:val="22"/>
          <w:szCs w:val="22"/>
        </w:rPr>
        <w:t>para la reestructuración operacional, administrativa, de activos o pasivos de los deudores</w:t>
      </w:r>
      <w:r w:rsidR="005541C3">
        <w:rPr>
          <w:rFonts w:ascii="Verdana" w:hAnsi="Verdana"/>
          <w:sz w:val="22"/>
          <w:szCs w:val="22"/>
        </w:rPr>
        <w:t xml:space="preserve"> cuyos activos sean iguales o inferiores a 5.000 SMMLV</w:t>
      </w:r>
      <w:r w:rsidR="005541C3" w:rsidRPr="005F27B2">
        <w:rPr>
          <w:rFonts w:ascii="Verdana" w:hAnsi="Verdana"/>
          <w:sz w:val="22"/>
          <w:szCs w:val="22"/>
        </w:rPr>
        <w:t>.</w:t>
      </w:r>
    </w:p>
    <w:p w14:paraId="078238A2" w14:textId="77777777" w:rsidR="00DC75E6" w:rsidRPr="00AD7AA1" w:rsidRDefault="00DC75E6" w:rsidP="00F23033">
      <w:pPr>
        <w:jc w:val="both"/>
        <w:rPr>
          <w:rFonts w:ascii="Verdana" w:hAnsi="Verdana"/>
          <w:bCs/>
          <w:color w:val="FF0000"/>
          <w:sz w:val="22"/>
          <w:szCs w:val="22"/>
        </w:rPr>
      </w:pPr>
    </w:p>
    <w:p w14:paraId="013587C9" w14:textId="6074426D" w:rsidR="003F1C7B" w:rsidRPr="00AD7AA1" w:rsidRDefault="00DA046A" w:rsidP="00DA046A">
      <w:pPr>
        <w:pStyle w:val="Ttulo1"/>
        <w:spacing w:line="240" w:lineRule="auto"/>
        <w:jc w:val="both"/>
        <w:rPr>
          <w:rFonts w:ascii="Verdana" w:hAnsi="Verdana"/>
          <w:sz w:val="22"/>
          <w:szCs w:val="22"/>
        </w:rPr>
      </w:pPr>
      <w:bookmarkStart w:id="1" w:name="_Toc183181507"/>
      <w:r w:rsidRPr="00AD7AA1">
        <w:rPr>
          <w:rFonts w:ascii="Verdana" w:hAnsi="Verdana"/>
          <w:sz w:val="22"/>
          <w:szCs w:val="22"/>
        </w:rPr>
        <w:t xml:space="preserve">2. </w:t>
      </w:r>
      <w:r w:rsidR="008409B1" w:rsidRPr="00AD7AA1">
        <w:rPr>
          <w:rFonts w:ascii="Verdana" w:hAnsi="Verdana"/>
          <w:sz w:val="22"/>
          <w:szCs w:val="22"/>
        </w:rPr>
        <w:t>ALCANCE</w:t>
      </w:r>
      <w:bookmarkEnd w:id="1"/>
    </w:p>
    <w:p w14:paraId="54042905" w14:textId="2A149908" w:rsidR="00DA4C9A" w:rsidRDefault="00DA4C9A" w:rsidP="009D007F">
      <w:pPr>
        <w:rPr>
          <w:lang w:val="es-ES_tradnl"/>
        </w:rPr>
      </w:pPr>
    </w:p>
    <w:p w14:paraId="25B7999B" w14:textId="5ACAFE63" w:rsidR="00837D12" w:rsidRDefault="00DC75E6" w:rsidP="00DC75E6">
      <w:pPr>
        <w:jc w:val="both"/>
        <w:rPr>
          <w:rFonts w:ascii="Verdana" w:hAnsi="Verdana"/>
          <w:sz w:val="22"/>
          <w:szCs w:val="22"/>
          <w:lang w:val="es-ES_tradnl"/>
        </w:rPr>
      </w:pPr>
      <w:r w:rsidRPr="00DC75E6">
        <w:rPr>
          <w:rFonts w:ascii="Verdana" w:hAnsi="Verdana"/>
          <w:sz w:val="22"/>
          <w:szCs w:val="22"/>
          <w:lang w:val="es-ES_tradnl"/>
        </w:rPr>
        <w:t xml:space="preserve">Comprende desde el recibo de las solicitudes de admisión al proceso de </w:t>
      </w:r>
      <w:r w:rsidR="005541C3">
        <w:rPr>
          <w:rFonts w:ascii="Verdana" w:hAnsi="Verdana"/>
          <w:sz w:val="22"/>
          <w:szCs w:val="22"/>
          <w:lang w:val="es-ES_tradnl"/>
        </w:rPr>
        <w:t>r</w:t>
      </w:r>
      <w:r w:rsidRPr="00DC75E6">
        <w:rPr>
          <w:rFonts w:ascii="Verdana" w:hAnsi="Verdana"/>
          <w:sz w:val="22"/>
          <w:szCs w:val="22"/>
          <w:lang w:val="es-ES_tradnl"/>
        </w:rPr>
        <w:t>eorganización</w:t>
      </w:r>
      <w:r w:rsidR="005541C3">
        <w:rPr>
          <w:rFonts w:ascii="Verdana" w:hAnsi="Verdana"/>
          <w:sz w:val="22"/>
          <w:szCs w:val="22"/>
          <w:lang w:val="es-ES_tradnl"/>
        </w:rPr>
        <w:t xml:space="preserve"> empresarial</w:t>
      </w:r>
      <w:r w:rsidRPr="00DC75E6">
        <w:rPr>
          <w:rFonts w:ascii="Verdana" w:hAnsi="Verdana"/>
          <w:sz w:val="22"/>
          <w:szCs w:val="22"/>
          <w:lang w:val="es-ES_tradnl"/>
        </w:rPr>
        <w:t xml:space="preserve"> </w:t>
      </w:r>
      <w:r w:rsidR="005541C3">
        <w:rPr>
          <w:rFonts w:ascii="Verdana" w:hAnsi="Verdana"/>
          <w:sz w:val="22"/>
          <w:szCs w:val="22"/>
          <w:lang w:val="es-ES_tradnl"/>
        </w:rPr>
        <w:t>a</w:t>
      </w:r>
      <w:r w:rsidRPr="00DC75E6">
        <w:rPr>
          <w:rFonts w:ascii="Verdana" w:hAnsi="Verdana"/>
          <w:sz w:val="22"/>
          <w:szCs w:val="22"/>
          <w:lang w:val="es-ES_tradnl"/>
        </w:rPr>
        <w:t>breviada</w:t>
      </w:r>
      <w:r w:rsidR="005541C3">
        <w:rPr>
          <w:rFonts w:ascii="Verdana" w:hAnsi="Verdana"/>
          <w:sz w:val="22"/>
          <w:szCs w:val="22"/>
          <w:lang w:val="es-ES_tradnl"/>
        </w:rPr>
        <w:t>, pasando por la presentación del proyecto de calificación y graduación de créditos y derechos de voto,</w:t>
      </w:r>
      <w:r w:rsidRPr="00DC75E6">
        <w:rPr>
          <w:rFonts w:ascii="Verdana" w:hAnsi="Verdana"/>
          <w:sz w:val="22"/>
          <w:szCs w:val="22"/>
          <w:lang w:val="es-ES_tradnl"/>
        </w:rPr>
        <w:t xml:space="preserve"> hasta la confirmación y remisión del acuerdo a</w:t>
      </w:r>
      <w:r w:rsidR="00A17449">
        <w:rPr>
          <w:rFonts w:ascii="Verdana" w:hAnsi="Verdana"/>
          <w:sz w:val="22"/>
          <w:szCs w:val="22"/>
          <w:lang w:val="es-ES_tradnl"/>
        </w:rPr>
        <w:t xml:space="preserve"> la Dirección o</w:t>
      </w:r>
      <w:r w:rsidRPr="00DC75E6">
        <w:rPr>
          <w:rFonts w:ascii="Verdana" w:hAnsi="Verdana"/>
          <w:sz w:val="22"/>
          <w:szCs w:val="22"/>
          <w:lang w:val="es-ES_tradnl"/>
        </w:rPr>
        <w:t xml:space="preserve"> Grupo de Acuerdos de Insolvencia en Ejecución C</w:t>
      </w:r>
      <w:r w:rsidR="00A17449">
        <w:rPr>
          <w:rFonts w:ascii="Verdana" w:hAnsi="Verdana"/>
          <w:sz w:val="22"/>
          <w:szCs w:val="22"/>
          <w:lang w:val="es-ES_tradnl"/>
        </w:rPr>
        <w:t>, según corresponda.</w:t>
      </w:r>
    </w:p>
    <w:p w14:paraId="7E1F9B6C" w14:textId="77777777" w:rsidR="00DC75E6" w:rsidRPr="00837D12" w:rsidRDefault="00DC75E6" w:rsidP="00837D12">
      <w:pPr>
        <w:rPr>
          <w:lang w:val="es-ES_tradnl"/>
        </w:rPr>
      </w:pPr>
    </w:p>
    <w:p w14:paraId="4CA5E6C9" w14:textId="6860EB8A" w:rsidR="003F1C7B" w:rsidRPr="00AD7AA1" w:rsidRDefault="00116AF1" w:rsidP="00116AF1">
      <w:pPr>
        <w:pStyle w:val="Ttulo1"/>
        <w:spacing w:line="240" w:lineRule="auto"/>
        <w:jc w:val="both"/>
        <w:rPr>
          <w:rFonts w:ascii="Verdana" w:hAnsi="Verdana"/>
          <w:sz w:val="22"/>
          <w:szCs w:val="22"/>
        </w:rPr>
      </w:pPr>
      <w:bookmarkStart w:id="2" w:name="_Toc183181508"/>
      <w:r w:rsidRPr="00AD7AA1">
        <w:rPr>
          <w:rFonts w:ascii="Verdana" w:hAnsi="Verdana"/>
          <w:sz w:val="22"/>
          <w:szCs w:val="22"/>
        </w:rPr>
        <w:t xml:space="preserve">3. </w:t>
      </w:r>
      <w:r w:rsidR="008409B1" w:rsidRPr="00AD7AA1">
        <w:rPr>
          <w:rFonts w:ascii="Verdana" w:hAnsi="Verdana"/>
          <w:sz w:val="22"/>
          <w:szCs w:val="22"/>
        </w:rPr>
        <w:t>DEFINICIONES</w:t>
      </w:r>
      <w:bookmarkEnd w:id="2"/>
    </w:p>
    <w:p w14:paraId="0D9D44AF" w14:textId="77777777" w:rsidR="00305C50" w:rsidRPr="00305C50" w:rsidRDefault="00305C50" w:rsidP="00305C50">
      <w:pPr>
        <w:rPr>
          <w:rFonts w:ascii="Verdana" w:hAnsi="Verdana"/>
          <w:b/>
          <w:bCs/>
          <w:sz w:val="22"/>
          <w:szCs w:val="22"/>
        </w:rPr>
      </w:pPr>
    </w:p>
    <w:p w14:paraId="25039790" w14:textId="6B787D73" w:rsidR="00305C50" w:rsidRDefault="00305C50" w:rsidP="00CA3ED4">
      <w:pPr>
        <w:pStyle w:val="Prrafodelista"/>
        <w:numPr>
          <w:ilvl w:val="0"/>
          <w:numId w:val="40"/>
        </w:numPr>
        <w:jc w:val="both"/>
        <w:rPr>
          <w:rFonts w:ascii="Verdana" w:hAnsi="Verdana"/>
          <w:sz w:val="22"/>
          <w:szCs w:val="22"/>
        </w:rPr>
      </w:pPr>
      <w:r>
        <w:rPr>
          <w:rFonts w:ascii="Verdana" w:hAnsi="Verdana"/>
          <w:b/>
          <w:bCs/>
          <w:sz w:val="22"/>
          <w:szCs w:val="22"/>
        </w:rPr>
        <w:t xml:space="preserve">Acuerdo de reorganización: </w:t>
      </w:r>
      <w:r w:rsidR="00A71E94">
        <w:rPr>
          <w:rFonts w:ascii="Verdana" w:hAnsi="Verdana"/>
          <w:sz w:val="22"/>
          <w:szCs w:val="22"/>
        </w:rPr>
        <w:t>Documento</w:t>
      </w:r>
      <w:r w:rsidR="00A71E94" w:rsidRPr="00A71E94">
        <w:rPr>
          <w:rFonts w:ascii="Verdana" w:hAnsi="Verdana"/>
          <w:sz w:val="22"/>
          <w:szCs w:val="22"/>
        </w:rPr>
        <w:t xml:space="preserve"> que permite a una empresa en dificultades financieras reestructurar sus deudas y obligaciones con sus acreedores, buscando evitar la liquidación y preservar la actividad económica. Este acuerdo se negocia entre la empresa deudora y sus acreedores, con el objetivo de establecer nuevos plazos y condiciones para el pago de las deudas, o incluso reducir el monto de estas.</w:t>
      </w:r>
    </w:p>
    <w:p w14:paraId="2BBCA7F6" w14:textId="77777777" w:rsidR="00A71E94" w:rsidRPr="00A71E94" w:rsidRDefault="00A71E94" w:rsidP="00CA3ED4">
      <w:pPr>
        <w:pStyle w:val="Prrafodelista"/>
        <w:ind w:left="720"/>
        <w:jc w:val="both"/>
        <w:rPr>
          <w:rFonts w:ascii="Verdana" w:hAnsi="Verdana"/>
          <w:sz w:val="22"/>
          <w:szCs w:val="22"/>
        </w:rPr>
      </w:pPr>
    </w:p>
    <w:p w14:paraId="1DC9B59F" w14:textId="1199A3C4" w:rsidR="00A71E94" w:rsidRPr="00A71E94" w:rsidRDefault="00305C50" w:rsidP="00CA3ED4">
      <w:pPr>
        <w:pStyle w:val="Prrafodelista"/>
        <w:numPr>
          <w:ilvl w:val="0"/>
          <w:numId w:val="40"/>
        </w:numPr>
        <w:jc w:val="both"/>
        <w:rPr>
          <w:rFonts w:ascii="Verdana" w:hAnsi="Verdana"/>
          <w:b/>
          <w:bCs/>
          <w:sz w:val="22"/>
          <w:szCs w:val="22"/>
        </w:rPr>
      </w:pPr>
      <w:r>
        <w:rPr>
          <w:rFonts w:ascii="Verdana" w:hAnsi="Verdana"/>
          <w:b/>
          <w:bCs/>
          <w:sz w:val="22"/>
          <w:szCs w:val="22"/>
        </w:rPr>
        <w:t>Calificación y graduación de créditos</w:t>
      </w:r>
      <w:r w:rsidR="00A71E94">
        <w:rPr>
          <w:rFonts w:ascii="Verdana" w:hAnsi="Verdana"/>
          <w:b/>
          <w:bCs/>
          <w:sz w:val="22"/>
          <w:szCs w:val="22"/>
        </w:rPr>
        <w:t xml:space="preserve"> y derechos de voto: </w:t>
      </w:r>
      <w:r w:rsidR="00A71E94" w:rsidRPr="00A71E94">
        <w:rPr>
          <w:rFonts w:ascii="Verdana" w:hAnsi="Verdana"/>
          <w:sz w:val="22"/>
          <w:szCs w:val="22"/>
        </w:rPr>
        <w:t>Es un documento donde se relaciona a quién debe y cuánto dinero debe la empresa. También define cuántos votos tiene el acreedor sobre el acuerdo de reorganización.</w:t>
      </w:r>
    </w:p>
    <w:p w14:paraId="19075B84" w14:textId="77777777" w:rsidR="001F0360" w:rsidRPr="00A17449" w:rsidRDefault="001F0360" w:rsidP="00A17449">
      <w:pPr>
        <w:rPr>
          <w:rFonts w:ascii="Verdana" w:hAnsi="Verdana"/>
          <w:b/>
          <w:bCs/>
          <w:sz w:val="22"/>
          <w:szCs w:val="22"/>
        </w:rPr>
      </w:pPr>
    </w:p>
    <w:p w14:paraId="5CC2CB3A" w14:textId="2156B101" w:rsidR="00A71E94" w:rsidRPr="0043715D" w:rsidRDefault="00A71E94" w:rsidP="00CA3ED4">
      <w:pPr>
        <w:pStyle w:val="Prrafodelista"/>
        <w:numPr>
          <w:ilvl w:val="0"/>
          <w:numId w:val="40"/>
        </w:numPr>
        <w:jc w:val="both"/>
        <w:rPr>
          <w:rFonts w:ascii="Verdana" w:hAnsi="Verdana"/>
          <w:sz w:val="22"/>
          <w:szCs w:val="22"/>
        </w:rPr>
      </w:pPr>
      <w:r>
        <w:rPr>
          <w:rFonts w:ascii="Verdana" w:hAnsi="Verdana"/>
          <w:b/>
          <w:bCs/>
          <w:sz w:val="22"/>
          <w:szCs w:val="22"/>
        </w:rPr>
        <w:t>Régimen de i</w:t>
      </w:r>
      <w:r w:rsidRPr="009A24E0">
        <w:rPr>
          <w:rFonts w:ascii="Verdana" w:hAnsi="Verdana"/>
          <w:b/>
          <w:bCs/>
          <w:sz w:val="22"/>
          <w:szCs w:val="22"/>
        </w:rPr>
        <w:t>nsolvenci</w:t>
      </w:r>
      <w:r>
        <w:rPr>
          <w:rFonts w:ascii="Verdana" w:hAnsi="Verdana"/>
          <w:b/>
          <w:bCs/>
          <w:sz w:val="22"/>
          <w:szCs w:val="22"/>
        </w:rPr>
        <w:t xml:space="preserve">a: </w:t>
      </w:r>
      <w:r>
        <w:rPr>
          <w:rFonts w:ascii="Verdana" w:hAnsi="Verdana"/>
          <w:sz w:val="22"/>
          <w:szCs w:val="22"/>
        </w:rPr>
        <w:t>P</w:t>
      </w:r>
      <w:r w:rsidRPr="00A71E94">
        <w:rPr>
          <w:rFonts w:ascii="Verdana" w:hAnsi="Verdana"/>
          <w:sz w:val="22"/>
          <w:szCs w:val="22"/>
        </w:rPr>
        <w:t>rocedimiento por el cual una</w:t>
      </w:r>
      <w:r>
        <w:rPr>
          <w:rFonts w:ascii="Verdana" w:hAnsi="Verdana"/>
          <w:sz w:val="22"/>
          <w:szCs w:val="22"/>
        </w:rPr>
        <w:t xml:space="preserve"> </w:t>
      </w:r>
      <w:r w:rsidRPr="00A71E94">
        <w:rPr>
          <w:rFonts w:ascii="Verdana" w:hAnsi="Verdana"/>
          <w:sz w:val="22"/>
          <w:szCs w:val="22"/>
        </w:rPr>
        <w:t>persona natural o una empresa pueden acordar con sus acreedores</w:t>
      </w:r>
      <w:r>
        <w:rPr>
          <w:rFonts w:ascii="Verdana" w:hAnsi="Verdana"/>
          <w:sz w:val="22"/>
          <w:szCs w:val="22"/>
        </w:rPr>
        <w:t xml:space="preserve"> </w:t>
      </w:r>
      <w:r w:rsidRPr="00A71E94">
        <w:rPr>
          <w:rFonts w:ascii="Verdana" w:hAnsi="Verdana"/>
          <w:sz w:val="22"/>
          <w:szCs w:val="22"/>
        </w:rPr>
        <w:t>formas de pago de sus obligaciones atrasadas, protegiendo de esta manera sus</w:t>
      </w:r>
      <w:r>
        <w:rPr>
          <w:rFonts w:ascii="Verdana" w:hAnsi="Verdana"/>
          <w:sz w:val="22"/>
          <w:szCs w:val="22"/>
        </w:rPr>
        <w:t xml:space="preserve"> </w:t>
      </w:r>
      <w:r w:rsidRPr="00A71E94">
        <w:rPr>
          <w:rFonts w:ascii="Verdana" w:hAnsi="Verdana"/>
          <w:sz w:val="22"/>
          <w:szCs w:val="22"/>
        </w:rPr>
        <w:t>negocios y fuentes de ingreso</w:t>
      </w:r>
      <w:r>
        <w:rPr>
          <w:rFonts w:ascii="Verdana" w:hAnsi="Verdana"/>
          <w:sz w:val="22"/>
          <w:szCs w:val="22"/>
        </w:rPr>
        <w:t>,</w:t>
      </w:r>
      <w:r w:rsidRPr="00A71E94">
        <w:rPr>
          <w:rFonts w:ascii="Verdana" w:hAnsi="Verdana"/>
          <w:sz w:val="22"/>
          <w:szCs w:val="22"/>
        </w:rPr>
        <w:t xml:space="preserve"> o </w:t>
      </w:r>
      <w:r>
        <w:rPr>
          <w:rFonts w:ascii="Verdana" w:hAnsi="Verdana"/>
          <w:sz w:val="22"/>
          <w:szCs w:val="22"/>
        </w:rPr>
        <w:t>solicitar la</w:t>
      </w:r>
      <w:r w:rsidRPr="00A71E94">
        <w:rPr>
          <w:rFonts w:ascii="Verdana" w:hAnsi="Verdana"/>
          <w:sz w:val="22"/>
          <w:szCs w:val="22"/>
        </w:rPr>
        <w:t xml:space="preserve"> liquida</w:t>
      </w:r>
      <w:r>
        <w:rPr>
          <w:rFonts w:ascii="Verdana" w:hAnsi="Verdana"/>
          <w:sz w:val="22"/>
          <w:szCs w:val="22"/>
        </w:rPr>
        <w:t>ción de</w:t>
      </w:r>
      <w:r w:rsidRPr="00A71E94">
        <w:rPr>
          <w:rFonts w:ascii="Verdana" w:hAnsi="Verdana"/>
          <w:sz w:val="22"/>
          <w:szCs w:val="22"/>
        </w:rPr>
        <w:t xml:space="preserve"> su negocio o sociedad mediante</w:t>
      </w:r>
      <w:r>
        <w:rPr>
          <w:rFonts w:ascii="Verdana" w:hAnsi="Verdana"/>
          <w:sz w:val="22"/>
          <w:szCs w:val="22"/>
        </w:rPr>
        <w:t xml:space="preserve"> </w:t>
      </w:r>
      <w:r w:rsidRPr="00A71E94">
        <w:rPr>
          <w:rFonts w:ascii="Verdana" w:hAnsi="Verdana"/>
          <w:sz w:val="22"/>
          <w:szCs w:val="22"/>
        </w:rPr>
        <w:t>un proceso judicial.</w:t>
      </w:r>
      <w:r w:rsidRPr="00A71E94">
        <w:rPr>
          <w:rFonts w:ascii="Verdana" w:hAnsi="Verdana"/>
          <w:sz w:val="22"/>
          <w:szCs w:val="22"/>
        </w:rPr>
        <w:cr/>
      </w:r>
    </w:p>
    <w:p w14:paraId="743F2687" w14:textId="54D5B5F9" w:rsidR="009A24E0" w:rsidRDefault="009A24E0" w:rsidP="00CA3ED4">
      <w:pPr>
        <w:pStyle w:val="Prrafodelista"/>
        <w:numPr>
          <w:ilvl w:val="0"/>
          <w:numId w:val="40"/>
        </w:numPr>
        <w:jc w:val="both"/>
        <w:rPr>
          <w:rFonts w:ascii="Verdana" w:hAnsi="Verdana"/>
          <w:sz w:val="22"/>
          <w:szCs w:val="22"/>
        </w:rPr>
      </w:pPr>
      <w:r w:rsidRPr="009A24E0">
        <w:rPr>
          <w:rFonts w:ascii="Verdana" w:hAnsi="Verdana"/>
          <w:b/>
          <w:bCs/>
          <w:sz w:val="22"/>
          <w:szCs w:val="22"/>
        </w:rPr>
        <w:t xml:space="preserve">Reorganización </w:t>
      </w:r>
      <w:r w:rsidR="00305C50">
        <w:rPr>
          <w:rFonts w:ascii="Verdana" w:hAnsi="Verdana"/>
          <w:b/>
          <w:bCs/>
          <w:sz w:val="22"/>
          <w:szCs w:val="22"/>
        </w:rPr>
        <w:t>e</w:t>
      </w:r>
      <w:r w:rsidRPr="009A24E0">
        <w:rPr>
          <w:rFonts w:ascii="Verdana" w:hAnsi="Verdana"/>
          <w:b/>
          <w:bCs/>
          <w:sz w:val="22"/>
          <w:szCs w:val="22"/>
        </w:rPr>
        <w:t xml:space="preserve">mpresarial: </w:t>
      </w:r>
      <w:r w:rsidR="00305C50">
        <w:rPr>
          <w:rFonts w:ascii="Verdana" w:hAnsi="Verdana"/>
          <w:sz w:val="22"/>
          <w:szCs w:val="22"/>
        </w:rPr>
        <w:t xml:space="preserve">Corresponde a un proceso que </w:t>
      </w:r>
      <w:r w:rsidR="00305C50" w:rsidRPr="00305C50">
        <w:rPr>
          <w:rFonts w:ascii="Verdana" w:hAnsi="Verdana"/>
          <w:sz w:val="22"/>
          <w:szCs w:val="22"/>
        </w:rPr>
        <w:t>pretende, a través de un acuerdo, preservar empresas viables y normalizar sus relaciones comerciales y crediticias, mediante su reestructuración operacional, administrativa, de activos o pasivos.</w:t>
      </w:r>
    </w:p>
    <w:p w14:paraId="4793EFE9" w14:textId="77777777" w:rsidR="00A17449" w:rsidRPr="00A17449" w:rsidRDefault="00A17449" w:rsidP="00A17449">
      <w:pPr>
        <w:pStyle w:val="Prrafodelista"/>
        <w:ind w:left="720"/>
        <w:jc w:val="both"/>
        <w:rPr>
          <w:rFonts w:ascii="Verdana" w:hAnsi="Verdana"/>
          <w:sz w:val="22"/>
          <w:szCs w:val="22"/>
        </w:rPr>
      </w:pPr>
    </w:p>
    <w:p w14:paraId="2F013548" w14:textId="497173C0" w:rsidR="00A17449" w:rsidRDefault="00A17449" w:rsidP="00A17449">
      <w:pPr>
        <w:pStyle w:val="Prrafodelista"/>
        <w:numPr>
          <w:ilvl w:val="0"/>
          <w:numId w:val="40"/>
        </w:numPr>
        <w:jc w:val="both"/>
        <w:rPr>
          <w:rFonts w:ascii="Verdana" w:hAnsi="Verdana"/>
          <w:sz w:val="22"/>
          <w:szCs w:val="22"/>
        </w:rPr>
      </w:pPr>
      <w:r w:rsidRPr="009A24E0">
        <w:rPr>
          <w:rFonts w:ascii="Verdana" w:hAnsi="Verdana"/>
          <w:b/>
          <w:bCs/>
          <w:sz w:val="22"/>
          <w:szCs w:val="22"/>
        </w:rPr>
        <w:t xml:space="preserve">Reorganización </w:t>
      </w:r>
      <w:r>
        <w:rPr>
          <w:rFonts w:ascii="Verdana" w:hAnsi="Verdana"/>
          <w:b/>
          <w:bCs/>
          <w:sz w:val="22"/>
          <w:szCs w:val="22"/>
        </w:rPr>
        <w:t>e</w:t>
      </w:r>
      <w:r w:rsidRPr="009A24E0">
        <w:rPr>
          <w:rFonts w:ascii="Verdana" w:hAnsi="Verdana"/>
          <w:b/>
          <w:bCs/>
          <w:sz w:val="22"/>
          <w:szCs w:val="22"/>
        </w:rPr>
        <w:t>mpresarial</w:t>
      </w:r>
      <w:r>
        <w:rPr>
          <w:rFonts w:ascii="Verdana" w:hAnsi="Verdana"/>
          <w:b/>
          <w:bCs/>
          <w:sz w:val="22"/>
          <w:szCs w:val="22"/>
        </w:rPr>
        <w:t xml:space="preserve"> abreviada</w:t>
      </w:r>
      <w:r w:rsidRPr="009A24E0">
        <w:rPr>
          <w:rFonts w:ascii="Verdana" w:hAnsi="Verdana"/>
          <w:b/>
          <w:bCs/>
          <w:sz w:val="22"/>
          <w:szCs w:val="22"/>
        </w:rPr>
        <w:t xml:space="preserve">: </w:t>
      </w:r>
      <w:r>
        <w:rPr>
          <w:rFonts w:ascii="Verdana" w:hAnsi="Verdana"/>
          <w:sz w:val="22"/>
          <w:szCs w:val="22"/>
        </w:rPr>
        <w:t>M</w:t>
      </w:r>
      <w:r w:rsidRPr="00A17449">
        <w:rPr>
          <w:rFonts w:ascii="Verdana" w:hAnsi="Verdana"/>
          <w:sz w:val="22"/>
          <w:szCs w:val="22"/>
        </w:rPr>
        <w:t>ecanismo legal establecido para facilitar la reestructuración de empresas con activos inferiores o iguales a 5.000 salarios mínimos legales mensuales vigentes (SMLMV)</w:t>
      </w:r>
      <w:r>
        <w:rPr>
          <w:rFonts w:ascii="Verdana" w:hAnsi="Verdana"/>
          <w:sz w:val="22"/>
          <w:szCs w:val="22"/>
        </w:rPr>
        <w:t xml:space="preserve">, para </w:t>
      </w:r>
      <w:r w:rsidRPr="00A17449">
        <w:rPr>
          <w:rFonts w:ascii="Verdana" w:hAnsi="Verdana"/>
          <w:sz w:val="22"/>
          <w:szCs w:val="22"/>
        </w:rPr>
        <w:t xml:space="preserve">preservar la unidad de explotación económica y la fuente generadora de empleo, mediante la reestructuración de </w:t>
      </w:r>
      <w:r>
        <w:rPr>
          <w:rFonts w:ascii="Verdana" w:hAnsi="Verdana"/>
          <w:sz w:val="22"/>
          <w:szCs w:val="22"/>
        </w:rPr>
        <w:t xml:space="preserve">las </w:t>
      </w:r>
      <w:r w:rsidRPr="00A17449">
        <w:rPr>
          <w:rFonts w:ascii="Verdana" w:hAnsi="Verdana"/>
          <w:sz w:val="22"/>
          <w:szCs w:val="22"/>
        </w:rPr>
        <w:t>operaciones, administración, activos o pasivos.</w:t>
      </w:r>
    </w:p>
    <w:p w14:paraId="75F2B827" w14:textId="77777777" w:rsidR="00305C50" w:rsidRPr="00A17449" w:rsidRDefault="00305C50" w:rsidP="00A17449">
      <w:pPr>
        <w:jc w:val="both"/>
        <w:rPr>
          <w:rFonts w:ascii="Verdana" w:hAnsi="Verdana"/>
          <w:sz w:val="22"/>
          <w:szCs w:val="22"/>
        </w:rPr>
      </w:pPr>
    </w:p>
    <w:p w14:paraId="6E27B93F" w14:textId="77777777" w:rsidR="003F1C7B" w:rsidRPr="00AD7AA1" w:rsidRDefault="003F1C7B" w:rsidP="006E2852">
      <w:pPr>
        <w:pStyle w:val="Ttulo1"/>
        <w:spacing w:line="240" w:lineRule="auto"/>
        <w:jc w:val="both"/>
        <w:rPr>
          <w:rFonts w:ascii="Verdana" w:hAnsi="Verdana"/>
          <w:sz w:val="22"/>
          <w:szCs w:val="22"/>
        </w:rPr>
      </w:pPr>
    </w:p>
    <w:p w14:paraId="47CD9A56" w14:textId="3BC3C01B" w:rsidR="003F1C7B" w:rsidRPr="00AD7AA1" w:rsidRDefault="006E2852" w:rsidP="006E2852">
      <w:pPr>
        <w:pStyle w:val="Ttulo1"/>
        <w:spacing w:line="240" w:lineRule="auto"/>
        <w:jc w:val="both"/>
        <w:rPr>
          <w:rFonts w:ascii="Verdana" w:hAnsi="Verdana"/>
          <w:sz w:val="22"/>
          <w:szCs w:val="22"/>
        </w:rPr>
      </w:pPr>
      <w:r w:rsidRPr="00AD7AA1">
        <w:rPr>
          <w:rFonts w:ascii="Verdana" w:hAnsi="Verdana"/>
          <w:sz w:val="22"/>
          <w:szCs w:val="22"/>
        </w:rPr>
        <w:t xml:space="preserve">4. </w:t>
      </w:r>
      <w:r w:rsidR="003F1C7B" w:rsidRPr="00AD7AA1">
        <w:rPr>
          <w:rFonts w:ascii="Verdana" w:hAnsi="Verdana"/>
          <w:sz w:val="22"/>
          <w:szCs w:val="22"/>
        </w:rPr>
        <w:t xml:space="preserve">DOCUMENTOS </w:t>
      </w:r>
      <w:r w:rsidR="00EB0B4E">
        <w:rPr>
          <w:rFonts w:ascii="Verdana" w:hAnsi="Verdana"/>
          <w:sz w:val="22"/>
          <w:szCs w:val="22"/>
        </w:rPr>
        <w:t>DE REFERECIA</w:t>
      </w:r>
    </w:p>
    <w:p w14:paraId="58E4CFCA" w14:textId="77777777" w:rsidR="003F1C7B" w:rsidRPr="00AD7AA1" w:rsidRDefault="003F1C7B" w:rsidP="003F1C7B">
      <w:pPr>
        <w:pStyle w:val="Ttulo1"/>
        <w:spacing w:line="240" w:lineRule="auto"/>
        <w:ind w:left="720"/>
        <w:jc w:val="both"/>
        <w:rPr>
          <w:rFonts w:ascii="Verdana" w:hAnsi="Verdana"/>
          <w:sz w:val="22"/>
          <w:szCs w:val="22"/>
        </w:rPr>
      </w:pPr>
    </w:p>
    <w:p w14:paraId="28A64BB5" w14:textId="77777777" w:rsidR="00A17449" w:rsidRPr="00F7604E" w:rsidRDefault="00A17449" w:rsidP="00A17449">
      <w:pPr>
        <w:pStyle w:val="Ttulo1"/>
        <w:spacing w:line="240" w:lineRule="auto"/>
        <w:jc w:val="both"/>
        <w:rPr>
          <w:rFonts w:ascii="Verdana" w:hAnsi="Verdana"/>
          <w:b w:val="0"/>
          <w:bCs/>
          <w:sz w:val="22"/>
          <w:szCs w:val="22"/>
          <w:lang w:val="es-ES"/>
        </w:rPr>
      </w:pPr>
      <w:r w:rsidRPr="00F7604E">
        <w:rPr>
          <w:rFonts w:ascii="Verdana" w:hAnsi="Verdana"/>
          <w:b w:val="0"/>
          <w:bCs/>
          <w:sz w:val="22"/>
          <w:szCs w:val="22"/>
          <w:lang w:val="es-ES"/>
        </w:rPr>
        <w:t>REM-PR-001 Procedimiento Reorganización Empresarial</w:t>
      </w:r>
    </w:p>
    <w:p w14:paraId="0EB3318E" w14:textId="77777777" w:rsidR="00A17449" w:rsidRDefault="00A17449" w:rsidP="00A17449">
      <w:pPr>
        <w:pStyle w:val="Ttulo1"/>
        <w:spacing w:line="240" w:lineRule="auto"/>
        <w:jc w:val="both"/>
        <w:rPr>
          <w:rFonts w:ascii="Verdana" w:hAnsi="Verdana"/>
          <w:b w:val="0"/>
          <w:bCs/>
          <w:sz w:val="22"/>
          <w:szCs w:val="22"/>
          <w:lang w:val="es-ES"/>
        </w:rPr>
      </w:pPr>
      <w:r w:rsidRPr="00F7604E">
        <w:rPr>
          <w:rFonts w:ascii="Verdana" w:hAnsi="Verdana"/>
          <w:b w:val="0"/>
          <w:bCs/>
          <w:sz w:val="22"/>
          <w:szCs w:val="22"/>
          <w:lang w:val="es-ES"/>
        </w:rPr>
        <w:t>REM-PR-00</w:t>
      </w:r>
      <w:r>
        <w:rPr>
          <w:rFonts w:ascii="Verdana" w:hAnsi="Verdana"/>
          <w:b w:val="0"/>
          <w:bCs/>
          <w:sz w:val="22"/>
          <w:szCs w:val="22"/>
          <w:lang w:val="es-ES"/>
        </w:rPr>
        <w:t>3</w:t>
      </w:r>
      <w:r w:rsidRPr="00F7604E">
        <w:rPr>
          <w:rFonts w:ascii="Verdana" w:hAnsi="Verdana"/>
          <w:b w:val="0"/>
          <w:bCs/>
          <w:sz w:val="22"/>
          <w:szCs w:val="22"/>
          <w:lang w:val="es-ES"/>
        </w:rPr>
        <w:t xml:space="preserve"> Procedimiento </w:t>
      </w:r>
      <w:r>
        <w:rPr>
          <w:rFonts w:ascii="Verdana" w:hAnsi="Verdana"/>
          <w:b w:val="0"/>
          <w:bCs/>
          <w:sz w:val="22"/>
          <w:szCs w:val="22"/>
          <w:lang w:val="es-ES"/>
        </w:rPr>
        <w:t>Negociación de Acuerdos de Reorganización</w:t>
      </w:r>
    </w:p>
    <w:p w14:paraId="7C29C4B1" w14:textId="77298899" w:rsidR="00C25582" w:rsidRPr="00A17449" w:rsidRDefault="00A17449" w:rsidP="00902630">
      <w:pPr>
        <w:pStyle w:val="Ttulo1"/>
        <w:spacing w:line="240" w:lineRule="auto"/>
        <w:jc w:val="both"/>
        <w:rPr>
          <w:rFonts w:ascii="Verdana" w:hAnsi="Verdana"/>
          <w:b w:val="0"/>
          <w:bCs/>
          <w:sz w:val="22"/>
          <w:szCs w:val="22"/>
          <w:lang w:val="es-ES"/>
        </w:rPr>
      </w:pPr>
      <w:r w:rsidRPr="00F7604E">
        <w:rPr>
          <w:rFonts w:ascii="Verdana" w:hAnsi="Verdana"/>
          <w:b w:val="0"/>
          <w:bCs/>
          <w:sz w:val="22"/>
          <w:szCs w:val="22"/>
          <w:lang w:val="es-ES"/>
        </w:rPr>
        <w:t>REM-PR-00</w:t>
      </w:r>
      <w:r>
        <w:rPr>
          <w:rFonts w:ascii="Verdana" w:hAnsi="Verdana"/>
          <w:b w:val="0"/>
          <w:bCs/>
          <w:sz w:val="22"/>
          <w:szCs w:val="22"/>
          <w:lang w:val="es-ES"/>
        </w:rPr>
        <w:t>5</w:t>
      </w:r>
      <w:r w:rsidRPr="00F7604E">
        <w:rPr>
          <w:rFonts w:ascii="Verdana" w:hAnsi="Verdana"/>
          <w:b w:val="0"/>
          <w:bCs/>
          <w:sz w:val="22"/>
          <w:szCs w:val="22"/>
          <w:lang w:val="es-ES"/>
        </w:rPr>
        <w:t xml:space="preserve"> Procedimiento </w:t>
      </w:r>
      <w:r>
        <w:rPr>
          <w:rFonts w:ascii="Verdana" w:hAnsi="Verdana"/>
          <w:b w:val="0"/>
          <w:bCs/>
          <w:sz w:val="22"/>
          <w:szCs w:val="22"/>
          <w:lang w:val="es-ES"/>
        </w:rPr>
        <w:t>Validación Judicial Expedita</w:t>
      </w:r>
      <w:r w:rsidR="00BA6571">
        <w:rPr>
          <w:rFonts w:ascii="Verdana" w:hAnsi="Verdana"/>
          <w:b w:val="0"/>
          <w:bCs/>
          <w:color w:val="FF0000"/>
          <w:sz w:val="22"/>
          <w:szCs w:val="22"/>
          <w:lang w:val="es-ES"/>
        </w:rPr>
        <w:t xml:space="preserve"> </w:t>
      </w:r>
    </w:p>
    <w:p w14:paraId="76F7F37E" w14:textId="77777777" w:rsidR="003F1C7B" w:rsidRDefault="003F1C7B" w:rsidP="00F23033">
      <w:pPr>
        <w:jc w:val="both"/>
        <w:rPr>
          <w:rFonts w:ascii="Verdana" w:hAnsi="Verdana" w:cs="Arial"/>
          <w:bCs/>
          <w:color w:val="FF0000"/>
          <w:sz w:val="22"/>
          <w:szCs w:val="22"/>
        </w:rPr>
      </w:pPr>
    </w:p>
    <w:p w14:paraId="3359F137" w14:textId="5ED132A6" w:rsidR="00FF74DC" w:rsidRPr="00FF74DC" w:rsidRDefault="00FF74DC" w:rsidP="00F23033">
      <w:pPr>
        <w:jc w:val="both"/>
        <w:rPr>
          <w:rFonts w:ascii="Verdana" w:hAnsi="Verdana" w:cs="Arial"/>
          <w:b/>
          <w:sz w:val="22"/>
          <w:szCs w:val="22"/>
        </w:rPr>
      </w:pPr>
      <w:r w:rsidRPr="00FF74DC">
        <w:rPr>
          <w:rFonts w:ascii="Verdana" w:hAnsi="Verdana" w:cs="Arial"/>
          <w:b/>
          <w:sz w:val="22"/>
          <w:szCs w:val="22"/>
        </w:rPr>
        <w:t>4.1 NORMATIVIDAD</w:t>
      </w:r>
    </w:p>
    <w:p w14:paraId="51704551" w14:textId="67002536" w:rsidR="00CF3EB7" w:rsidRPr="007D4C94" w:rsidRDefault="00CF3EB7" w:rsidP="007D4C94">
      <w:pPr>
        <w:jc w:val="both"/>
        <w:rPr>
          <w:rFonts w:ascii="Verdana" w:hAnsi="Verdana" w:cs="Arial"/>
          <w:bCs/>
          <w:sz w:val="22"/>
          <w:szCs w:val="22"/>
        </w:rPr>
      </w:pPr>
    </w:p>
    <w:p w14:paraId="602F263A" w14:textId="77777777" w:rsidR="00A17449" w:rsidRPr="005F27B2" w:rsidRDefault="00A17449" w:rsidP="00A17449">
      <w:pPr>
        <w:numPr>
          <w:ilvl w:val="0"/>
          <w:numId w:val="40"/>
        </w:numPr>
        <w:jc w:val="both"/>
        <w:rPr>
          <w:rFonts w:ascii="Verdana" w:hAnsi="Verdana" w:cs="Arial"/>
          <w:b/>
          <w:sz w:val="22"/>
          <w:szCs w:val="22"/>
        </w:rPr>
      </w:pPr>
      <w:r w:rsidRPr="005F27B2">
        <w:rPr>
          <w:rFonts w:ascii="Verdana" w:hAnsi="Verdana" w:cs="Arial"/>
          <w:bCs/>
          <w:sz w:val="22"/>
          <w:szCs w:val="22"/>
        </w:rPr>
        <w:t>Ley 1116 de 2006: “Por la cual se establece el Régimen de Insolvencia Empresarial en la República de Colombia y se dictan otras disposiciones.”</w:t>
      </w:r>
    </w:p>
    <w:p w14:paraId="5F9A233E" w14:textId="77777777" w:rsidR="00A17449" w:rsidRDefault="00A17449" w:rsidP="00A17449">
      <w:pPr>
        <w:pStyle w:val="Prrafodelista"/>
        <w:ind w:left="720"/>
        <w:jc w:val="both"/>
        <w:rPr>
          <w:rFonts w:ascii="Verdana" w:hAnsi="Verdana" w:cs="Arial"/>
          <w:bCs/>
          <w:sz w:val="22"/>
          <w:szCs w:val="22"/>
        </w:rPr>
      </w:pPr>
    </w:p>
    <w:p w14:paraId="7142706F" w14:textId="20726505" w:rsidR="000A7218" w:rsidRPr="000A7218" w:rsidRDefault="000A7218" w:rsidP="000A7218">
      <w:pPr>
        <w:pStyle w:val="Prrafodelista"/>
        <w:numPr>
          <w:ilvl w:val="0"/>
          <w:numId w:val="40"/>
        </w:numPr>
        <w:jc w:val="both"/>
        <w:rPr>
          <w:rFonts w:ascii="Verdana" w:hAnsi="Verdana" w:cs="Arial"/>
          <w:bCs/>
          <w:sz w:val="22"/>
          <w:szCs w:val="22"/>
        </w:rPr>
      </w:pPr>
      <w:r>
        <w:rPr>
          <w:rFonts w:ascii="Verdana" w:hAnsi="Verdana" w:cs="Arial"/>
          <w:bCs/>
          <w:sz w:val="22"/>
          <w:szCs w:val="22"/>
        </w:rPr>
        <w:t>Ley 2437 de 2024: “P</w:t>
      </w:r>
      <w:r w:rsidRPr="000A7218">
        <w:rPr>
          <w:rFonts w:ascii="Verdana" w:hAnsi="Verdana" w:cs="Arial"/>
          <w:bCs/>
          <w:sz w:val="22"/>
          <w:szCs w:val="22"/>
        </w:rPr>
        <w:t>or medio del cual se establece la legislación permanente</w:t>
      </w:r>
      <w:r>
        <w:rPr>
          <w:rFonts w:ascii="Verdana" w:hAnsi="Verdana" w:cs="Arial"/>
          <w:bCs/>
          <w:sz w:val="22"/>
          <w:szCs w:val="22"/>
        </w:rPr>
        <w:t xml:space="preserve"> </w:t>
      </w:r>
      <w:r w:rsidRPr="000A7218">
        <w:rPr>
          <w:rFonts w:ascii="Verdana" w:hAnsi="Verdana" w:cs="Arial"/>
          <w:bCs/>
          <w:sz w:val="22"/>
          <w:szCs w:val="22"/>
        </w:rPr>
        <w:t>de los decretos legislativos 560 y 772 de 2020, decretos</w:t>
      </w:r>
      <w:r>
        <w:rPr>
          <w:rFonts w:ascii="Verdana" w:hAnsi="Verdana" w:cs="Arial"/>
          <w:bCs/>
          <w:sz w:val="22"/>
          <w:szCs w:val="22"/>
        </w:rPr>
        <w:t xml:space="preserve"> </w:t>
      </w:r>
      <w:r w:rsidRPr="000A7218">
        <w:rPr>
          <w:rFonts w:ascii="Verdana" w:hAnsi="Verdana" w:cs="Arial"/>
          <w:bCs/>
          <w:sz w:val="22"/>
          <w:szCs w:val="22"/>
        </w:rPr>
        <w:t>reglamentarios 842 y 1332 de 2020 en materia de insolvencia empresarial y se dictan otras disposiciones</w:t>
      </w:r>
      <w:r>
        <w:rPr>
          <w:rFonts w:ascii="Verdana" w:hAnsi="Verdana" w:cs="Arial"/>
          <w:bCs/>
          <w:sz w:val="22"/>
          <w:szCs w:val="22"/>
        </w:rPr>
        <w:t>”</w:t>
      </w:r>
    </w:p>
    <w:p w14:paraId="6FBFDC3D" w14:textId="77777777" w:rsidR="003B0BF6" w:rsidRPr="00AD7AA1" w:rsidRDefault="003B0BF6" w:rsidP="00F23033">
      <w:pPr>
        <w:jc w:val="both"/>
        <w:rPr>
          <w:rFonts w:ascii="Verdana" w:hAnsi="Verdana"/>
          <w:sz w:val="22"/>
          <w:szCs w:val="22"/>
        </w:rPr>
      </w:pPr>
    </w:p>
    <w:p w14:paraId="33EBEBEE" w14:textId="319A6C33" w:rsidR="003F1C7B" w:rsidRPr="00AD7AA1" w:rsidRDefault="00487936" w:rsidP="00487936">
      <w:pPr>
        <w:pStyle w:val="Ttulo1"/>
        <w:spacing w:line="240" w:lineRule="auto"/>
        <w:jc w:val="both"/>
        <w:rPr>
          <w:rFonts w:ascii="Verdana" w:hAnsi="Verdana"/>
          <w:sz w:val="22"/>
          <w:szCs w:val="22"/>
        </w:rPr>
      </w:pPr>
      <w:r w:rsidRPr="00AD7AA1">
        <w:rPr>
          <w:rFonts w:ascii="Verdana" w:hAnsi="Verdana"/>
          <w:sz w:val="22"/>
          <w:szCs w:val="22"/>
        </w:rPr>
        <w:t xml:space="preserve">5. </w:t>
      </w:r>
      <w:r w:rsidR="00C22399" w:rsidRPr="00AD7AA1">
        <w:rPr>
          <w:rFonts w:ascii="Verdana" w:hAnsi="Verdana"/>
          <w:sz w:val="22"/>
          <w:szCs w:val="22"/>
        </w:rPr>
        <w:t>CONDICIONES GENERALES</w:t>
      </w:r>
    </w:p>
    <w:p w14:paraId="4371BA33" w14:textId="77777777" w:rsidR="00487936" w:rsidRPr="00AD7AA1" w:rsidRDefault="00487936" w:rsidP="00487936">
      <w:pPr>
        <w:pStyle w:val="Ttulo1"/>
        <w:spacing w:line="240" w:lineRule="auto"/>
        <w:jc w:val="both"/>
        <w:rPr>
          <w:rFonts w:ascii="Verdana" w:hAnsi="Verdana"/>
          <w:b w:val="0"/>
          <w:bCs/>
          <w:color w:val="FF0000"/>
          <w:sz w:val="22"/>
          <w:szCs w:val="22"/>
        </w:rPr>
      </w:pPr>
    </w:p>
    <w:p w14:paraId="637BD9BF" w14:textId="04A58F58" w:rsidR="00A17449" w:rsidRPr="00A17449" w:rsidRDefault="00DC75E6" w:rsidP="00A17449">
      <w:pPr>
        <w:jc w:val="both"/>
        <w:rPr>
          <w:rFonts w:ascii="Verdana" w:hAnsi="Verdana"/>
          <w:sz w:val="22"/>
          <w:szCs w:val="22"/>
          <w:lang w:val="es-MX"/>
        </w:rPr>
      </w:pPr>
      <w:r w:rsidRPr="00DC75E6">
        <w:rPr>
          <w:rFonts w:ascii="Verdana" w:hAnsi="Verdana"/>
          <w:sz w:val="22"/>
          <w:szCs w:val="22"/>
          <w:lang w:val="es-MX"/>
        </w:rPr>
        <w:t>De conformidad con el artículo 1</w:t>
      </w:r>
      <w:r w:rsidR="00A17449">
        <w:rPr>
          <w:rFonts w:ascii="Verdana" w:hAnsi="Verdana"/>
          <w:sz w:val="22"/>
          <w:szCs w:val="22"/>
          <w:lang w:val="es-MX"/>
        </w:rPr>
        <w:t>8 de la Ley 2437 de 2024, c</w:t>
      </w:r>
      <w:r w:rsidR="00A17449" w:rsidRPr="00A17449">
        <w:rPr>
          <w:rFonts w:ascii="Verdana" w:hAnsi="Verdana"/>
          <w:sz w:val="22"/>
          <w:szCs w:val="22"/>
          <w:lang w:val="es-MX"/>
        </w:rPr>
        <w:t>on el fin de poder atender los procesos de reorganización y dar una solución rápida a las pequeñas insolvencias, los deudores destinatarios del régimen de insolvencia empresarial contenido en la Ley 1116 de 2006 cuyos activos sean inferiores o iguales a cinco mil salarios mínimos legales mensuales vigentes (5.000 SMMLV), podrán ser admitidos a un proceso de reorganización abreviado.</w:t>
      </w:r>
    </w:p>
    <w:p w14:paraId="215D6F6C" w14:textId="77777777" w:rsidR="00A17449" w:rsidRPr="00A17449" w:rsidRDefault="00A17449" w:rsidP="00A17449">
      <w:pPr>
        <w:jc w:val="both"/>
        <w:rPr>
          <w:rFonts w:ascii="Verdana" w:hAnsi="Verdana"/>
          <w:sz w:val="22"/>
          <w:szCs w:val="22"/>
          <w:lang w:val="es-MX"/>
        </w:rPr>
      </w:pPr>
    </w:p>
    <w:p w14:paraId="2DD6E58F" w14:textId="5D0AE587" w:rsidR="00DC75E6" w:rsidRDefault="00A17449" w:rsidP="00A17449">
      <w:pPr>
        <w:jc w:val="both"/>
        <w:rPr>
          <w:rFonts w:ascii="Verdana" w:hAnsi="Verdana"/>
          <w:sz w:val="22"/>
          <w:szCs w:val="22"/>
          <w:lang w:val="es-MX"/>
        </w:rPr>
      </w:pPr>
      <w:r w:rsidRPr="00A17449">
        <w:rPr>
          <w:rFonts w:ascii="Verdana" w:hAnsi="Verdana"/>
          <w:sz w:val="22"/>
          <w:szCs w:val="22"/>
          <w:lang w:val="es-MX"/>
        </w:rPr>
        <w:t>Para estos efectos, el deudor o los acreedores deben presentar la solicitud de admisión ante el Juez del Concurso, y en los términos que este establezca, cumpliendo con los requisitos establecidos en la Ley 1116 de 2006 y el supuesto de cesación de pagos. Verificada la completitud de la información, el Juez del Concurso admitirá la solicitud y dar</w:t>
      </w:r>
      <w:r>
        <w:rPr>
          <w:rFonts w:ascii="Verdana" w:hAnsi="Verdana"/>
          <w:sz w:val="22"/>
          <w:szCs w:val="22"/>
          <w:lang w:val="es-MX"/>
        </w:rPr>
        <w:t>á</w:t>
      </w:r>
      <w:r w:rsidRPr="00A17449">
        <w:rPr>
          <w:rFonts w:ascii="Verdana" w:hAnsi="Verdana"/>
          <w:sz w:val="22"/>
          <w:szCs w:val="22"/>
          <w:lang w:val="es-MX"/>
        </w:rPr>
        <w:t xml:space="preserve"> inicio al proceso de reorganización abreviado. La información presentada por el deudo</w:t>
      </w:r>
      <w:r>
        <w:rPr>
          <w:rFonts w:ascii="Verdana" w:hAnsi="Verdana"/>
          <w:sz w:val="22"/>
          <w:szCs w:val="22"/>
          <w:lang w:val="es-MX"/>
        </w:rPr>
        <w:t>r</w:t>
      </w:r>
      <w:r w:rsidRPr="00A17449">
        <w:rPr>
          <w:rFonts w:ascii="Verdana" w:hAnsi="Verdana"/>
          <w:sz w:val="22"/>
          <w:szCs w:val="22"/>
          <w:lang w:val="es-MX"/>
        </w:rPr>
        <w:t xml:space="preserve"> quedar</w:t>
      </w:r>
      <w:r>
        <w:rPr>
          <w:rFonts w:ascii="Verdana" w:hAnsi="Verdana"/>
          <w:sz w:val="22"/>
          <w:szCs w:val="22"/>
          <w:lang w:val="es-MX"/>
        </w:rPr>
        <w:t>á</w:t>
      </w:r>
      <w:r w:rsidRPr="00A17449">
        <w:rPr>
          <w:rFonts w:ascii="Verdana" w:hAnsi="Verdana"/>
          <w:sz w:val="22"/>
          <w:szCs w:val="22"/>
          <w:lang w:val="es-MX"/>
        </w:rPr>
        <w:t xml:space="preserve"> a disposición de sus acreedores en el expediente de forma permanente. Las partes tienen la carga de revisar el expediente, asistir a las reuniones audiencias e informarse completa y debidamente sobre el proceso abreviado y sus consecuencias</w:t>
      </w:r>
      <w:r w:rsidR="006E42CD">
        <w:rPr>
          <w:rFonts w:ascii="Verdana" w:hAnsi="Verdana"/>
          <w:sz w:val="22"/>
          <w:szCs w:val="22"/>
          <w:lang w:val="es-MX"/>
        </w:rPr>
        <w:t>.</w:t>
      </w:r>
    </w:p>
    <w:p w14:paraId="54FD276D" w14:textId="77777777" w:rsidR="006E42CD" w:rsidRDefault="006E42CD" w:rsidP="00A17449">
      <w:pPr>
        <w:jc w:val="both"/>
        <w:rPr>
          <w:rFonts w:ascii="Verdana" w:hAnsi="Verdana"/>
          <w:sz w:val="22"/>
          <w:szCs w:val="22"/>
          <w:lang w:val="es-MX"/>
        </w:rPr>
      </w:pPr>
    </w:p>
    <w:p w14:paraId="02DE90C3" w14:textId="72530E7A" w:rsidR="006E42CD" w:rsidRDefault="006E42CD" w:rsidP="00A17449">
      <w:pPr>
        <w:jc w:val="both"/>
        <w:rPr>
          <w:rFonts w:ascii="Verdana" w:hAnsi="Verdana"/>
          <w:sz w:val="22"/>
          <w:szCs w:val="22"/>
        </w:rPr>
      </w:pPr>
      <w:r>
        <w:rPr>
          <w:rFonts w:ascii="Verdana" w:hAnsi="Verdana"/>
          <w:sz w:val="22"/>
          <w:szCs w:val="22"/>
          <w:lang w:val="es-MX"/>
        </w:rPr>
        <w:t xml:space="preserve">En el marco del procedimiento de reorganización empresarial abreviado se designará al promotor, de acuerdo con lo establecido en la Ley 1116 de 2006. Así mismo, se presentará el </w:t>
      </w:r>
      <w:r w:rsidRPr="006E42CD">
        <w:rPr>
          <w:rFonts w:ascii="Verdana" w:hAnsi="Verdana"/>
          <w:sz w:val="22"/>
          <w:szCs w:val="22"/>
        </w:rPr>
        <w:t>proyecto de calificación y graduación de créditos y determinación de derechos de voto</w:t>
      </w:r>
      <w:r>
        <w:rPr>
          <w:rFonts w:ascii="Verdana" w:hAnsi="Verdana"/>
          <w:sz w:val="22"/>
          <w:szCs w:val="22"/>
        </w:rPr>
        <w:t xml:space="preserve">. A diferencia de la reorganización empresarial ordinaria, en la reorganización abreviada se </w:t>
      </w:r>
      <w:r w:rsidRPr="006E42CD">
        <w:rPr>
          <w:rFonts w:ascii="Verdana" w:hAnsi="Verdana"/>
          <w:sz w:val="22"/>
          <w:szCs w:val="22"/>
        </w:rPr>
        <w:t>realizar</w:t>
      </w:r>
      <w:r>
        <w:rPr>
          <w:rFonts w:ascii="Verdana" w:hAnsi="Verdana"/>
          <w:sz w:val="22"/>
          <w:szCs w:val="22"/>
        </w:rPr>
        <w:t>á</w:t>
      </w:r>
      <w:r w:rsidRPr="006E42CD">
        <w:rPr>
          <w:rFonts w:ascii="Verdana" w:hAnsi="Verdana"/>
          <w:sz w:val="22"/>
          <w:szCs w:val="22"/>
        </w:rPr>
        <w:t xml:space="preserve"> </w:t>
      </w:r>
      <w:r>
        <w:rPr>
          <w:rFonts w:ascii="Verdana" w:hAnsi="Verdana"/>
          <w:sz w:val="22"/>
          <w:szCs w:val="22"/>
        </w:rPr>
        <w:t>un</w:t>
      </w:r>
      <w:r w:rsidRPr="006E42CD">
        <w:rPr>
          <w:rFonts w:ascii="Verdana" w:hAnsi="Verdana"/>
          <w:sz w:val="22"/>
          <w:szCs w:val="22"/>
        </w:rPr>
        <w:t>a reunión de conciliación de las objeciones a la calificación y graduación de créditos</w:t>
      </w:r>
      <w:r>
        <w:rPr>
          <w:rFonts w:ascii="Verdana" w:hAnsi="Verdana"/>
          <w:sz w:val="22"/>
          <w:szCs w:val="22"/>
        </w:rPr>
        <w:t xml:space="preserve"> y </w:t>
      </w:r>
      <w:r w:rsidRPr="006E42CD">
        <w:rPr>
          <w:rFonts w:ascii="Verdana" w:hAnsi="Verdana"/>
          <w:sz w:val="22"/>
          <w:szCs w:val="22"/>
        </w:rPr>
        <w:t xml:space="preserve">determinación de los derechos </w:t>
      </w:r>
      <w:r>
        <w:rPr>
          <w:rFonts w:ascii="Verdana" w:hAnsi="Verdana"/>
          <w:sz w:val="22"/>
          <w:szCs w:val="22"/>
        </w:rPr>
        <w:t>d</w:t>
      </w:r>
      <w:r w:rsidRPr="006E42CD">
        <w:rPr>
          <w:rFonts w:ascii="Verdana" w:hAnsi="Verdana"/>
          <w:sz w:val="22"/>
          <w:szCs w:val="22"/>
        </w:rPr>
        <w:t>e v</w:t>
      </w:r>
      <w:r>
        <w:rPr>
          <w:rFonts w:ascii="Verdana" w:hAnsi="Verdana"/>
          <w:sz w:val="22"/>
          <w:szCs w:val="22"/>
        </w:rPr>
        <w:t>o</w:t>
      </w:r>
      <w:r w:rsidRPr="006E42CD">
        <w:rPr>
          <w:rFonts w:ascii="Verdana" w:hAnsi="Verdana"/>
          <w:sz w:val="22"/>
          <w:szCs w:val="22"/>
        </w:rPr>
        <w:t>to</w:t>
      </w:r>
      <w:r>
        <w:rPr>
          <w:rFonts w:ascii="Verdana" w:hAnsi="Verdana"/>
          <w:sz w:val="22"/>
          <w:szCs w:val="22"/>
        </w:rPr>
        <w:t>,</w:t>
      </w:r>
      <w:r w:rsidRPr="006E42CD">
        <w:rPr>
          <w:rFonts w:ascii="Verdana" w:hAnsi="Verdana"/>
          <w:sz w:val="22"/>
          <w:szCs w:val="22"/>
        </w:rPr>
        <w:t xml:space="preserve"> y de presentación del acuerdo de reorganización</w:t>
      </w:r>
      <w:r>
        <w:rPr>
          <w:rFonts w:ascii="Verdana" w:hAnsi="Verdana"/>
          <w:sz w:val="22"/>
          <w:szCs w:val="22"/>
        </w:rPr>
        <w:t>.</w:t>
      </w:r>
    </w:p>
    <w:p w14:paraId="1E196AB1" w14:textId="77777777" w:rsidR="006E42CD" w:rsidRPr="00DC75E6" w:rsidRDefault="006E42CD" w:rsidP="00A17449">
      <w:pPr>
        <w:jc w:val="both"/>
        <w:rPr>
          <w:rFonts w:ascii="Verdana" w:hAnsi="Verdana"/>
          <w:sz w:val="22"/>
          <w:szCs w:val="22"/>
          <w:lang w:val="es-MX"/>
        </w:rPr>
      </w:pPr>
    </w:p>
    <w:p w14:paraId="206F091A" w14:textId="77777777" w:rsidR="000A7218" w:rsidRDefault="000A7218" w:rsidP="00D60537">
      <w:pPr>
        <w:rPr>
          <w:sz w:val="22"/>
          <w:szCs w:val="22"/>
          <w:lang w:val="es-MX"/>
        </w:rPr>
      </w:pPr>
    </w:p>
    <w:p w14:paraId="4E008FC4" w14:textId="68A3B678" w:rsidR="008409B1" w:rsidRDefault="007334D9" w:rsidP="007334D9">
      <w:pPr>
        <w:pStyle w:val="Ttulo1"/>
        <w:spacing w:line="240" w:lineRule="auto"/>
        <w:jc w:val="both"/>
        <w:rPr>
          <w:rFonts w:ascii="Verdana" w:hAnsi="Verdana"/>
          <w:sz w:val="22"/>
          <w:szCs w:val="22"/>
        </w:rPr>
      </w:pPr>
      <w:r w:rsidRPr="00AD7AA1">
        <w:rPr>
          <w:rFonts w:ascii="Verdana" w:hAnsi="Verdana"/>
          <w:sz w:val="22"/>
          <w:szCs w:val="22"/>
        </w:rPr>
        <w:lastRenderedPageBreak/>
        <w:t xml:space="preserve">6. </w:t>
      </w:r>
      <w:r w:rsidR="003F1C7B" w:rsidRPr="00AD7AA1">
        <w:rPr>
          <w:rFonts w:ascii="Verdana" w:hAnsi="Verdana"/>
          <w:sz w:val="22"/>
          <w:szCs w:val="22"/>
        </w:rPr>
        <w:t>PROCEDIMIENTO</w:t>
      </w:r>
    </w:p>
    <w:p w14:paraId="1FABC03A" w14:textId="77777777" w:rsidR="00970120" w:rsidRDefault="00970120" w:rsidP="00970120">
      <w:pPr>
        <w:rPr>
          <w:lang w:val="es-MX"/>
        </w:rPr>
      </w:pPr>
    </w:p>
    <w:p w14:paraId="09884E67" w14:textId="0E6D976E" w:rsidR="00970120" w:rsidRDefault="00970120" w:rsidP="00DB2E98">
      <w:pPr>
        <w:jc w:val="both"/>
        <w:rPr>
          <w:rFonts w:ascii="Verdana" w:hAnsi="Verdana"/>
          <w:b/>
          <w:bCs/>
          <w:sz w:val="22"/>
          <w:szCs w:val="22"/>
          <w:lang w:val="es-MX"/>
        </w:rPr>
      </w:pPr>
      <w:r w:rsidRPr="00970120">
        <w:rPr>
          <w:rFonts w:ascii="Verdana" w:hAnsi="Verdana"/>
          <w:b/>
          <w:bCs/>
          <w:sz w:val="22"/>
          <w:szCs w:val="22"/>
          <w:lang w:val="es-MX"/>
        </w:rPr>
        <w:t>6.1 ADMISIÓN</w:t>
      </w:r>
    </w:p>
    <w:p w14:paraId="15A6DC12" w14:textId="77777777" w:rsidR="00FF0DA6" w:rsidRDefault="00FF0DA6" w:rsidP="00DB2E98">
      <w:pPr>
        <w:jc w:val="both"/>
        <w:rPr>
          <w:rFonts w:ascii="Verdana" w:hAnsi="Verdana"/>
          <w:b/>
          <w:bCs/>
          <w:sz w:val="22"/>
          <w:szCs w:val="22"/>
          <w:lang w:val="es-MX"/>
        </w:rPr>
      </w:pPr>
    </w:p>
    <w:tbl>
      <w:tblPr>
        <w:tblStyle w:val="Tablaconcuadrcula"/>
        <w:tblW w:w="0" w:type="auto"/>
        <w:tblLayout w:type="fixed"/>
        <w:tblLook w:val="04A0" w:firstRow="1" w:lastRow="0" w:firstColumn="1" w:lastColumn="0" w:noHBand="0" w:noVBand="1"/>
      </w:tblPr>
      <w:tblGrid>
        <w:gridCol w:w="633"/>
        <w:gridCol w:w="3898"/>
        <w:gridCol w:w="2127"/>
        <w:gridCol w:w="1134"/>
        <w:gridCol w:w="1837"/>
      </w:tblGrid>
      <w:tr w:rsidR="00FF0DA6" w:rsidRPr="00AD7AA1" w14:paraId="58B953E7" w14:textId="77777777" w:rsidTr="007667E0">
        <w:trPr>
          <w:trHeight w:val="609"/>
          <w:tblHeader/>
        </w:trPr>
        <w:tc>
          <w:tcPr>
            <w:tcW w:w="633" w:type="dxa"/>
            <w:shd w:val="clear" w:color="auto" w:fill="F2DCDB"/>
            <w:vAlign w:val="center"/>
          </w:tcPr>
          <w:p w14:paraId="28ACE3B2" w14:textId="77777777" w:rsidR="00FF0DA6" w:rsidRPr="00AD7AA1" w:rsidRDefault="00FF0DA6" w:rsidP="007667E0">
            <w:pPr>
              <w:jc w:val="center"/>
              <w:rPr>
                <w:rFonts w:ascii="Verdana" w:hAnsi="Verdana" w:cs="Arial"/>
                <w:b/>
                <w:bCs/>
                <w:sz w:val="22"/>
                <w:szCs w:val="22"/>
              </w:rPr>
            </w:pPr>
            <w:bookmarkStart w:id="3" w:name="_Hlk208999210"/>
            <w:r w:rsidRPr="00AD7AA1">
              <w:rPr>
                <w:rFonts w:ascii="Verdana" w:hAnsi="Verdana" w:cs="Arial"/>
                <w:b/>
                <w:bCs/>
                <w:sz w:val="22"/>
                <w:szCs w:val="22"/>
              </w:rPr>
              <w:t>No.</w:t>
            </w:r>
          </w:p>
        </w:tc>
        <w:tc>
          <w:tcPr>
            <w:tcW w:w="3898" w:type="dxa"/>
            <w:shd w:val="clear" w:color="auto" w:fill="F2DCDB"/>
            <w:vAlign w:val="center"/>
          </w:tcPr>
          <w:p w14:paraId="0BA7EF45" w14:textId="77777777" w:rsidR="00FF0DA6" w:rsidRPr="00AD7AA1" w:rsidRDefault="00FF0DA6" w:rsidP="007667E0">
            <w:pPr>
              <w:jc w:val="center"/>
              <w:rPr>
                <w:rFonts w:ascii="Verdana" w:hAnsi="Verdana" w:cs="Arial"/>
                <w:b/>
                <w:bCs/>
                <w:sz w:val="22"/>
                <w:szCs w:val="22"/>
              </w:rPr>
            </w:pPr>
            <w:r w:rsidRPr="00AD7AA1">
              <w:rPr>
                <w:rFonts w:ascii="Verdana" w:hAnsi="Verdana" w:cs="Arial"/>
                <w:b/>
                <w:bCs/>
                <w:sz w:val="22"/>
                <w:szCs w:val="22"/>
              </w:rPr>
              <w:t>Actividad</w:t>
            </w:r>
          </w:p>
        </w:tc>
        <w:tc>
          <w:tcPr>
            <w:tcW w:w="2127" w:type="dxa"/>
            <w:shd w:val="clear" w:color="auto" w:fill="F2DCDB"/>
            <w:vAlign w:val="center"/>
          </w:tcPr>
          <w:p w14:paraId="4492E81B" w14:textId="77777777" w:rsidR="00FF0DA6" w:rsidRPr="00AD7AA1" w:rsidRDefault="00FF0DA6" w:rsidP="007667E0">
            <w:pPr>
              <w:jc w:val="center"/>
              <w:rPr>
                <w:rFonts w:ascii="Verdana" w:hAnsi="Verdana" w:cs="Arial"/>
                <w:b/>
                <w:bCs/>
                <w:sz w:val="22"/>
                <w:szCs w:val="22"/>
              </w:rPr>
            </w:pPr>
            <w:r w:rsidRPr="00AD7AA1">
              <w:rPr>
                <w:rFonts w:ascii="Verdana" w:hAnsi="Verdana" w:cs="Arial"/>
                <w:b/>
                <w:bCs/>
                <w:sz w:val="22"/>
                <w:szCs w:val="22"/>
              </w:rPr>
              <w:t>Responsable</w:t>
            </w:r>
          </w:p>
        </w:tc>
        <w:tc>
          <w:tcPr>
            <w:tcW w:w="1134" w:type="dxa"/>
            <w:shd w:val="clear" w:color="auto" w:fill="F2DCDB"/>
            <w:vAlign w:val="center"/>
          </w:tcPr>
          <w:p w14:paraId="52DF3CEF" w14:textId="77777777" w:rsidR="00FF0DA6" w:rsidRPr="00AD7AA1" w:rsidRDefault="00FF0DA6" w:rsidP="007667E0">
            <w:pPr>
              <w:jc w:val="center"/>
              <w:rPr>
                <w:rFonts w:ascii="Verdana" w:hAnsi="Verdana" w:cs="Arial"/>
                <w:b/>
                <w:bCs/>
                <w:sz w:val="22"/>
                <w:szCs w:val="22"/>
              </w:rPr>
            </w:pPr>
            <w:r w:rsidRPr="00AD7AA1">
              <w:rPr>
                <w:rFonts w:ascii="Verdana" w:hAnsi="Verdana" w:cs="Arial"/>
                <w:b/>
                <w:bCs/>
                <w:sz w:val="22"/>
                <w:szCs w:val="22"/>
              </w:rPr>
              <w:t>Punto de Control</w:t>
            </w:r>
          </w:p>
        </w:tc>
        <w:tc>
          <w:tcPr>
            <w:tcW w:w="1837" w:type="dxa"/>
            <w:shd w:val="clear" w:color="auto" w:fill="F2DCDB"/>
            <w:vAlign w:val="center"/>
          </w:tcPr>
          <w:p w14:paraId="59317098" w14:textId="77777777" w:rsidR="00FF0DA6" w:rsidRPr="00AD7AA1" w:rsidRDefault="00FF0DA6" w:rsidP="007667E0">
            <w:pPr>
              <w:jc w:val="center"/>
              <w:rPr>
                <w:rFonts w:ascii="Verdana" w:hAnsi="Verdana" w:cs="Arial"/>
                <w:b/>
                <w:bCs/>
                <w:sz w:val="22"/>
                <w:szCs w:val="22"/>
              </w:rPr>
            </w:pPr>
            <w:r w:rsidRPr="00AD7AA1">
              <w:rPr>
                <w:rFonts w:ascii="Verdana" w:hAnsi="Verdana" w:cs="Arial"/>
                <w:b/>
                <w:bCs/>
                <w:sz w:val="22"/>
                <w:szCs w:val="22"/>
              </w:rPr>
              <w:t>Registro</w:t>
            </w:r>
          </w:p>
        </w:tc>
      </w:tr>
      <w:tr w:rsidR="00FF0DA6" w:rsidRPr="00AD7AA1" w14:paraId="1A347C5D" w14:textId="77777777" w:rsidTr="007667E0">
        <w:trPr>
          <w:trHeight w:val="304"/>
        </w:trPr>
        <w:tc>
          <w:tcPr>
            <w:tcW w:w="633" w:type="dxa"/>
            <w:vAlign w:val="center"/>
          </w:tcPr>
          <w:p w14:paraId="58D4B935" w14:textId="77777777" w:rsidR="00FF0DA6" w:rsidRPr="00970120" w:rsidRDefault="00FF0DA6" w:rsidP="007667E0">
            <w:pPr>
              <w:jc w:val="center"/>
              <w:rPr>
                <w:rFonts w:ascii="Verdana" w:hAnsi="Verdana" w:cs="Arial"/>
                <w:sz w:val="22"/>
                <w:szCs w:val="22"/>
              </w:rPr>
            </w:pPr>
            <w:r>
              <w:rPr>
                <w:rFonts w:ascii="Verdana" w:hAnsi="Verdana" w:cs="Arial"/>
                <w:sz w:val="22"/>
                <w:szCs w:val="22"/>
              </w:rPr>
              <w:t>1</w:t>
            </w:r>
          </w:p>
        </w:tc>
        <w:tc>
          <w:tcPr>
            <w:tcW w:w="3898" w:type="dxa"/>
            <w:vAlign w:val="center"/>
          </w:tcPr>
          <w:p w14:paraId="73D1FC7E" w14:textId="77777777" w:rsidR="00FF0DA6" w:rsidRPr="00970120" w:rsidRDefault="00FF0DA6" w:rsidP="007667E0">
            <w:pPr>
              <w:rPr>
                <w:rFonts w:ascii="Verdana" w:hAnsi="Verdana" w:cs="Arial"/>
                <w:sz w:val="22"/>
                <w:szCs w:val="22"/>
              </w:rPr>
            </w:pPr>
            <w:r>
              <w:rPr>
                <w:rFonts w:ascii="Verdana" w:hAnsi="Verdana" w:cs="Arial"/>
                <w:sz w:val="22"/>
                <w:szCs w:val="22"/>
              </w:rPr>
              <w:t>Inicio</w:t>
            </w:r>
          </w:p>
        </w:tc>
        <w:tc>
          <w:tcPr>
            <w:tcW w:w="2127" w:type="dxa"/>
            <w:vAlign w:val="center"/>
          </w:tcPr>
          <w:p w14:paraId="59D07099" w14:textId="77777777" w:rsidR="00FF0DA6" w:rsidRPr="00970120" w:rsidRDefault="00FF0DA6" w:rsidP="007667E0">
            <w:pPr>
              <w:jc w:val="center"/>
              <w:rPr>
                <w:rFonts w:ascii="Verdana" w:hAnsi="Verdana" w:cs="Arial"/>
                <w:sz w:val="22"/>
                <w:szCs w:val="22"/>
              </w:rPr>
            </w:pPr>
          </w:p>
        </w:tc>
        <w:tc>
          <w:tcPr>
            <w:tcW w:w="1134" w:type="dxa"/>
            <w:vAlign w:val="center"/>
          </w:tcPr>
          <w:p w14:paraId="2C7C7D1E" w14:textId="77777777" w:rsidR="00FF0DA6" w:rsidRPr="00970120" w:rsidRDefault="00FF0DA6" w:rsidP="007667E0">
            <w:pPr>
              <w:jc w:val="center"/>
              <w:rPr>
                <w:rFonts w:ascii="Verdana" w:hAnsi="Verdana" w:cs="Arial"/>
                <w:sz w:val="22"/>
                <w:szCs w:val="22"/>
              </w:rPr>
            </w:pPr>
          </w:p>
        </w:tc>
        <w:tc>
          <w:tcPr>
            <w:tcW w:w="1837" w:type="dxa"/>
            <w:vAlign w:val="center"/>
          </w:tcPr>
          <w:p w14:paraId="3ED8B214" w14:textId="77777777" w:rsidR="00FF0DA6" w:rsidRPr="00970120" w:rsidRDefault="00FF0DA6" w:rsidP="007667E0">
            <w:pPr>
              <w:jc w:val="center"/>
              <w:rPr>
                <w:rFonts w:ascii="Verdana" w:hAnsi="Verdana" w:cs="Arial"/>
                <w:sz w:val="22"/>
                <w:szCs w:val="22"/>
              </w:rPr>
            </w:pPr>
          </w:p>
        </w:tc>
      </w:tr>
      <w:tr w:rsidR="00972944" w:rsidRPr="00AD7AA1" w14:paraId="44C80C3A" w14:textId="77777777" w:rsidTr="007667E0">
        <w:trPr>
          <w:trHeight w:val="304"/>
        </w:trPr>
        <w:tc>
          <w:tcPr>
            <w:tcW w:w="633" w:type="dxa"/>
            <w:vAlign w:val="center"/>
          </w:tcPr>
          <w:p w14:paraId="6A93C01E" w14:textId="77777777" w:rsidR="00972944" w:rsidRDefault="00972944" w:rsidP="00972944">
            <w:pPr>
              <w:jc w:val="center"/>
              <w:rPr>
                <w:rFonts w:ascii="Verdana" w:hAnsi="Verdana" w:cs="Arial"/>
                <w:sz w:val="22"/>
                <w:szCs w:val="22"/>
              </w:rPr>
            </w:pPr>
            <w:r>
              <w:rPr>
                <w:rFonts w:ascii="Verdana" w:hAnsi="Verdana" w:cs="Arial"/>
                <w:sz w:val="22"/>
                <w:szCs w:val="22"/>
              </w:rPr>
              <w:t>2</w:t>
            </w:r>
          </w:p>
        </w:tc>
        <w:tc>
          <w:tcPr>
            <w:tcW w:w="3898" w:type="dxa"/>
            <w:vAlign w:val="center"/>
          </w:tcPr>
          <w:p w14:paraId="3C3F5AF6" w14:textId="77777777" w:rsidR="00972944" w:rsidRPr="005F27B2" w:rsidRDefault="00972944" w:rsidP="00972944">
            <w:pPr>
              <w:jc w:val="both"/>
              <w:rPr>
                <w:rFonts w:ascii="Verdana" w:hAnsi="Verdana" w:cs="Arial"/>
                <w:b/>
                <w:bCs/>
                <w:sz w:val="22"/>
                <w:szCs w:val="22"/>
              </w:rPr>
            </w:pPr>
            <w:r w:rsidRPr="005F27B2">
              <w:rPr>
                <w:rFonts w:ascii="Verdana" w:hAnsi="Verdana" w:cs="Arial"/>
                <w:b/>
                <w:bCs/>
                <w:sz w:val="22"/>
                <w:szCs w:val="22"/>
              </w:rPr>
              <w:t>Recibir</w:t>
            </w:r>
            <w:r>
              <w:rPr>
                <w:rFonts w:ascii="Verdana" w:hAnsi="Verdana" w:cs="Arial"/>
                <w:b/>
                <w:bCs/>
                <w:sz w:val="22"/>
                <w:szCs w:val="22"/>
              </w:rPr>
              <w:t xml:space="preserve"> y repartir</w:t>
            </w:r>
            <w:r w:rsidRPr="005F27B2">
              <w:rPr>
                <w:rFonts w:ascii="Verdana" w:hAnsi="Verdana" w:cs="Arial"/>
                <w:b/>
                <w:bCs/>
                <w:sz w:val="22"/>
                <w:szCs w:val="22"/>
              </w:rPr>
              <w:t xml:space="preserve"> las solicitudes </w:t>
            </w:r>
            <w:r>
              <w:rPr>
                <w:rFonts w:ascii="Verdana" w:hAnsi="Verdana" w:cs="Arial"/>
                <w:b/>
                <w:bCs/>
                <w:sz w:val="22"/>
                <w:szCs w:val="22"/>
              </w:rPr>
              <w:t>de admisión a procesos de reorganización</w:t>
            </w:r>
          </w:p>
          <w:p w14:paraId="65915B31" w14:textId="1214A789" w:rsidR="00972944" w:rsidRDefault="00972944" w:rsidP="00972944">
            <w:pPr>
              <w:jc w:val="both"/>
              <w:rPr>
                <w:rFonts w:ascii="Verdana" w:hAnsi="Verdana" w:cs="Arial"/>
                <w:sz w:val="22"/>
                <w:szCs w:val="22"/>
              </w:rPr>
            </w:pPr>
            <w:r w:rsidRPr="005F27B2">
              <w:rPr>
                <w:rFonts w:ascii="Verdana" w:hAnsi="Verdana" w:cs="Arial"/>
                <w:sz w:val="22"/>
                <w:szCs w:val="22"/>
              </w:rPr>
              <w:t>Las solicitudes de admisión a procesos de reorganización</w:t>
            </w:r>
            <w:r>
              <w:rPr>
                <w:rFonts w:ascii="Verdana" w:hAnsi="Verdana" w:cs="Arial"/>
                <w:sz w:val="22"/>
                <w:szCs w:val="22"/>
              </w:rPr>
              <w:t xml:space="preserve"> abreviada</w:t>
            </w:r>
            <w:r w:rsidRPr="005F27B2">
              <w:rPr>
                <w:rFonts w:ascii="Verdana" w:hAnsi="Verdana" w:cs="Arial"/>
                <w:sz w:val="22"/>
                <w:szCs w:val="22"/>
              </w:rPr>
              <w:t xml:space="preserve"> son radicadas a través de</w:t>
            </w:r>
            <w:r>
              <w:rPr>
                <w:rFonts w:ascii="Verdana" w:hAnsi="Verdana" w:cs="Arial"/>
                <w:sz w:val="22"/>
                <w:szCs w:val="22"/>
              </w:rPr>
              <w:t xml:space="preserve"> los medios dispuestos por la entidad.</w:t>
            </w:r>
            <w:r w:rsidRPr="005F27B2">
              <w:rPr>
                <w:rFonts w:ascii="Verdana" w:hAnsi="Verdana" w:cs="Arial"/>
                <w:sz w:val="22"/>
                <w:szCs w:val="22"/>
              </w:rPr>
              <w:t xml:space="preserve"> </w:t>
            </w:r>
          </w:p>
          <w:p w14:paraId="1464601D" w14:textId="77777777" w:rsidR="00972944" w:rsidRDefault="00972944" w:rsidP="00972944">
            <w:pPr>
              <w:jc w:val="both"/>
              <w:rPr>
                <w:rFonts w:ascii="Verdana" w:hAnsi="Verdana" w:cs="Arial"/>
                <w:sz w:val="22"/>
                <w:szCs w:val="22"/>
              </w:rPr>
            </w:pPr>
          </w:p>
          <w:p w14:paraId="69C7EEEE" w14:textId="77777777" w:rsidR="00972944" w:rsidRPr="005F27B2" w:rsidRDefault="00972944" w:rsidP="00972944">
            <w:pPr>
              <w:jc w:val="both"/>
              <w:rPr>
                <w:rFonts w:ascii="Verdana" w:hAnsi="Verdana" w:cs="Arial"/>
                <w:sz w:val="22"/>
                <w:szCs w:val="22"/>
              </w:rPr>
            </w:pPr>
            <w:r w:rsidRPr="005F27B2">
              <w:rPr>
                <w:rFonts w:ascii="Verdana" w:hAnsi="Verdana" w:cs="Arial"/>
                <w:sz w:val="22"/>
                <w:szCs w:val="22"/>
              </w:rPr>
              <w:t xml:space="preserve">Recibidas las solicitudes a través de los medios dispuestos, se realiza el reparto a los ponentes del Grupo de Admisiones para su estudio. </w:t>
            </w:r>
          </w:p>
          <w:p w14:paraId="519A675C" w14:textId="77777777" w:rsidR="00972944" w:rsidRPr="006F1084" w:rsidRDefault="00972944" w:rsidP="00972944">
            <w:pPr>
              <w:jc w:val="both"/>
              <w:rPr>
                <w:rFonts w:ascii="Verdana" w:hAnsi="Verdana" w:cs="Arial"/>
                <w:sz w:val="22"/>
                <w:szCs w:val="22"/>
              </w:rPr>
            </w:pPr>
          </w:p>
        </w:tc>
        <w:tc>
          <w:tcPr>
            <w:tcW w:w="2127" w:type="dxa"/>
            <w:vAlign w:val="center"/>
          </w:tcPr>
          <w:p w14:paraId="36261BB8" w14:textId="77777777" w:rsidR="00972944" w:rsidRPr="005F27B2" w:rsidRDefault="00972944" w:rsidP="00972944">
            <w:pPr>
              <w:jc w:val="center"/>
              <w:rPr>
                <w:rFonts w:ascii="Verdana" w:hAnsi="Verdana" w:cs="Arial"/>
                <w:sz w:val="22"/>
                <w:szCs w:val="22"/>
              </w:rPr>
            </w:pPr>
            <w:r w:rsidRPr="005F27B2">
              <w:rPr>
                <w:rFonts w:ascii="Verdana" w:hAnsi="Verdana" w:cs="Arial"/>
                <w:sz w:val="22"/>
                <w:szCs w:val="22"/>
              </w:rPr>
              <w:t>Grupo de Gestión Documental</w:t>
            </w:r>
            <w:r>
              <w:rPr>
                <w:rFonts w:ascii="Verdana" w:hAnsi="Verdana" w:cs="Arial"/>
                <w:sz w:val="22"/>
                <w:szCs w:val="22"/>
              </w:rPr>
              <w:t xml:space="preserve">, </w:t>
            </w:r>
            <w:r w:rsidRPr="005F27B2">
              <w:rPr>
                <w:rFonts w:ascii="Verdana" w:hAnsi="Verdana" w:cs="Arial"/>
                <w:sz w:val="22"/>
                <w:szCs w:val="22"/>
              </w:rPr>
              <w:t>Coordinador del Grupo de Admisiones</w:t>
            </w:r>
          </w:p>
          <w:p w14:paraId="6F0233F6" w14:textId="77777777" w:rsidR="00972944" w:rsidRPr="005F27B2" w:rsidRDefault="00972944" w:rsidP="00972944">
            <w:pPr>
              <w:jc w:val="center"/>
              <w:rPr>
                <w:rFonts w:ascii="Verdana" w:hAnsi="Verdana" w:cs="Arial"/>
                <w:sz w:val="22"/>
                <w:szCs w:val="22"/>
              </w:rPr>
            </w:pPr>
          </w:p>
          <w:p w14:paraId="244C55D4" w14:textId="42906791" w:rsidR="00972944" w:rsidRPr="00970120" w:rsidRDefault="00972944" w:rsidP="00972944">
            <w:pPr>
              <w:jc w:val="center"/>
              <w:rPr>
                <w:rFonts w:ascii="Verdana" w:hAnsi="Verdana" w:cs="Arial"/>
                <w:sz w:val="22"/>
                <w:szCs w:val="22"/>
              </w:rPr>
            </w:pPr>
            <w:r w:rsidRPr="005F27B2">
              <w:rPr>
                <w:rFonts w:ascii="Verdana" w:hAnsi="Verdana" w:cs="Arial"/>
                <w:sz w:val="22"/>
                <w:szCs w:val="22"/>
              </w:rPr>
              <w:t>Intendencias regionales</w:t>
            </w:r>
          </w:p>
        </w:tc>
        <w:tc>
          <w:tcPr>
            <w:tcW w:w="1134" w:type="dxa"/>
            <w:vAlign w:val="center"/>
          </w:tcPr>
          <w:p w14:paraId="1F85796A" w14:textId="38E2019D" w:rsidR="00972944" w:rsidRDefault="00972944" w:rsidP="00972944">
            <w:pPr>
              <w:jc w:val="center"/>
              <w:rPr>
                <w:rFonts w:ascii="Verdana" w:hAnsi="Verdana" w:cs="Arial"/>
                <w:sz w:val="22"/>
                <w:szCs w:val="22"/>
              </w:rPr>
            </w:pPr>
            <w:r w:rsidRPr="005F27B2">
              <w:rPr>
                <w:rFonts w:ascii="Verdana" w:hAnsi="Verdana" w:cs="Arial"/>
                <w:sz w:val="22"/>
                <w:szCs w:val="22"/>
              </w:rPr>
              <w:t>No Aplica</w:t>
            </w:r>
          </w:p>
        </w:tc>
        <w:tc>
          <w:tcPr>
            <w:tcW w:w="1837" w:type="dxa"/>
            <w:vAlign w:val="center"/>
          </w:tcPr>
          <w:p w14:paraId="5E8F915A" w14:textId="680525C4" w:rsidR="00972944" w:rsidRPr="00970120" w:rsidRDefault="00972944" w:rsidP="00972944">
            <w:pPr>
              <w:jc w:val="center"/>
              <w:rPr>
                <w:rFonts w:ascii="Verdana" w:hAnsi="Verdana" w:cs="Arial"/>
                <w:sz w:val="22"/>
                <w:szCs w:val="22"/>
                <w:highlight w:val="yellow"/>
              </w:rPr>
            </w:pPr>
            <w:r w:rsidRPr="005F27B2">
              <w:rPr>
                <w:rFonts w:ascii="Verdana" w:hAnsi="Verdana" w:cs="Arial"/>
                <w:sz w:val="22"/>
                <w:szCs w:val="22"/>
              </w:rPr>
              <w:t>Radicación de las solicitudes de reorganización empresarial</w:t>
            </w:r>
            <w:r>
              <w:rPr>
                <w:rFonts w:ascii="Verdana" w:hAnsi="Verdana" w:cs="Arial"/>
                <w:sz w:val="22"/>
                <w:szCs w:val="22"/>
              </w:rPr>
              <w:t xml:space="preserve"> abreviada</w:t>
            </w:r>
          </w:p>
        </w:tc>
      </w:tr>
      <w:tr w:rsidR="00972944" w:rsidRPr="00AD7AA1" w14:paraId="04C5E7B6" w14:textId="77777777" w:rsidTr="007667E0">
        <w:trPr>
          <w:trHeight w:val="304"/>
        </w:trPr>
        <w:tc>
          <w:tcPr>
            <w:tcW w:w="633" w:type="dxa"/>
            <w:vAlign w:val="center"/>
          </w:tcPr>
          <w:p w14:paraId="4989E170" w14:textId="77777777" w:rsidR="00972944" w:rsidRPr="00970120" w:rsidRDefault="00972944" w:rsidP="00972944">
            <w:pPr>
              <w:jc w:val="center"/>
              <w:rPr>
                <w:rFonts w:ascii="Verdana" w:hAnsi="Verdana" w:cs="Arial"/>
                <w:sz w:val="22"/>
                <w:szCs w:val="22"/>
              </w:rPr>
            </w:pPr>
            <w:r>
              <w:rPr>
                <w:rFonts w:ascii="Verdana" w:hAnsi="Verdana" w:cs="Arial"/>
                <w:sz w:val="22"/>
                <w:szCs w:val="22"/>
              </w:rPr>
              <w:t>3</w:t>
            </w:r>
          </w:p>
        </w:tc>
        <w:tc>
          <w:tcPr>
            <w:tcW w:w="3898" w:type="dxa"/>
            <w:vAlign w:val="center"/>
          </w:tcPr>
          <w:p w14:paraId="0A68F132" w14:textId="16AAF819" w:rsidR="00972944" w:rsidRPr="005F27B2" w:rsidRDefault="00972944" w:rsidP="00972944">
            <w:pPr>
              <w:jc w:val="both"/>
              <w:rPr>
                <w:rFonts w:ascii="Verdana" w:hAnsi="Verdana" w:cs="Arial"/>
                <w:b/>
                <w:bCs/>
                <w:sz w:val="22"/>
                <w:szCs w:val="22"/>
              </w:rPr>
            </w:pPr>
            <w:r w:rsidRPr="005F27B2">
              <w:rPr>
                <w:rFonts w:ascii="Verdana" w:hAnsi="Verdana" w:cs="Arial"/>
                <w:b/>
                <w:bCs/>
                <w:sz w:val="22"/>
                <w:szCs w:val="22"/>
              </w:rPr>
              <w:t>Estudiar la solicitud de admisión al proceso de reorganización empresarial</w:t>
            </w:r>
            <w:r>
              <w:rPr>
                <w:rFonts w:ascii="Verdana" w:hAnsi="Verdana" w:cs="Arial"/>
                <w:b/>
                <w:bCs/>
                <w:sz w:val="22"/>
                <w:szCs w:val="22"/>
              </w:rPr>
              <w:t xml:space="preserve"> abreviada</w:t>
            </w:r>
          </w:p>
          <w:p w14:paraId="76F9C05C" w14:textId="77777777" w:rsidR="00972944" w:rsidRDefault="00972944" w:rsidP="00972944">
            <w:pPr>
              <w:jc w:val="both"/>
              <w:rPr>
                <w:rFonts w:ascii="Verdana" w:hAnsi="Verdana" w:cs="Arial"/>
                <w:sz w:val="22"/>
                <w:szCs w:val="22"/>
              </w:rPr>
            </w:pPr>
            <w:r w:rsidRPr="005F27B2">
              <w:rPr>
                <w:rFonts w:ascii="Verdana" w:hAnsi="Verdana" w:cs="Arial"/>
                <w:sz w:val="22"/>
                <w:szCs w:val="22"/>
              </w:rPr>
              <w:t>En primera medida, el estudio de la admisión consiste en la evaluación de la jurisdicción y la competencia de la Superintendencia de Sociedades para atender el proceso de reorganización.</w:t>
            </w:r>
          </w:p>
          <w:p w14:paraId="66558846" w14:textId="77777777" w:rsidR="00972944" w:rsidRPr="005F27B2" w:rsidRDefault="00972944" w:rsidP="00972944">
            <w:pPr>
              <w:jc w:val="both"/>
              <w:rPr>
                <w:rFonts w:ascii="Verdana" w:hAnsi="Verdana" w:cs="Arial"/>
                <w:sz w:val="22"/>
                <w:szCs w:val="22"/>
              </w:rPr>
            </w:pPr>
          </w:p>
          <w:p w14:paraId="7A59D332" w14:textId="77777777" w:rsidR="00972944" w:rsidRPr="005F27B2" w:rsidRDefault="00972944" w:rsidP="00972944">
            <w:pPr>
              <w:jc w:val="both"/>
              <w:rPr>
                <w:rFonts w:ascii="Verdana" w:hAnsi="Verdana" w:cs="Arial"/>
                <w:sz w:val="22"/>
                <w:szCs w:val="22"/>
              </w:rPr>
            </w:pPr>
            <w:r w:rsidRPr="005F27B2">
              <w:rPr>
                <w:rFonts w:ascii="Verdana" w:hAnsi="Verdana" w:cs="Arial"/>
                <w:sz w:val="22"/>
                <w:szCs w:val="22"/>
              </w:rPr>
              <w:t>Habiendo corroborado la jurisdicción y competencia de la entidad, se procede a estudiar los supuestos, presupuestos y requisitos de la solicitud en los términos de la Ley 1116 de 2006 y las demás normas concordantes.</w:t>
            </w:r>
          </w:p>
          <w:p w14:paraId="4B26B1F7" w14:textId="7B697FD9" w:rsidR="00972944" w:rsidRPr="005F27B2" w:rsidRDefault="00972944" w:rsidP="00972944">
            <w:pPr>
              <w:jc w:val="both"/>
              <w:rPr>
                <w:rFonts w:ascii="Verdana" w:hAnsi="Verdana" w:cs="Arial"/>
                <w:sz w:val="22"/>
                <w:szCs w:val="22"/>
              </w:rPr>
            </w:pPr>
            <w:r w:rsidRPr="005F27B2">
              <w:rPr>
                <w:rFonts w:ascii="Verdana" w:hAnsi="Verdana" w:cs="Arial"/>
                <w:sz w:val="22"/>
                <w:szCs w:val="22"/>
              </w:rPr>
              <w:lastRenderedPageBreak/>
              <w:t xml:space="preserve">¿La solicitud de admisión al proceso de reorganización </w:t>
            </w:r>
            <w:r>
              <w:rPr>
                <w:rFonts w:ascii="Verdana" w:hAnsi="Verdana" w:cs="Arial"/>
                <w:sz w:val="22"/>
                <w:szCs w:val="22"/>
              </w:rPr>
              <w:t xml:space="preserve">abreviada </w:t>
            </w:r>
            <w:r w:rsidRPr="005F27B2">
              <w:rPr>
                <w:rFonts w:ascii="Verdana" w:hAnsi="Verdana" w:cs="Arial"/>
                <w:sz w:val="22"/>
                <w:szCs w:val="22"/>
              </w:rPr>
              <w:t>se encuentra completa?</w:t>
            </w:r>
          </w:p>
          <w:p w14:paraId="268635E3" w14:textId="77777777" w:rsidR="00972944" w:rsidRPr="005F27B2" w:rsidRDefault="00972944" w:rsidP="00972944">
            <w:pPr>
              <w:jc w:val="both"/>
              <w:rPr>
                <w:rFonts w:ascii="Verdana" w:hAnsi="Verdana" w:cs="Arial"/>
                <w:sz w:val="22"/>
                <w:szCs w:val="22"/>
              </w:rPr>
            </w:pPr>
          </w:p>
          <w:p w14:paraId="05CE0130" w14:textId="77777777" w:rsidR="00972944" w:rsidRPr="005F27B2" w:rsidRDefault="00972944" w:rsidP="00972944">
            <w:pPr>
              <w:jc w:val="both"/>
              <w:rPr>
                <w:rFonts w:ascii="Verdana" w:hAnsi="Verdana" w:cs="Arial"/>
                <w:sz w:val="22"/>
                <w:szCs w:val="22"/>
              </w:rPr>
            </w:pPr>
            <w:r w:rsidRPr="005F27B2">
              <w:rPr>
                <w:rFonts w:ascii="Verdana" w:hAnsi="Verdana" w:cs="Arial"/>
                <w:sz w:val="22"/>
                <w:szCs w:val="22"/>
              </w:rPr>
              <w:t xml:space="preserve">SI: Continuar a la actividad </w:t>
            </w:r>
            <w:r>
              <w:rPr>
                <w:rFonts w:ascii="Verdana" w:hAnsi="Verdana" w:cs="Arial"/>
                <w:sz w:val="22"/>
                <w:szCs w:val="22"/>
              </w:rPr>
              <w:t>5</w:t>
            </w:r>
          </w:p>
          <w:p w14:paraId="4B1038FF" w14:textId="77777777" w:rsidR="00972944" w:rsidRPr="005F27B2" w:rsidRDefault="00972944" w:rsidP="00972944">
            <w:pPr>
              <w:jc w:val="both"/>
              <w:rPr>
                <w:rFonts w:ascii="Verdana" w:hAnsi="Verdana" w:cs="Arial"/>
                <w:sz w:val="22"/>
                <w:szCs w:val="22"/>
              </w:rPr>
            </w:pPr>
            <w:r w:rsidRPr="005F27B2">
              <w:rPr>
                <w:rFonts w:ascii="Verdana" w:hAnsi="Verdana" w:cs="Arial"/>
                <w:sz w:val="22"/>
                <w:szCs w:val="22"/>
              </w:rPr>
              <w:t xml:space="preserve">NO: Continuar a la actividad </w:t>
            </w:r>
            <w:r>
              <w:rPr>
                <w:rFonts w:ascii="Verdana" w:hAnsi="Verdana" w:cs="Arial"/>
                <w:sz w:val="22"/>
                <w:szCs w:val="22"/>
              </w:rPr>
              <w:t>4</w:t>
            </w:r>
          </w:p>
          <w:p w14:paraId="2DCEC28B" w14:textId="77777777" w:rsidR="00972944" w:rsidRPr="00970120" w:rsidRDefault="00972944" w:rsidP="00972944">
            <w:pPr>
              <w:jc w:val="both"/>
              <w:rPr>
                <w:rFonts w:ascii="Verdana" w:hAnsi="Verdana" w:cs="Arial"/>
                <w:b/>
                <w:bCs/>
                <w:sz w:val="22"/>
                <w:szCs w:val="22"/>
              </w:rPr>
            </w:pPr>
          </w:p>
        </w:tc>
        <w:tc>
          <w:tcPr>
            <w:tcW w:w="2127" w:type="dxa"/>
            <w:vAlign w:val="center"/>
          </w:tcPr>
          <w:p w14:paraId="48676F12" w14:textId="77777777" w:rsidR="00972944" w:rsidRPr="005F27B2" w:rsidRDefault="00972944" w:rsidP="00972944">
            <w:pPr>
              <w:jc w:val="center"/>
              <w:rPr>
                <w:rFonts w:ascii="Verdana" w:hAnsi="Verdana" w:cs="Arial"/>
                <w:sz w:val="22"/>
                <w:szCs w:val="22"/>
              </w:rPr>
            </w:pPr>
            <w:r w:rsidRPr="005F27B2">
              <w:rPr>
                <w:rFonts w:ascii="Verdana" w:hAnsi="Verdana" w:cs="Arial"/>
                <w:sz w:val="22"/>
                <w:szCs w:val="22"/>
              </w:rPr>
              <w:lastRenderedPageBreak/>
              <w:t>Coordinador, ponentes y contratistas del Grupo de Admisiones</w:t>
            </w:r>
          </w:p>
          <w:p w14:paraId="431CD69D" w14:textId="77777777" w:rsidR="00972944" w:rsidRPr="005F27B2" w:rsidRDefault="00972944" w:rsidP="00972944">
            <w:pPr>
              <w:jc w:val="center"/>
              <w:rPr>
                <w:rFonts w:ascii="Verdana" w:hAnsi="Verdana" w:cs="Arial"/>
                <w:sz w:val="22"/>
                <w:szCs w:val="22"/>
              </w:rPr>
            </w:pPr>
          </w:p>
          <w:p w14:paraId="0263779D" w14:textId="44620D0B" w:rsidR="00972944" w:rsidRPr="00970120" w:rsidRDefault="00972944" w:rsidP="00972944">
            <w:pPr>
              <w:jc w:val="center"/>
              <w:rPr>
                <w:rFonts w:ascii="Verdana" w:hAnsi="Verdana" w:cs="Arial"/>
                <w:sz w:val="22"/>
                <w:szCs w:val="22"/>
              </w:rPr>
            </w:pPr>
            <w:r w:rsidRPr="005F27B2">
              <w:rPr>
                <w:rFonts w:ascii="Verdana" w:hAnsi="Verdana" w:cs="Arial"/>
                <w:sz w:val="22"/>
                <w:szCs w:val="22"/>
              </w:rPr>
              <w:t>Intendencias regionales</w:t>
            </w:r>
          </w:p>
        </w:tc>
        <w:tc>
          <w:tcPr>
            <w:tcW w:w="1134" w:type="dxa"/>
            <w:vAlign w:val="center"/>
          </w:tcPr>
          <w:p w14:paraId="3CF06DF2" w14:textId="009B27D5" w:rsidR="00972944" w:rsidRPr="00970120" w:rsidRDefault="00972944" w:rsidP="00972944">
            <w:pPr>
              <w:jc w:val="center"/>
              <w:rPr>
                <w:rFonts w:ascii="Verdana" w:hAnsi="Verdana" w:cs="Arial"/>
                <w:sz w:val="22"/>
                <w:szCs w:val="22"/>
              </w:rPr>
            </w:pPr>
            <w:r w:rsidRPr="005F27B2">
              <w:rPr>
                <w:rFonts w:ascii="Verdana" w:hAnsi="Verdana" w:cs="Arial"/>
                <w:sz w:val="22"/>
                <w:szCs w:val="22"/>
              </w:rPr>
              <w:t>X</w:t>
            </w:r>
          </w:p>
        </w:tc>
        <w:tc>
          <w:tcPr>
            <w:tcW w:w="1837" w:type="dxa"/>
            <w:vAlign w:val="center"/>
          </w:tcPr>
          <w:p w14:paraId="09D32883" w14:textId="5B53B8C5" w:rsidR="00972944" w:rsidRPr="00C87D6D" w:rsidRDefault="00972944" w:rsidP="00972944">
            <w:pPr>
              <w:jc w:val="center"/>
              <w:rPr>
                <w:rFonts w:ascii="Verdana" w:hAnsi="Verdana" w:cs="Arial"/>
                <w:sz w:val="22"/>
                <w:szCs w:val="22"/>
              </w:rPr>
            </w:pPr>
            <w:r w:rsidRPr="005F27B2">
              <w:rPr>
                <w:rFonts w:ascii="Verdana" w:hAnsi="Verdana" w:cs="Arial"/>
                <w:sz w:val="22"/>
                <w:szCs w:val="22"/>
              </w:rPr>
              <w:t>Memorandos, radicaciones, oficios, matriz de seguimiento a los procesos, SIGS</w:t>
            </w:r>
          </w:p>
        </w:tc>
      </w:tr>
      <w:tr w:rsidR="00972944" w:rsidRPr="00AD7AA1" w14:paraId="569AC03D" w14:textId="77777777" w:rsidTr="007667E0">
        <w:trPr>
          <w:trHeight w:val="304"/>
        </w:trPr>
        <w:tc>
          <w:tcPr>
            <w:tcW w:w="633" w:type="dxa"/>
            <w:vAlign w:val="center"/>
          </w:tcPr>
          <w:p w14:paraId="3756D47C" w14:textId="77777777" w:rsidR="00972944" w:rsidRPr="00970120" w:rsidRDefault="00972944" w:rsidP="00972944">
            <w:pPr>
              <w:jc w:val="center"/>
              <w:rPr>
                <w:rFonts w:ascii="Verdana" w:hAnsi="Verdana" w:cs="Arial"/>
                <w:sz w:val="22"/>
                <w:szCs w:val="22"/>
              </w:rPr>
            </w:pPr>
            <w:r>
              <w:rPr>
                <w:rFonts w:ascii="Verdana" w:hAnsi="Verdana" w:cs="Arial"/>
                <w:sz w:val="22"/>
                <w:szCs w:val="22"/>
              </w:rPr>
              <w:t>4</w:t>
            </w:r>
          </w:p>
        </w:tc>
        <w:tc>
          <w:tcPr>
            <w:tcW w:w="3898" w:type="dxa"/>
            <w:vAlign w:val="center"/>
          </w:tcPr>
          <w:p w14:paraId="09315E39" w14:textId="77777777" w:rsidR="00972944" w:rsidRPr="005F27B2" w:rsidRDefault="00972944" w:rsidP="00972944">
            <w:pPr>
              <w:jc w:val="both"/>
              <w:rPr>
                <w:rFonts w:ascii="Verdana" w:hAnsi="Verdana" w:cs="Arial"/>
                <w:b/>
                <w:bCs/>
                <w:sz w:val="22"/>
                <w:szCs w:val="22"/>
              </w:rPr>
            </w:pPr>
            <w:r w:rsidRPr="005F27B2">
              <w:rPr>
                <w:rFonts w:ascii="Verdana" w:hAnsi="Verdana" w:cs="Arial"/>
                <w:b/>
                <w:bCs/>
                <w:sz w:val="22"/>
                <w:szCs w:val="22"/>
              </w:rPr>
              <w:t>Requerir al solicitante y estudiar la respuesta una vez sea presentada</w:t>
            </w:r>
          </w:p>
          <w:p w14:paraId="45F868C1" w14:textId="77777777" w:rsidR="00972944" w:rsidRPr="005F27B2" w:rsidRDefault="00972944" w:rsidP="00972944">
            <w:pPr>
              <w:jc w:val="both"/>
              <w:rPr>
                <w:rFonts w:ascii="Verdana" w:hAnsi="Verdana" w:cs="Arial"/>
                <w:b/>
                <w:bCs/>
                <w:sz w:val="22"/>
                <w:szCs w:val="22"/>
              </w:rPr>
            </w:pPr>
          </w:p>
          <w:p w14:paraId="65D788DB" w14:textId="77777777" w:rsidR="00972944" w:rsidRPr="005F27B2" w:rsidRDefault="00972944" w:rsidP="00972944">
            <w:pPr>
              <w:jc w:val="both"/>
              <w:rPr>
                <w:rFonts w:ascii="Verdana" w:hAnsi="Verdana" w:cs="Arial"/>
                <w:sz w:val="22"/>
                <w:szCs w:val="22"/>
              </w:rPr>
            </w:pPr>
            <w:r w:rsidRPr="005F27B2">
              <w:rPr>
                <w:rFonts w:ascii="Verdana" w:hAnsi="Verdana" w:cs="Arial"/>
                <w:sz w:val="22"/>
                <w:szCs w:val="22"/>
              </w:rPr>
              <w:t xml:space="preserve">Se emite oficio de requerimiento en caso de incumplimiento de la información exigida, solicitando </w:t>
            </w:r>
            <w:r>
              <w:rPr>
                <w:rFonts w:ascii="Verdana" w:hAnsi="Verdana" w:cs="Arial"/>
                <w:sz w:val="22"/>
                <w:szCs w:val="22"/>
              </w:rPr>
              <w:t>a</w:t>
            </w:r>
            <w:r w:rsidRPr="005F27B2">
              <w:rPr>
                <w:rFonts w:ascii="Verdana" w:hAnsi="Verdana" w:cs="Arial"/>
                <w:sz w:val="22"/>
                <w:szCs w:val="22"/>
              </w:rPr>
              <w:t>l deudor</w:t>
            </w:r>
            <w:r>
              <w:rPr>
                <w:rFonts w:ascii="Verdana" w:hAnsi="Verdana" w:cs="Arial"/>
                <w:sz w:val="22"/>
                <w:szCs w:val="22"/>
              </w:rPr>
              <w:t xml:space="preserve">, </w:t>
            </w:r>
            <w:r w:rsidRPr="005F27B2">
              <w:rPr>
                <w:rFonts w:ascii="Verdana" w:hAnsi="Verdana" w:cs="Arial"/>
                <w:sz w:val="22"/>
                <w:szCs w:val="22"/>
              </w:rPr>
              <w:t>solicitante</w:t>
            </w:r>
            <w:r>
              <w:rPr>
                <w:rFonts w:ascii="Verdana" w:hAnsi="Verdana" w:cs="Arial"/>
                <w:sz w:val="22"/>
                <w:szCs w:val="22"/>
              </w:rPr>
              <w:t xml:space="preserve"> o acreedor,</w:t>
            </w:r>
            <w:r w:rsidRPr="005F27B2">
              <w:rPr>
                <w:rFonts w:ascii="Verdana" w:hAnsi="Verdana" w:cs="Arial"/>
                <w:sz w:val="22"/>
                <w:szCs w:val="22"/>
              </w:rPr>
              <w:t xml:space="preserve"> </w:t>
            </w:r>
            <w:r>
              <w:rPr>
                <w:rFonts w:ascii="Verdana" w:hAnsi="Verdana" w:cs="Arial"/>
                <w:sz w:val="22"/>
                <w:szCs w:val="22"/>
              </w:rPr>
              <w:t xml:space="preserve">la </w:t>
            </w:r>
            <w:r w:rsidRPr="005F27B2">
              <w:rPr>
                <w:rFonts w:ascii="Verdana" w:hAnsi="Verdana" w:cs="Arial"/>
                <w:sz w:val="22"/>
                <w:szCs w:val="22"/>
              </w:rPr>
              <w:t>complet</w:t>
            </w:r>
            <w:r>
              <w:rPr>
                <w:rFonts w:ascii="Verdana" w:hAnsi="Verdana" w:cs="Arial"/>
                <w:sz w:val="22"/>
                <w:szCs w:val="22"/>
              </w:rPr>
              <w:t>itud de</w:t>
            </w:r>
            <w:r w:rsidRPr="005F27B2">
              <w:rPr>
                <w:rFonts w:ascii="Verdana" w:hAnsi="Verdana" w:cs="Arial"/>
                <w:sz w:val="22"/>
                <w:szCs w:val="22"/>
              </w:rPr>
              <w:t xml:space="preserve"> lo que haga falta o rinda las explicaciones a que haya lugar</w:t>
            </w:r>
            <w:r>
              <w:rPr>
                <w:rFonts w:ascii="Verdana" w:hAnsi="Verdana" w:cs="Arial"/>
                <w:sz w:val="22"/>
                <w:szCs w:val="22"/>
              </w:rPr>
              <w:t>, de acuerdo con lo establecido en el artículo 14 de la Ley 1116 de 2006</w:t>
            </w:r>
            <w:r w:rsidRPr="005F27B2">
              <w:rPr>
                <w:rFonts w:ascii="Verdana" w:hAnsi="Verdana" w:cs="Arial"/>
                <w:sz w:val="22"/>
                <w:szCs w:val="22"/>
              </w:rPr>
              <w:t>. Este requerimiento interrumpirá los términos para que las autoridades competentes decidan. Desde la fecha en que el solicitante aporte nuevos documentos e informaciones para satisfacer el requerimiento, comenzarán a correr nuevamente los términos.</w:t>
            </w:r>
          </w:p>
          <w:p w14:paraId="18AA241C" w14:textId="77777777" w:rsidR="00972944" w:rsidRPr="005F27B2" w:rsidRDefault="00972944" w:rsidP="00972944">
            <w:pPr>
              <w:jc w:val="both"/>
              <w:rPr>
                <w:rFonts w:ascii="Verdana" w:hAnsi="Verdana" w:cs="Arial"/>
                <w:sz w:val="22"/>
                <w:szCs w:val="22"/>
              </w:rPr>
            </w:pPr>
          </w:p>
          <w:p w14:paraId="523804E3" w14:textId="77777777" w:rsidR="00972944" w:rsidRDefault="00972944" w:rsidP="00972944">
            <w:pPr>
              <w:jc w:val="both"/>
              <w:rPr>
                <w:rFonts w:ascii="Verdana" w:hAnsi="Verdana" w:cs="Arial"/>
                <w:sz w:val="22"/>
                <w:szCs w:val="22"/>
              </w:rPr>
            </w:pPr>
            <w:r w:rsidRPr="005F27B2">
              <w:rPr>
                <w:rFonts w:ascii="Verdana" w:hAnsi="Verdana" w:cs="Arial"/>
                <w:sz w:val="22"/>
                <w:szCs w:val="22"/>
              </w:rPr>
              <w:t>Cuando el requerimiento no sea respondido oportunamente o la respuesta no contenga las informaciones o explicaciones pedidas, será rechazada la solicitud.</w:t>
            </w:r>
          </w:p>
          <w:p w14:paraId="4A205394" w14:textId="77777777" w:rsidR="00972944" w:rsidRPr="005F27B2" w:rsidRDefault="00972944" w:rsidP="00972944">
            <w:pPr>
              <w:jc w:val="both"/>
              <w:rPr>
                <w:rFonts w:ascii="Verdana" w:hAnsi="Verdana" w:cs="Arial"/>
                <w:sz w:val="22"/>
                <w:szCs w:val="22"/>
              </w:rPr>
            </w:pPr>
          </w:p>
          <w:p w14:paraId="553329CF" w14:textId="77777777" w:rsidR="00972944" w:rsidRPr="005F27B2" w:rsidRDefault="00972944" w:rsidP="00972944">
            <w:pPr>
              <w:jc w:val="both"/>
              <w:rPr>
                <w:rFonts w:ascii="Verdana" w:hAnsi="Verdana" w:cs="Arial"/>
                <w:sz w:val="22"/>
                <w:szCs w:val="22"/>
              </w:rPr>
            </w:pPr>
            <w:r w:rsidRPr="005F27B2">
              <w:rPr>
                <w:rFonts w:ascii="Verdana" w:hAnsi="Verdana" w:cs="Arial"/>
                <w:sz w:val="22"/>
                <w:szCs w:val="22"/>
              </w:rPr>
              <w:t>¿El deudor o solicitante atendió el requerimiento con los insumos legales?</w:t>
            </w:r>
          </w:p>
          <w:p w14:paraId="3F771A92" w14:textId="77777777" w:rsidR="00972944" w:rsidRPr="005F27B2" w:rsidRDefault="00972944" w:rsidP="00972944">
            <w:pPr>
              <w:jc w:val="both"/>
              <w:rPr>
                <w:rFonts w:ascii="Verdana" w:hAnsi="Verdana" w:cs="Arial"/>
                <w:sz w:val="22"/>
                <w:szCs w:val="22"/>
              </w:rPr>
            </w:pPr>
            <w:r w:rsidRPr="005F27B2">
              <w:rPr>
                <w:rFonts w:ascii="Verdana" w:hAnsi="Verdana" w:cs="Arial"/>
                <w:sz w:val="22"/>
                <w:szCs w:val="22"/>
              </w:rPr>
              <w:lastRenderedPageBreak/>
              <w:t>SI: Se procede a estudiar la respuesta al requerimiento.</w:t>
            </w:r>
          </w:p>
          <w:p w14:paraId="57432FA6" w14:textId="77777777" w:rsidR="00972944" w:rsidRPr="005F27B2" w:rsidRDefault="00972944" w:rsidP="00972944">
            <w:pPr>
              <w:jc w:val="both"/>
              <w:rPr>
                <w:rFonts w:ascii="Verdana" w:hAnsi="Verdana" w:cs="Arial"/>
                <w:sz w:val="22"/>
                <w:szCs w:val="22"/>
              </w:rPr>
            </w:pPr>
            <w:r w:rsidRPr="005F27B2">
              <w:rPr>
                <w:rFonts w:ascii="Verdana" w:hAnsi="Verdana" w:cs="Arial"/>
                <w:sz w:val="22"/>
                <w:szCs w:val="22"/>
              </w:rPr>
              <w:t>NO: Emitir el auto de admisión o rechazo, según sea el caso</w:t>
            </w:r>
            <w:r>
              <w:rPr>
                <w:rFonts w:ascii="Verdana" w:hAnsi="Verdana" w:cs="Arial"/>
                <w:sz w:val="22"/>
                <w:szCs w:val="22"/>
              </w:rPr>
              <w:t>, realizando los controles de términos ante la presentación del recurso de reposición.</w:t>
            </w:r>
          </w:p>
          <w:p w14:paraId="006394F0" w14:textId="77777777" w:rsidR="00972944" w:rsidRPr="0008132E" w:rsidRDefault="00972944" w:rsidP="00972944">
            <w:pPr>
              <w:jc w:val="both"/>
              <w:rPr>
                <w:rFonts w:ascii="Verdana" w:hAnsi="Verdana" w:cs="Arial"/>
                <w:sz w:val="22"/>
                <w:szCs w:val="22"/>
              </w:rPr>
            </w:pPr>
          </w:p>
        </w:tc>
        <w:tc>
          <w:tcPr>
            <w:tcW w:w="2127" w:type="dxa"/>
            <w:vAlign w:val="center"/>
          </w:tcPr>
          <w:p w14:paraId="4787E0A0" w14:textId="77777777" w:rsidR="00972944" w:rsidRPr="005F27B2" w:rsidRDefault="00972944" w:rsidP="00972944">
            <w:pPr>
              <w:jc w:val="center"/>
              <w:rPr>
                <w:rFonts w:ascii="Verdana" w:hAnsi="Verdana" w:cs="Arial"/>
                <w:sz w:val="22"/>
                <w:szCs w:val="22"/>
              </w:rPr>
            </w:pPr>
            <w:r w:rsidRPr="005F27B2">
              <w:rPr>
                <w:rFonts w:ascii="Verdana" w:hAnsi="Verdana" w:cs="Arial"/>
                <w:sz w:val="22"/>
                <w:szCs w:val="22"/>
              </w:rPr>
              <w:lastRenderedPageBreak/>
              <w:t>Coordinador, ponentes y contratistas del Grupo de Admisiones</w:t>
            </w:r>
          </w:p>
          <w:p w14:paraId="42C1347D" w14:textId="77777777" w:rsidR="00972944" w:rsidRPr="005F27B2" w:rsidRDefault="00972944" w:rsidP="00972944">
            <w:pPr>
              <w:jc w:val="center"/>
              <w:rPr>
                <w:rFonts w:ascii="Verdana" w:hAnsi="Verdana" w:cs="Arial"/>
                <w:sz w:val="22"/>
                <w:szCs w:val="22"/>
              </w:rPr>
            </w:pPr>
          </w:p>
          <w:p w14:paraId="18FA7638" w14:textId="09077B80" w:rsidR="00972944" w:rsidRPr="00970120" w:rsidRDefault="00972944" w:rsidP="00972944">
            <w:pPr>
              <w:jc w:val="center"/>
              <w:rPr>
                <w:rFonts w:ascii="Verdana" w:hAnsi="Verdana" w:cs="Arial"/>
                <w:sz w:val="22"/>
                <w:szCs w:val="22"/>
              </w:rPr>
            </w:pPr>
            <w:r w:rsidRPr="005F27B2">
              <w:rPr>
                <w:rFonts w:ascii="Verdana" w:hAnsi="Verdana" w:cs="Arial"/>
                <w:sz w:val="22"/>
                <w:szCs w:val="22"/>
              </w:rPr>
              <w:t>Intendencias regionales</w:t>
            </w:r>
          </w:p>
        </w:tc>
        <w:tc>
          <w:tcPr>
            <w:tcW w:w="1134" w:type="dxa"/>
            <w:vAlign w:val="center"/>
          </w:tcPr>
          <w:p w14:paraId="5B960ED8" w14:textId="7F199A0A" w:rsidR="00972944" w:rsidRPr="00970120" w:rsidRDefault="00972944" w:rsidP="00972944">
            <w:pPr>
              <w:jc w:val="center"/>
              <w:rPr>
                <w:rFonts w:ascii="Verdana" w:hAnsi="Verdana" w:cs="Arial"/>
                <w:sz w:val="22"/>
                <w:szCs w:val="22"/>
              </w:rPr>
            </w:pPr>
            <w:r w:rsidRPr="005F27B2">
              <w:rPr>
                <w:rFonts w:ascii="Verdana" w:hAnsi="Verdana" w:cs="Arial"/>
                <w:sz w:val="22"/>
                <w:szCs w:val="22"/>
              </w:rPr>
              <w:t>X</w:t>
            </w:r>
          </w:p>
        </w:tc>
        <w:tc>
          <w:tcPr>
            <w:tcW w:w="1837" w:type="dxa"/>
            <w:vAlign w:val="center"/>
          </w:tcPr>
          <w:p w14:paraId="26C45FC5" w14:textId="143768D9" w:rsidR="00972944" w:rsidRPr="00970120" w:rsidRDefault="00972944" w:rsidP="00972944">
            <w:pPr>
              <w:jc w:val="center"/>
              <w:rPr>
                <w:rFonts w:ascii="Verdana" w:hAnsi="Verdana" w:cs="Arial"/>
                <w:sz w:val="22"/>
                <w:szCs w:val="22"/>
              </w:rPr>
            </w:pPr>
            <w:r w:rsidRPr="005F27B2">
              <w:rPr>
                <w:rFonts w:ascii="Verdana" w:hAnsi="Verdana" w:cs="Arial"/>
                <w:sz w:val="22"/>
                <w:szCs w:val="22"/>
              </w:rPr>
              <w:t>Memorandos, radicaciones, oficios, matriz de seguimiento a los procesos, SIGS</w:t>
            </w:r>
          </w:p>
        </w:tc>
      </w:tr>
      <w:tr w:rsidR="00972944" w:rsidRPr="00AD7AA1" w14:paraId="57021C11" w14:textId="77777777" w:rsidTr="007667E0">
        <w:trPr>
          <w:trHeight w:val="304"/>
        </w:trPr>
        <w:tc>
          <w:tcPr>
            <w:tcW w:w="633" w:type="dxa"/>
            <w:vAlign w:val="center"/>
          </w:tcPr>
          <w:p w14:paraId="09CDBC6E" w14:textId="77777777" w:rsidR="00972944" w:rsidRPr="00970120" w:rsidRDefault="00972944" w:rsidP="00972944">
            <w:pPr>
              <w:jc w:val="center"/>
              <w:rPr>
                <w:rFonts w:ascii="Verdana" w:hAnsi="Verdana" w:cs="Arial"/>
                <w:sz w:val="22"/>
                <w:szCs w:val="22"/>
              </w:rPr>
            </w:pPr>
            <w:r>
              <w:rPr>
                <w:rFonts w:ascii="Verdana" w:hAnsi="Verdana" w:cs="Arial"/>
                <w:sz w:val="22"/>
                <w:szCs w:val="22"/>
              </w:rPr>
              <w:t>5</w:t>
            </w:r>
          </w:p>
        </w:tc>
        <w:tc>
          <w:tcPr>
            <w:tcW w:w="3898" w:type="dxa"/>
            <w:vAlign w:val="center"/>
          </w:tcPr>
          <w:p w14:paraId="750BE1CB" w14:textId="77777777" w:rsidR="00972944" w:rsidRPr="005F27B2" w:rsidRDefault="00972944" w:rsidP="00972944">
            <w:pPr>
              <w:jc w:val="both"/>
              <w:rPr>
                <w:rFonts w:ascii="Verdana" w:hAnsi="Verdana" w:cs="Arial"/>
                <w:b/>
                <w:bCs/>
                <w:sz w:val="22"/>
                <w:szCs w:val="22"/>
              </w:rPr>
            </w:pPr>
            <w:r w:rsidRPr="005F27B2">
              <w:rPr>
                <w:rFonts w:ascii="Verdana" w:hAnsi="Verdana" w:cs="Arial"/>
                <w:b/>
                <w:bCs/>
                <w:sz w:val="22"/>
                <w:szCs w:val="22"/>
              </w:rPr>
              <w:t>Designar al promotor ante el Grupo de Apoyo Judicial</w:t>
            </w:r>
          </w:p>
          <w:p w14:paraId="63E214B7" w14:textId="77777777" w:rsidR="00972944" w:rsidRPr="005F27B2" w:rsidRDefault="00972944" w:rsidP="00972944">
            <w:pPr>
              <w:jc w:val="both"/>
              <w:rPr>
                <w:rFonts w:ascii="Verdana" w:hAnsi="Verdana" w:cs="Arial"/>
                <w:sz w:val="22"/>
                <w:szCs w:val="22"/>
              </w:rPr>
            </w:pPr>
            <w:r w:rsidRPr="005F27B2">
              <w:rPr>
                <w:rFonts w:ascii="Verdana" w:hAnsi="Verdana" w:cs="Arial"/>
                <w:sz w:val="22"/>
                <w:szCs w:val="22"/>
              </w:rPr>
              <w:t xml:space="preserve">De acuerdo con las validaciones de los protocolos del promotor, se designa al representante legal de la sociedad o se realiza la solicitud ante el comité de registro de especialistas, quienes a su vez designan, ya sea al representante legal o a un auxiliar de la justicia, quien toma posesión del cargo ante el Grupo de Apoyo Judicial. </w:t>
            </w:r>
          </w:p>
          <w:p w14:paraId="50A88032" w14:textId="77777777" w:rsidR="00972944" w:rsidRPr="00C75C6E" w:rsidRDefault="00972944" w:rsidP="00972944">
            <w:pPr>
              <w:jc w:val="both"/>
              <w:rPr>
                <w:rFonts w:ascii="Verdana" w:hAnsi="Verdana" w:cs="Arial"/>
                <w:sz w:val="22"/>
                <w:szCs w:val="22"/>
              </w:rPr>
            </w:pPr>
          </w:p>
        </w:tc>
        <w:tc>
          <w:tcPr>
            <w:tcW w:w="2127" w:type="dxa"/>
            <w:vAlign w:val="center"/>
          </w:tcPr>
          <w:p w14:paraId="3634DE2E" w14:textId="38AE4C0F" w:rsidR="00972944" w:rsidRPr="00970120" w:rsidRDefault="00972944" w:rsidP="00972944">
            <w:pPr>
              <w:jc w:val="center"/>
              <w:rPr>
                <w:rFonts w:ascii="Verdana" w:hAnsi="Verdana" w:cs="Arial"/>
                <w:sz w:val="22"/>
                <w:szCs w:val="22"/>
              </w:rPr>
            </w:pPr>
            <w:r w:rsidRPr="005F27B2">
              <w:rPr>
                <w:rFonts w:ascii="Verdana" w:hAnsi="Verdana" w:cs="Arial"/>
                <w:sz w:val="22"/>
                <w:szCs w:val="22"/>
              </w:rPr>
              <w:t>Grupos de Admisiones, Registro de Especialistas y Apoyo Judicial</w:t>
            </w:r>
          </w:p>
        </w:tc>
        <w:tc>
          <w:tcPr>
            <w:tcW w:w="1134" w:type="dxa"/>
            <w:vAlign w:val="center"/>
          </w:tcPr>
          <w:p w14:paraId="253C6646" w14:textId="0FFAACA9" w:rsidR="00972944" w:rsidRPr="00970120" w:rsidRDefault="00972944" w:rsidP="00972944">
            <w:pPr>
              <w:jc w:val="center"/>
              <w:rPr>
                <w:rFonts w:ascii="Verdana" w:hAnsi="Verdana" w:cs="Arial"/>
                <w:sz w:val="22"/>
                <w:szCs w:val="22"/>
              </w:rPr>
            </w:pPr>
            <w:r w:rsidRPr="005F27B2">
              <w:rPr>
                <w:rFonts w:ascii="Verdana" w:hAnsi="Verdana" w:cs="Arial"/>
                <w:sz w:val="22"/>
                <w:szCs w:val="22"/>
              </w:rPr>
              <w:t>X</w:t>
            </w:r>
          </w:p>
        </w:tc>
        <w:tc>
          <w:tcPr>
            <w:tcW w:w="1837" w:type="dxa"/>
            <w:vAlign w:val="center"/>
          </w:tcPr>
          <w:p w14:paraId="192C63EC" w14:textId="10F1112F" w:rsidR="00972944" w:rsidRPr="00970120" w:rsidRDefault="00972944" w:rsidP="00972944">
            <w:pPr>
              <w:jc w:val="center"/>
              <w:rPr>
                <w:rFonts w:ascii="Verdana" w:hAnsi="Verdana" w:cs="Arial"/>
                <w:sz w:val="22"/>
                <w:szCs w:val="22"/>
              </w:rPr>
            </w:pPr>
            <w:r w:rsidRPr="005F27B2">
              <w:rPr>
                <w:rFonts w:ascii="Verdana" w:hAnsi="Verdana" w:cs="Arial"/>
                <w:sz w:val="22"/>
                <w:szCs w:val="22"/>
              </w:rPr>
              <w:t>Acta de posesión</w:t>
            </w:r>
          </w:p>
        </w:tc>
      </w:tr>
      <w:tr w:rsidR="00955F79" w:rsidRPr="00AD7AA1" w14:paraId="6F89E5DD" w14:textId="77777777" w:rsidTr="007667E0">
        <w:trPr>
          <w:trHeight w:val="304"/>
        </w:trPr>
        <w:tc>
          <w:tcPr>
            <w:tcW w:w="633" w:type="dxa"/>
            <w:vAlign w:val="center"/>
          </w:tcPr>
          <w:p w14:paraId="06FB8F05" w14:textId="77777777" w:rsidR="00955F79" w:rsidRPr="00970120" w:rsidRDefault="00955F79" w:rsidP="00955F79">
            <w:pPr>
              <w:jc w:val="center"/>
              <w:rPr>
                <w:rFonts w:ascii="Verdana" w:hAnsi="Verdana" w:cs="Arial"/>
                <w:sz w:val="22"/>
                <w:szCs w:val="22"/>
              </w:rPr>
            </w:pPr>
            <w:r>
              <w:rPr>
                <w:rFonts w:ascii="Verdana" w:hAnsi="Verdana" w:cs="Arial"/>
                <w:sz w:val="22"/>
                <w:szCs w:val="22"/>
              </w:rPr>
              <w:t>6</w:t>
            </w:r>
          </w:p>
        </w:tc>
        <w:tc>
          <w:tcPr>
            <w:tcW w:w="3898" w:type="dxa"/>
            <w:vAlign w:val="center"/>
          </w:tcPr>
          <w:p w14:paraId="66B8E646" w14:textId="70A2D8D2" w:rsidR="00955F79" w:rsidRPr="005F27B2" w:rsidRDefault="00955F79" w:rsidP="00955F79">
            <w:pPr>
              <w:jc w:val="both"/>
              <w:rPr>
                <w:rFonts w:ascii="Verdana" w:hAnsi="Verdana" w:cs="Arial"/>
                <w:b/>
                <w:bCs/>
                <w:sz w:val="22"/>
                <w:szCs w:val="22"/>
              </w:rPr>
            </w:pPr>
            <w:r w:rsidRPr="005F27B2">
              <w:rPr>
                <w:rFonts w:ascii="Verdana" w:hAnsi="Verdana" w:cs="Arial"/>
                <w:b/>
                <w:bCs/>
                <w:sz w:val="22"/>
                <w:szCs w:val="22"/>
              </w:rPr>
              <w:t xml:space="preserve">Expedir el auto de iniciación </w:t>
            </w:r>
            <w:r>
              <w:rPr>
                <w:rFonts w:ascii="Verdana" w:hAnsi="Verdana" w:cs="Arial"/>
                <w:b/>
                <w:bCs/>
                <w:sz w:val="22"/>
                <w:szCs w:val="22"/>
              </w:rPr>
              <w:t xml:space="preserve">o </w:t>
            </w:r>
            <w:r w:rsidRPr="005F27B2">
              <w:rPr>
                <w:rFonts w:ascii="Verdana" w:hAnsi="Verdana" w:cs="Arial"/>
                <w:b/>
                <w:bCs/>
                <w:sz w:val="22"/>
                <w:szCs w:val="22"/>
              </w:rPr>
              <w:t>apertura al proceso de reorganización empresarial</w:t>
            </w:r>
            <w:r>
              <w:rPr>
                <w:rFonts w:ascii="Verdana" w:hAnsi="Verdana" w:cs="Arial"/>
                <w:b/>
                <w:bCs/>
                <w:sz w:val="22"/>
                <w:szCs w:val="22"/>
              </w:rPr>
              <w:t xml:space="preserve"> abreviado</w:t>
            </w:r>
          </w:p>
          <w:p w14:paraId="5E670796" w14:textId="2EFDAE52" w:rsidR="00955F79" w:rsidRPr="005F27B2" w:rsidRDefault="00955F79" w:rsidP="00955F79">
            <w:pPr>
              <w:jc w:val="both"/>
              <w:rPr>
                <w:rFonts w:ascii="Verdana" w:hAnsi="Verdana" w:cs="Arial"/>
                <w:sz w:val="22"/>
                <w:szCs w:val="22"/>
              </w:rPr>
            </w:pPr>
            <w:r w:rsidRPr="005F27B2">
              <w:rPr>
                <w:rFonts w:ascii="Verdana" w:hAnsi="Verdana" w:cs="Arial"/>
                <w:sz w:val="22"/>
                <w:szCs w:val="22"/>
              </w:rPr>
              <w:t xml:space="preserve">El auto de iniciación </w:t>
            </w:r>
            <w:r>
              <w:rPr>
                <w:rFonts w:ascii="Verdana" w:hAnsi="Verdana" w:cs="Arial"/>
                <w:sz w:val="22"/>
                <w:szCs w:val="22"/>
              </w:rPr>
              <w:t xml:space="preserve">o </w:t>
            </w:r>
            <w:r w:rsidRPr="005F27B2">
              <w:rPr>
                <w:rFonts w:ascii="Verdana" w:hAnsi="Verdana" w:cs="Arial"/>
                <w:sz w:val="22"/>
                <w:szCs w:val="22"/>
              </w:rPr>
              <w:t xml:space="preserve">apertura al proceso de reorganización empresarial </w:t>
            </w:r>
            <w:r>
              <w:rPr>
                <w:rFonts w:ascii="Verdana" w:hAnsi="Verdana" w:cs="Arial"/>
                <w:sz w:val="22"/>
                <w:szCs w:val="22"/>
              </w:rPr>
              <w:t xml:space="preserve">abreviado </w:t>
            </w:r>
            <w:r w:rsidRPr="005F27B2">
              <w:rPr>
                <w:rFonts w:ascii="Verdana" w:hAnsi="Verdana" w:cs="Arial"/>
                <w:sz w:val="22"/>
                <w:szCs w:val="22"/>
              </w:rPr>
              <w:t>deberá seguir lo establecido en el artículo 19 de la Ley 1116 de 2006, y será notificado por estado a través de la baranda virtual de la entidad.</w:t>
            </w:r>
          </w:p>
          <w:p w14:paraId="601CA18C" w14:textId="77777777" w:rsidR="00955F79" w:rsidRPr="00C96D5D" w:rsidRDefault="00955F79" w:rsidP="00955F79">
            <w:pPr>
              <w:jc w:val="both"/>
              <w:rPr>
                <w:rFonts w:ascii="Verdana" w:hAnsi="Verdana" w:cs="Arial"/>
                <w:sz w:val="22"/>
                <w:szCs w:val="22"/>
              </w:rPr>
            </w:pPr>
          </w:p>
        </w:tc>
        <w:tc>
          <w:tcPr>
            <w:tcW w:w="2127" w:type="dxa"/>
            <w:vAlign w:val="center"/>
          </w:tcPr>
          <w:p w14:paraId="319ADE82" w14:textId="77777777" w:rsidR="00955F79" w:rsidRPr="005F27B2" w:rsidRDefault="00955F79" w:rsidP="00955F79">
            <w:pPr>
              <w:jc w:val="center"/>
              <w:rPr>
                <w:rFonts w:ascii="Verdana" w:hAnsi="Verdana" w:cs="Arial"/>
                <w:sz w:val="22"/>
                <w:szCs w:val="22"/>
              </w:rPr>
            </w:pPr>
            <w:r w:rsidRPr="005F27B2">
              <w:rPr>
                <w:rFonts w:ascii="Verdana" w:hAnsi="Verdana" w:cs="Arial"/>
                <w:sz w:val="22"/>
                <w:szCs w:val="22"/>
              </w:rPr>
              <w:t xml:space="preserve">Coordinador del Grupo de Admisiones, Superintendente </w:t>
            </w:r>
            <w:proofErr w:type="gramStart"/>
            <w:r w:rsidRPr="005F27B2">
              <w:rPr>
                <w:rFonts w:ascii="Verdana" w:hAnsi="Verdana" w:cs="Arial"/>
                <w:sz w:val="22"/>
                <w:szCs w:val="22"/>
              </w:rPr>
              <w:t>Delegado</w:t>
            </w:r>
            <w:proofErr w:type="gramEnd"/>
            <w:r w:rsidRPr="005F27B2">
              <w:rPr>
                <w:rFonts w:ascii="Verdana" w:hAnsi="Verdana" w:cs="Arial"/>
                <w:sz w:val="22"/>
                <w:szCs w:val="22"/>
              </w:rPr>
              <w:t xml:space="preserve"> de Procedimientos de Insolvencia.</w:t>
            </w:r>
          </w:p>
          <w:p w14:paraId="1D56F2FA" w14:textId="77777777" w:rsidR="00955F79" w:rsidRPr="005F27B2" w:rsidRDefault="00955F79" w:rsidP="00955F79">
            <w:pPr>
              <w:jc w:val="center"/>
              <w:rPr>
                <w:rFonts w:ascii="Verdana" w:hAnsi="Verdana" w:cs="Arial"/>
                <w:sz w:val="22"/>
                <w:szCs w:val="22"/>
              </w:rPr>
            </w:pPr>
          </w:p>
          <w:p w14:paraId="2BB41AD1" w14:textId="77777777" w:rsidR="00955F79" w:rsidRPr="005F27B2" w:rsidRDefault="00955F79" w:rsidP="00955F79">
            <w:pPr>
              <w:jc w:val="center"/>
              <w:rPr>
                <w:rFonts w:ascii="Verdana" w:hAnsi="Verdana" w:cs="Arial"/>
                <w:sz w:val="22"/>
                <w:szCs w:val="22"/>
              </w:rPr>
            </w:pPr>
            <w:r w:rsidRPr="005F27B2">
              <w:rPr>
                <w:rFonts w:ascii="Verdana" w:hAnsi="Verdana" w:cs="Arial"/>
                <w:sz w:val="22"/>
                <w:szCs w:val="22"/>
              </w:rPr>
              <w:t>Intendentes regionales.</w:t>
            </w:r>
          </w:p>
          <w:p w14:paraId="3A2B622C" w14:textId="77777777" w:rsidR="00955F79" w:rsidRPr="00970120" w:rsidRDefault="00955F79" w:rsidP="00955F79">
            <w:pPr>
              <w:jc w:val="center"/>
              <w:rPr>
                <w:rFonts w:ascii="Verdana" w:hAnsi="Verdana" w:cs="Arial"/>
                <w:sz w:val="22"/>
                <w:szCs w:val="22"/>
              </w:rPr>
            </w:pPr>
          </w:p>
        </w:tc>
        <w:tc>
          <w:tcPr>
            <w:tcW w:w="1134" w:type="dxa"/>
            <w:vAlign w:val="center"/>
          </w:tcPr>
          <w:p w14:paraId="2D6206CE" w14:textId="33D69509" w:rsidR="00955F79" w:rsidRPr="00970120" w:rsidRDefault="00955F79" w:rsidP="00955F79">
            <w:pPr>
              <w:jc w:val="center"/>
              <w:rPr>
                <w:rFonts w:ascii="Verdana" w:hAnsi="Verdana" w:cs="Arial"/>
                <w:sz w:val="22"/>
                <w:szCs w:val="22"/>
              </w:rPr>
            </w:pPr>
            <w:r w:rsidRPr="005F27B2">
              <w:rPr>
                <w:rFonts w:ascii="Verdana" w:hAnsi="Verdana" w:cs="Arial"/>
                <w:sz w:val="22"/>
                <w:szCs w:val="22"/>
              </w:rPr>
              <w:t>No Aplica</w:t>
            </w:r>
          </w:p>
        </w:tc>
        <w:tc>
          <w:tcPr>
            <w:tcW w:w="1837" w:type="dxa"/>
            <w:vAlign w:val="center"/>
          </w:tcPr>
          <w:p w14:paraId="24ABD7FE" w14:textId="59F66C24" w:rsidR="00955F79" w:rsidRPr="00970120" w:rsidRDefault="00955F79" w:rsidP="00955F79">
            <w:pPr>
              <w:jc w:val="center"/>
              <w:rPr>
                <w:rFonts w:ascii="Verdana" w:hAnsi="Verdana" w:cs="Arial"/>
                <w:sz w:val="22"/>
                <w:szCs w:val="22"/>
              </w:rPr>
            </w:pPr>
            <w:r w:rsidRPr="005F27B2">
              <w:rPr>
                <w:rFonts w:ascii="Verdana" w:hAnsi="Verdana" w:cs="Arial"/>
                <w:sz w:val="22"/>
                <w:szCs w:val="22"/>
              </w:rPr>
              <w:t xml:space="preserve">Auto de iniciación </w:t>
            </w:r>
            <w:r>
              <w:rPr>
                <w:rFonts w:ascii="Verdana" w:hAnsi="Verdana" w:cs="Arial"/>
                <w:sz w:val="22"/>
                <w:szCs w:val="22"/>
              </w:rPr>
              <w:t>o</w:t>
            </w:r>
            <w:r w:rsidRPr="005F27B2">
              <w:rPr>
                <w:rFonts w:ascii="Verdana" w:hAnsi="Verdana" w:cs="Arial"/>
                <w:sz w:val="22"/>
                <w:szCs w:val="22"/>
              </w:rPr>
              <w:t xml:space="preserve"> apertura al proceso de reorganización empresarial</w:t>
            </w:r>
            <w:r>
              <w:rPr>
                <w:rFonts w:ascii="Verdana" w:hAnsi="Verdana" w:cs="Arial"/>
                <w:sz w:val="22"/>
                <w:szCs w:val="22"/>
              </w:rPr>
              <w:t xml:space="preserve"> abreviado</w:t>
            </w:r>
            <w:r w:rsidRPr="005F27B2">
              <w:rPr>
                <w:rFonts w:ascii="Verdana" w:hAnsi="Verdana" w:cs="Arial"/>
                <w:sz w:val="22"/>
                <w:szCs w:val="22"/>
              </w:rPr>
              <w:t xml:space="preserve"> expedido</w:t>
            </w:r>
          </w:p>
        </w:tc>
      </w:tr>
      <w:tr w:rsidR="00955F79" w:rsidRPr="00AD7AA1" w14:paraId="1DFFE221" w14:textId="77777777" w:rsidTr="007667E0">
        <w:trPr>
          <w:trHeight w:val="304"/>
        </w:trPr>
        <w:tc>
          <w:tcPr>
            <w:tcW w:w="633" w:type="dxa"/>
            <w:vAlign w:val="center"/>
          </w:tcPr>
          <w:p w14:paraId="18445123" w14:textId="77777777" w:rsidR="00955F79" w:rsidRDefault="00955F79" w:rsidP="00955F79">
            <w:pPr>
              <w:jc w:val="center"/>
              <w:rPr>
                <w:rFonts w:ascii="Verdana" w:hAnsi="Verdana" w:cs="Arial"/>
                <w:sz w:val="22"/>
                <w:szCs w:val="22"/>
              </w:rPr>
            </w:pPr>
            <w:r>
              <w:rPr>
                <w:rFonts w:ascii="Verdana" w:hAnsi="Verdana" w:cs="Arial"/>
                <w:sz w:val="22"/>
                <w:szCs w:val="22"/>
              </w:rPr>
              <w:t>7</w:t>
            </w:r>
          </w:p>
        </w:tc>
        <w:tc>
          <w:tcPr>
            <w:tcW w:w="3898" w:type="dxa"/>
            <w:vAlign w:val="center"/>
          </w:tcPr>
          <w:p w14:paraId="1F0ED640" w14:textId="77777777" w:rsidR="00955F79" w:rsidRPr="005F27B2" w:rsidRDefault="00955F79" w:rsidP="00955F79">
            <w:pPr>
              <w:jc w:val="both"/>
              <w:rPr>
                <w:rFonts w:ascii="Verdana" w:hAnsi="Verdana" w:cs="Arial"/>
                <w:b/>
                <w:bCs/>
                <w:sz w:val="22"/>
                <w:szCs w:val="22"/>
              </w:rPr>
            </w:pPr>
            <w:r w:rsidRPr="005F27B2">
              <w:rPr>
                <w:rFonts w:ascii="Verdana" w:hAnsi="Verdana" w:cs="Arial"/>
                <w:b/>
                <w:bCs/>
                <w:sz w:val="22"/>
                <w:szCs w:val="22"/>
              </w:rPr>
              <w:t xml:space="preserve">Actualizar el SIGS </w:t>
            </w:r>
          </w:p>
          <w:p w14:paraId="4478BF65" w14:textId="337570CD" w:rsidR="00955F79" w:rsidRPr="00C87D6D" w:rsidRDefault="00955F79" w:rsidP="00955F79">
            <w:pPr>
              <w:jc w:val="both"/>
              <w:rPr>
                <w:rFonts w:ascii="Verdana" w:hAnsi="Verdana" w:cs="Arial"/>
                <w:sz w:val="22"/>
                <w:szCs w:val="22"/>
              </w:rPr>
            </w:pPr>
            <w:r w:rsidRPr="005F27B2">
              <w:rPr>
                <w:rFonts w:ascii="Verdana" w:hAnsi="Verdana" w:cs="Arial"/>
                <w:sz w:val="22"/>
                <w:szCs w:val="22"/>
              </w:rPr>
              <w:t>Al actualizar el SIGS se relacionan los autos de admisión a procesos de reorganización empresarial</w:t>
            </w:r>
            <w:r>
              <w:rPr>
                <w:rFonts w:ascii="Verdana" w:hAnsi="Verdana" w:cs="Arial"/>
                <w:sz w:val="22"/>
                <w:szCs w:val="22"/>
              </w:rPr>
              <w:t xml:space="preserve"> abreviado</w:t>
            </w:r>
            <w:r w:rsidRPr="005F27B2">
              <w:rPr>
                <w:rFonts w:ascii="Verdana" w:hAnsi="Verdana" w:cs="Arial"/>
                <w:sz w:val="22"/>
                <w:szCs w:val="22"/>
              </w:rPr>
              <w:t xml:space="preserve">, así como los autos de inadmisión, rechazo y desistimiento, y se indica el </w:t>
            </w:r>
            <w:r w:rsidRPr="005F27B2">
              <w:rPr>
                <w:rFonts w:ascii="Verdana" w:hAnsi="Verdana" w:cs="Arial"/>
                <w:sz w:val="22"/>
                <w:szCs w:val="22"/>
              </w:rPr>
              <w:lastRenderedPageBreak/>
              <w:t xml:space="preserve">juez de concurso correspondiente. </w:t>
            </w:r>
          </w:p>
        </w:tc>
        <w:tc>
          <w:tcPr>
            <w:tcW w:w="2127" w:type="dxa"/>
            <w:vAlign w:val="center"/>
          </w:tcPr>
          <w:p w14:paraId="67535111" w14:textId="4570D03F" w:rsidR="00955F79" w:rsidRDefault="00955F79" w:rsidP="00955F79">
            <w:pPr>
              <w:jc w:val="center"/>
              <w:rPr>
                <w:rFonts w:ascii="Verdana" w:hAnsi="Verdana" w:cs="Arial"/>
                <w:sz w:val="22"/>
                <w:szCs w:val="22"/>
              </w:rPr>
            </w:pPr>
            <w:r w:rsidRPr="005F27B2">
              <w:rPr>
                <w:rFonts w:ascii="Verdana" w:hAnsi="Verdana"/>
                <w:sz w:val="22"/>
                <w:szCs w:val="22"/>
              </w:rPr>
              <w:lastRenderedPageBreak/>
              <w:t>Funcionario del Grupo de Admisiones</w:t>
            </w:r>
          </w:p>
        </w:tc>
        <w:tc>
          <w:tcPr>
            <w:tcW w:w="1134" w:type="dxa"/>
            <w:vAlign w:val="center"/>
          </w:tcPr>
          <w:p w14:paraId="0259EF0B" w14:textId="13F1D842" w:rsidR="00955F79" w:rsidRDefault="00955F79" w:rsidP="00955F79">
            <w:pPr>
              <w:jc w:val="center"/>
              <w:rPr>
                <w:rFonts w:ascii="Verdana" w:hAnsi="Verdana" w:cs="Arial"/>
                <w:sz w:val="22"/>
                <w:szCs w:val="22"/>
              </w:rPr>
            </w:pPr>
            <w:r w:rsidRPr="005F27B2">
              <w:rPr>
                <w:rFonts w:ascii="Verdana" w:hAnsi="Verdana" w:cs="Arial"/>
                <w:sz w:val="22"/>
                <w:szCs w:val="22"/>
              </w:rPr>
              <w:t>No Aplica</w:t>
            </w:r>
          </w:p>
        </w:tc>
        <w:tc>
          <w:tcPr>
            <w:tcW w:w="1837" w:type="dxa"/>
            <w:vAlign w:val="center"/>
          </w:tcPr>
          <w:p w14:paraId="4F3421C2" w14:textId="40020783" w:rsidR="00955F79" w:rsidRDefault="00955F79" w:rsidP="00955F79">
            <w:pPr>
              <w:jc w:val="center"/>
              <w:rPr>
                <w:rFonts w:ascii="Verdana" w:hAnsi="Verdana" w:cs="Arial"/>
                <w:sz w:val="22"/>
                <w:szCs w:val="22"/>
              </w:rPr>
            </w:pPr>
            <w:r w:rsidRPr="005F27B2">
              <w:rPr>
                <w:rFonts w:ascii="Verdana" w:hAnsi="Verdana" w:cs="Arial"/>
                <w:sz w:val="22"/>
                <w:szCs w:val="22"/>
              </w:rPr>
              <w:t>SIGS actualizado</w:t>
            </w:r>
            <w:r w:rsidRPr="005F27B2">
              <w:t xml:space="preserve"> </w:t>
            </w:r>
          </w:p>
        </w:tc>
      </w:tr>
      <w:tr w:rsidR="00955F79" w:rsidRPr="00AD7AA1" w14:paraId="4A30E0D9" w14:textId="77777777" w:rsidTr="007667E0">
        <w:trPr>
          <w:trHeight w:val="304"/>
        </w:trPr>
        <w:tc>
          <w:tcPr>
            <w:tcW w:w="633" w:type="dxa"/>
            <w:vAlign w:val="center"/>
          </w:tcPr>
          <w:p w14:paraId="7C92BD83" w14:textId="77777777" w:rsidR="00955F79" w:rsidRPr="00970120" w:rsidRDefault="00955F79" w:rsidP="00955F79">
            <w:pPr>
              <w:jc w:val="center"/>
              <w:rPr>
                <w:rFonts w:ascii="Verdana" w:hAnsi="Verdana" w:cs="Arial"/>
                <w:sz w:val="22"/>
                <w:szCs w:val="22"/>
              </w:rPr>
            </w:pPr>
            <w:r>
              <w:rPr>
                <w:rFonts w:ascii="Verdana" w:hAnsi="Verdana" w:cs="Arial"/>
                <w:sz w:val="22"/>
                <w:szCs w:val="22"/>
              </w:rPr>
              <w:t>8</w:t>
            </w:r>
          </w:p>
        </w:tc>
        <w:tc>
          <w:tcPr>
            <w:tcW w:w="3898" w:type="dxa"/>
            <w:vAlign w:val="center"/>
          </w:tcPr>
          <w:p w14:paraId="77F4CBA6" w14:textId="795A15F6" w:rsidR="00955F79" w:rsidRPr="00EF2253" w:rsidRDefault="00955F79" w:rsidP="00955F79">
            <w:pPr>
              <w:jc w:val="both"/>
              <w:rPr>
                <w:rFonts w:ascii="Verdana" w:hAnsi="Verdana" w:cs="Arial"/>
                <w:sz w:val="22"/>
                <w:szCs w:val="22"/>
              </w:rPr>
            </w:pPr>
            <w:r>
              <w:rPr>
                <w:rFonts w:ascii="Verdana" w:hAnsi="Verdana" w:cs="Arial"/>
                <w:sz w:val="22"/>
                <w:szCs w:val="22"/>
              </w:rPr>
              <w:t>Fin</w:t>
            </w:r>
          </w:p>
        </w:tc>
        <w:tc>
          <w:tcPr>
            <w:tcW w:w="2127" w:type="dxa"/>
            <w:vAlign w:val="center"/>
          </w:tcPr>
          <w:p w14:paraId="7AD7159C" w14:textId="77777777" w:rsidR="00955F79" w:rsidRPr="00970120" w:rsidRDefault="00955F79" w:rsidP="00955F79">
            <w:pPr>
              <w:jc w:val="center"/>
              <w:rPr>
                <w:rFonts w:ascii="Verdana" w:hAnsi="Verdana" w:cs="Arial"/>
                <w:sz w:val="22"/>
                <w:szCs w:val="22"/>
              </w:rPr>
            </w:pPr>
          </w:p>
        </w:tc>
        <w:tc>
          <w:tcPr>
            <w:tcW w:w="1134" w:type="dxa"/>
            <w:vAlign w:val="center"/>
          </w:tcPr>
          <w:p w14:paraId="2864FE34" w14:textId="360E0265" w:rsidR="00955F79" w:rsidRPr="00970120" w:rsidRDefault="00955F79" w:rsidP="00955F79">
            <w:pPr>
              <w:jc w:val="center"/>
              <w:rPr>
                <w:rFonts w:ascii="Verdana" w:hAnsi="Verdana" w:cs="Arial"/>
                <w:sz w:val="22"/>
                <w:szCs w:val="22"/>
              </w:rPr>
            </w:pPr>
          </w:p>
        </w:tc>
        <w:tc>
          <w:tcPr>
            <w:tcW w:w="1837" w:type="dxa"/>
            <w:vAlign w:val="center"/>
          </w:tcPr>
          <w:p w14:paraId="4578E689" w14:textId="48E937C9" w:rsidR="00955F79" w:rsidRPr="00970120" w:rsidRDefault="00955F79" w:rsidP="00955F79">
            <w:pPr>
              <w:jc w:val="center"/>
              <w:rPr>
                <w:rFonts w:ascii="Verdana" w:hAnsi="Verdana" w:cs="Arial"/>
                <w:sz w:val="22"/>
                <w:szCs w:val="22"/>
              </w:rPr>
            </w:pPr>
          </w:p>
        </w:tc>
      </w:tr>
      <w:bookmarkEnd w:id="3"/>
    </w:tbl>
    <w:p w14:paraId="69F6EE61" w14:textId="77777777" w:rsidR="00FF0DA6" w:rsidRDefault="00FF0DA6" w:rsidP="00DB2E98">
      <w:pPr>
        <w:jc w:val="both"/>
        <w:rPr>
          <w:rFonts w:ascii="Verdana" w:hAnsi="Verdana"/>
          <w:b/>
          <w:bCs/>
          <w:sz w:val="22"/>
          <w:szCs w:val="22"/>
          <w:lang w:val="es-MX"/>
        </w:rPr>
      </w:pPr>
    </w:p>
    <w:p w14:paraId="17D32E6C" w14:textId="77777777" w:rsidR="00955F79" w:rsidRPr="005F27B2" w:rsidRDefault="00955F79" w:rsidP="00955F79">
      <w:pPr>
        <w:jc w:val="both"/>
        <w:rPr>
          <w:rFonts w:ascii="Verdana" w:hAnsi="Verdana"/>
          <w:b/>
          <w:bCs/>
          <w:sz w:val="22"/>
          <w:szCs w:val="22"/>
          <w:lang w:val="es-MX"/>
        </w:rPr>
      </w:pPr>
      <w:bookmarkStart w:id="4" w:name="_Hlk208999262"/>
      <w:r w:rsidRPr="005F27B2">
        <w:rPr>
          <w:rFonts w:ascii="Verdana" w:hAnsi="Verdana"/>
          <w:b/>
          <w:bCs/>
          <w:sz w:val="22"/>
          <w:szCs w:val="22"/>
          <w:lang w:val="es-MX"/>
        </w:rPr>
        <w:t xml:space="preserve">6.2 </w:t>
      </w:r>
      <w:bookmarkStart w:id="5" w:name="_Hlk210304445"/>
      <w:r>
        <w:rPr>
          <w:rFonts w:ascii="Verdana" w:hAnsi="Verdana"/>
          <w:b/>
          <w:bCs/>
          <w:sz w:val="22"/>
          <w:szCs w:val="22"/>
          <w:lang w:val="es-MX"/>
        </w:rPr>
        <w:t>PRESENTACIÓN Y TRÁMITE DE OBJECIONES</w:t>
      </w:r>
      <w:r w:rsidRPr="005F27B2">
        <w:rPr>
          <w:rFonts w:ascii="Verdana" w:hAnsi="Verdana"/>
          <w:b/>
          <w:bCs/>
          <w:sz w:val="22"/>
          <w:szCs w:val="22"/>
          <w:lang w:val="es-MX"/>
        </w:rPr>
        <w:t xml:space="preserve"> AL ACUERDO DE REORGANIZACIÓN</w:t>
      </w:r>
    </w:p>
    <w:bookmarkEnd w:id="4"/>
    <w:bookmarkEnd w:id="5"/>
    <w:p w14:paraId="28EB4DF1" w14:textId="77777777" w:rsidR="00417579" w:rsidRPr="00955F79" w:rsidRDefault="00417579" w:rsidP="005C688F">
      <w:pPr>
        <w:ind w:right="51"/>
        <w:rPr>
          <w:rFonts w:ascii="Verdana" w:hAnsi="Verdana"/>
          <w:sz w:val="22"/>
          <w:szCs w:val="22"/>
          <w:lang w:val="es-MX"/>
        </w:rPr>
      </w:pPr>
    </w:p>
    <w:tbl>
      <w:tblPr>
        <w:tblStyle w:val="Tablaconcuadrcula"/>
        <w:tblW w:w="0" w:type="auto"/>
        <w:tblLook w:val="04A0" w:firstRow="1" w:lastRow="0" w:firstColumn="1" w:lastColumn="0" w:noHBand="0" w:noVBand="1"/>
      </w:tblPr>
      <w:tblGrid>
        <w:gridCol w:w="693"/>
        <w:gridCol w:w="4156"/>
        <w:gridCol w:w="1993"/>
        <w:gridCol w:w="1119"/>
        <w:gridCol w:w="1668"/>
      </w:tblGrid>
      <w:tr w:rsidR="001928D3" w:rsidRPr="00AD7AA1" w14:paraId="545561FC" w14:textId="7629570D" w:rsidTr="006669C7">
        <w:trPr>
          <w:trHeight w:val="609"/>
          <w:tblHeader/>
        </w:trPr>
        <w:tc>
          <w:tcPr>
            <w:tcW w:w="693" w:type="dxa"/>
            <w:shd w:val="clear" w:color="auto" w:fill="F2DCDB"/>
            <w:vAlign w:val="center"/>
          </w:tcPr>
          <w:p w14:paraId="2A85A902" w14:textId="75992BD5"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No.</w:t>
            </w:r>
          </w:p>
        </w:tc>
        <w:tc>
          <w:tcPr>
            <w:tcW w:w="4156" w:type="dxa"/>
            <w:shd w:val="clear" w:color="auto" w:fill="F2DCDB"/>
            <w:vAlign w:val="center"/>
          </w:tcPr>
          <w:p w14:paraId="64B18678" w14:textId="775D1430"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Actividad</w:t>
            </w:r>
          </w:p>
        </w:tc>
        <w:tc>
          <w:tcPr>
            <w:tcW w:w="1993" w:type="dxa"/>
            <w:shd w:val="clear" w:color="auto" w:fill="F2DCDB"/>
            <w:vAlign w:val="center"/>
          </w:tcPr>
          <w:p w14:paraId="24C00E29" w14:textId="57CDC6B6"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Responsable</w:t>
            </w:r>
          </w:p>
        </w:tc>
        <w:tc>
          <w:tcPr>
            <w:tcW w:w="1119" w:type="dxa"/>
            <w:shd w:val="clear" w:color="auto" w:fill="F2DCDB"/>
            <w:vAlign w:val="center"/>
          </w:tcPr>
          <w:p w14:paraId="76EBEFA4" w14:textId="202484AF"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Punto de Control</w:t>
            </w:r>
          </w:p>
        </w:tc>
        <w:tc>
          <w:tcPr>
            <w:tcW w:w="1668" w:type="dxa"/>
            <w:shd w:val="clear" w:color="auto" w:fill="F2DCDB"/>
            <w:vAlign w:val="center"/>
          </w:tcPr>
          <w:p w14:paraId="51C420D2" w14:textId="0E39C577"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Registro</w:t>
            </w:r>
          </w:p>
        </w:tc>
      </w:tr>
      <w:tr w:rsidR="001928D3" w:rsidRPr="00AD7AA1" w14:paraId="14CACACD" w14:textId="4206F2B7" w:rsidTr="006669C7">
        <w:trPr>
          <w:trHeight w:val="304"/>
        </w:trPr>
        <w:tc>
          <w:tcPr>
            <w:tcW w:w="693" w:type="dxa"/>
            <w:vAlign w:val="center"/>
          </w:tcPr>
          <w:p w14:paraId="6A9CE0AD" w14:textId="7BEB4124" w:rsidR="003F1C7B" w:rsidRPr="00970120" w:rsidRDefault="00970120" w:rsidP="00970120">
            <w:pPr>
              <w:jc w:val="center"/>
              <w:rPr>
                <w:rFonts w:ascii="Verdana" w:hAnsi="Verdana" w:cs="Arial"/>
                <w:sz w:val="22"/>
                <w:szCs w:val="22"/>
              </w:rPr>
            </w:pPr>
            <w:r>
              <w:rPr>
                <w:rFonts w:ascii="Verdana" w:hAnsi="Verdana" w:cs="Arial"/>
                <w:sz w:val="22"/>
                <w:szCs w:val="22"/>
              </w:rPr>
              <w:t>1</w:t>
            </w:r>
          </w:p>
        </w:tc>
        <w:tc>
          <w:tcPr>
            <w:tcW w:w="4156" w:type="dxa"/>
            <w:vAlign w:val="center"/>
          </w:tcPr>
          <w:p w14:paraId="1F644EC7" w14:textId="6E8B5277" w:rsidR="003F1C7B" w:rsidRPr="00970120" w:rsidRDefault="00970120" w:rsidP="00970120">
            <w:pPr>
              <w:rPr>
                <w:rFonts w:ascii="Verdana" w:hAnsi="Verdana" w:cs="Arial"/>
                <w:sz w:val="22"/>
                <w:szCs w:val="22"/>
              </w:rPr>
            </w:pPr>
            <w:r>
              <w:rPr>
                <w:rFonts w:ascii="Verdana" w:hAnsi="Verdana" w:cs="Arial"/>
                <w:sz w:val="22"/>
                <w:szCs w:val="22"/>
              </w:rPr>
              <w:t>Inicio</w:t>
            </w:r>
          </w:p>
        </w:tc>
        <w:tc>
          <w:tcPr>
            <w:tcW w:w="1993" w:type="dxa"/>
            <w:vAlign w:val="center"/>
          </w:tcPr>
          <w:p w14:paraId="2E7E2891" w14:textId="2C5B5D85" w:rsidR="003F1C7B" w:rsidRPr="00970120" w:rsidRDefault="003F1C7B" w:rsidP="00970120">
            <w:pPr>
              <w:jc w:val="center"/>
              <w:rPr>
                <w:rFonts w:ascii="Verdana" w:hAnsi="Verdana" w:cs="Arial"/>
                <w:sz w:val="22"/>
                <w:szCs w:val="22"/>
              </w:rPr>
            </w:pPr>
          </w:p>
        </w:tc>
        <w:tc>
          <w:tcPr>
            <w:tcW w:w="1119" w:type="dxa"/>
            <w:vAlign w:val="center"/>
          </w:tcPr>
          <w:p w14:paraId="38E71985" w14:textId="2C64A6AF" w:rsidR="003F1C7B" w:rsidRPr="00970120" w:rsidRDefault="003F1C7B" w:rsidP="00970120">
            <w:pPr>
              <w:jc w:val="center"/>
              <w:rPr>
                <w:rFonts w:ascii="Verdana" w:hAnsi="Verdana" w:cs="Arial"/>
                <w:sz w:val="22"/>
                <w:szCs w:val="22"/>
              </w:rPr>
            </w:pPr>
          </w:p>
        </w:tc>
        <w:tc>
          <w:tcPr>
            <w:tcW w:w="1668" w:type="dxa"/>
            <w:vAlign w:val="center"/>
          </w:tcPr>
          <w:p w14:paraId="43CD4441" w14:textId="4B0C27EE" w:rsidR="003F1C7B" w:rsidRPr="00970120" w:rsidRDefault="003F1C7B" w:rsidP="00970120">
            <w:pPr>
              <w:jc w:val="center"/>
              <w:rPr>
                <w:rFonts w:ascii="Verdana" w:hAnsi="Verdana" w:cs="Arial"/>
                <w:sz w:val="22"/>
                <w:szCs w:val="22"/>
              </w:rPr>
            </w:pPr>
          </w:p>
        </w:tc>
      </w:tr>
      <w:tr w:rsidR="00955F79" w:rsidRPr="00AD7AA1" w14:paraId="25F08546" w14:textId="77777777" w:rsidTr="006669C7">
        <w:trPr>
          <w:trHeight w:val="304"/>
        </w:trPr>
        <w:tc>
          <w:tcPr>
            <w:tcW w:w="693" w:type="dxa"/>
            <w:vAlign w:val="center"/>
          </w:tcPr>
          <w:p w14:paraId="112A04DE" w14:textId="0B2EFD7D" w:rsidR="00955F79" w:rsidRPr="00970120" w:rsidRDefault="00955F79" w:rsidP="00955F79">
            <w:pPr>
              <w:jc w:val="center"/>
              <w:rPr>
                <w:rFonts w:ascii="Verdana" w:hAnsi="Verdana" w:cs="Arial"/>
                <w:sz w:val="22"/>
                <w:szCs w:val="22"/>
              </w:rPr>
            </w:pPr>
            <w:r>
              <w:rPr>
                <w:rFonts w:ascii="Verdana" w:hAnsi="Verdana" w:cs="Arial"/>
                <w:sz w:val="22"/>
                <w:szCs w:val="22"/>
              </w:rPr>
              <w:t>2</w:t>
            </w:r>
          </w:p>
        </w:tc>
        <w:tc>
          <w:tcPr>
            <w:tcW w:w="4156" w:type="dxa"/>
            <w:vAlign w:val="center"/>
          </w:tcPr>
          <w:p w14:paraId="234AE64C" w14:textId="4C0E75A0" w:rsidR="00955F79" w:rsidRPr="008132B9" w:rsidRDefault="00955F79" w:rsidP="00955F79">
            <w:pPr>
              <w:jc w:val="both"/>
              <w:rPr>
                <w:rFonts w:ascii="Verdana" w:hAnsi="Verdana" w:cs="Arial"/>
                <w:b/>
                <w:bCs/>
                <w:sz w:val="22"/>
                <w:szCs w:val="22"/>
              </w:rPr>
            </w:pPr>
            <w:r>
              <w:rPr>
                <w:rFonts w:ascii="Verdana" w:hAnsi="Verdana" w:cs="Arial"/>
                <w:b/>
                <w:bCs/>
                <w:sz w:val="22"/>
                <w:szCs w:val="22"/>
              </w:rPr>
              <w:t>Remitir el proceso de recuperación empresarial abreviado a la Dirección o Grupo correspondiente</w:t>
            </w:r>
          </w:p>
          <w:p w14:paraId="0B71C53C" w14:textId="77777777" w:rsidR="00955F79" w:rsidRDefault="00955F79" w:rsidP="00955F79">
            <w:pPr>
              <w:jc w:val="both"/>
              <w:rPr>
                <w:rFonts w:ascii="Verdana" w:hAnsi="Verdana" w:cs="Arial"/>
                <w:sz w:val="22"/>
                <w:szCs w:val="22"/>
              </w:rPr>
            </w:pPr>
            <w:r w:rsidRPr="005F27B2">
              <w:rPr>
                <w:rFonts w:ascii="Verdana" w:hAnsi="Verdana" w:cs="Arial"/>
                <w:sz w:val="22"/>
                <w:szCs w:val="22"/>
              </w:rPr>
              <w:t xml:space="preserve">Ejecutoriado el auto de admisión, el Grupo de Admisiones remite el acta que contiene la información contable, económica y jurídica que </w:t>
            </w:r>
            <w:r>
              <w:rPr>
                <w:rFonts w:ascii="Verdana" w:hAnsi="Verdana" w:cs="Arial"/>
                <w:sz w:val="22"/>
                <w:szCs w:val="22"/>
              </w:rPr>
              <w:t>s</w:t>
            </w:r>
            <w:r w:rsidRPr="005F27B2">
              <w:rPr>
                <w:rFonts w:ascii="Verdana" w:hAnsi="Verdana" w:cs="Arial"/>
                <w:sz w:val="22"/>
                <w:szCs w:val="22"/>
              </w:rPr>
              <w:t>e</w:t>
            </w:r>
            <w:r>
              <w:rPr>
                <w:rFonts w:ascii="Verdana" w:hAnsi="Verdana" w:cs="Arial"/>
                <w:sz w:val="22"/>
                <w:szCs w:val="22"/>
              </w:rPr>
              <w:t xml:space="preserve"> debe</w:t>
            </w:r>
            <w:r w:rsidRPr="005F27B2">
              <w:rPr>
                <w:rFonts w:ascii="Verdana" w:hAnsi="Verdana" w:cs="Arial"/>
                <w:sz w:val="22"/>
                <w:szCs w:val="22"/>
              </w:rPr>
              <w:t xml:space="preserve"> verificar, así como el cumplimiento de las órdenes impartidas en el auto de admisión.</w:t>
            </w:r>
          </w:p>
          <w:p w14:paraId="14096FE0" w14:textId="4AD854FB" w:rsidR="00955F79" w:rsidRPr="00970120" w:rsidRDefault="00955F79" w:rsidP="00955F79">
            <w:pPr>
              <w:jc w:val="both"/>
              <w:rPr>
                <w:rFonts w:ascii="Verdana" w:hAnsi="Verdana" w:cs="Arial"/>
                <w:b/>
                <w:bCs/>
                <w:sz w:val="22"/>
                <w:szCs w:val="22"/>
              </w:rPr>
            </w:pPr>
          </w:p>
        </w:tc>
        <w:tc>
          <w:tcPr>
            <w:tcW w:w="1993" w:type="dxa"/>
            <w:vAlign w:val="center"/>
          </w:tcPr>
          <w:p w14:paraId="491592D5" w14:textId="26A8372F" w:rsidR="00955F79" w:rsidRPr="00970120" w:rsidRDefault="00955F79" w:rsidP="00955F79">
            <w:pPr>
              <w:jc w:val="center"/>
              <w:rPr>
                <w:rFonts w:ascii="Verdana" w:hAnsi="Verdana" w:cs="Arial"/>
                <w:sz w:val="22"/>
                <w:szCs w:val="22"/>
              </w:rPr>
            </w:pPr>
            <w:r>
              <w:rPr>
                <w:rFonts w:ascii="Verdana" w:hAnsi="Verdana" w:cs="Arial"/>
                <w:sz w:val="22"/>
                <w:szCs w:val="22"/>
              </w:rPr>
              <w:t>Grupo de Admisiones</w:t>
            </w:r>
          </w:p>
        </w:tc>
        <w:tc>
          <w:tcPr>
            <w:tcW w:w="1119" w:type="dxa"/>
            <w:vAlign w:val="center"/>
          </w:tcPr>
          <w:p w14:paraId="5BAEC088" w14:textId="1E59DC3E" w:rsidR="00955F79" w:rsidRPr="00970120" w:rsidRDefault="00955F79" w:rsidP="00955F79">
            <w:pPr>
              <w:jc w:val="center"/>
              <w:rPr>
                <w:rFonts w:ascii="Verdana" w:hAnsi="Verdana" w:cs="Arial"/>
                <w:sz w:val="22"/>
                <w:szCs w:val="22"/>
              </w:rPr>
            </w:pPr>
            <w:r>
              <w:rPr>
                <w:rFonts w:ascii="Verdana" w:hAnsi="Verdana" w:cs="Arial"/>
                <w:sz w:val="22"/>
                <w:szCs w:val="22"/>
              </w:rPr>
              <w:t>No Aplica</w:t>
            </w:r>
          </w:p>
        </w:tc>
        <w:tc>
          <w:tcPr>
            <w:tcW w:w="1668" w:type="dxa"/>
            <w:vAlign w:val="center"/>
          </w:tcPr>
          <w:p w14:paraId="5A1D025D" w14:textId="78630C03" w:rsidR="00955F79" w:rsidRPr="00970120" w:rsidRDefault="00955F79" w:rsidP="00955F79">
            <w:pPr>
              <w:jc w:val="center"/>
              <w:rPr>
                <w:rFonts w:ascii="Verdana" w:hAnsi="Verdana" w:cs="Arial"/>
                <w:sz w:val="22"/>
                <w:szCs w:val="22"/>
              </w:rPr>
            </w:pPr>
            <w:r w:rsidRPr="00F27226">
              <w:rPr>
                <w:rFonts w:ascii="Verdana" w:hAnsi="Verdana" w:cs="Arial"/>
                <w:sz w:val="22"/>
                <w:szCs w:val="22"/>
              </w:rPr>
              <w:t>Correo electrónico</w:t>
            </w:r>
          </w:p>
        </w:tc>
      </w:tr>
      <w:tr w:rsidR="00955F79" w:rsidRPr="00AD7AA1" w14:paraId="4379E547" w14:textId="77777777" w:rsidTr="006669C7">
        <w:trPr>
          <w:trHeight w:val="304"/>
        </w:trPr>
        <w:tc>
          <w:tcPr>
            <w:tcW w:w="693" w:type="dxa"/>
            <w:vAlign w:val="center"/>
          </w:tcPr>
          <w:p w14:paraId="347F7707" w14:textId="2A020D5F" w:rsidR="00955F79" w:rsidRDefault="00955F79" w:rsidP="00955F79">
            <w:pPr>
              <w:jc w:val="center"/>
              <w:rPr>
                <w:rFonts w:ascii="Verdana" w:hAnsi="Verdana" w:cs="Arial"/>
                <w:sz w:val="22"/>
                <w:szCs w:val="22"/>
              </w:rPr>
            </w:pPr>
            <w:r>
              <w:rPr>
                <w:rFonts w:ascii="Verdana" w:hAnsi="Verdana" w:cs="Arial"/>
                <w:sz w:val="22"/>
                <w:szCs w:val="22"/>
              </w:rPr>
              <w:t>3</w:t>
            </w:r>
          </w:p>
        </w:tc>
        <w:tc>
          <w:tcPr>
            <w:tcW w:w="4156" w:type="dxa"/>
            <w:vAlign w:val="center"/>
          </w:tcPr>
          <w:p w14:paraId="57FB84D7" w14:textId="77777777" w:rsidR="00955F79" w:rsidRPr="005F27B2" w:rsidRDefault="00955F79" w:rsidP="00955F79">
            <w:pPr>
              <w:jc w:val="both"/>
              <w:rPr>
                <w:rFonts w:ascii="Verdana" w:hAnsi="Verdana" w:cs="Arial"/>
                <w:b/>
                <w:bCs/>
                <w:sz w:val="22"/>
                <w:szCs w:val="22"/>
              </w:rPr>
            </w:pPr>
            <w:r w:rsidRPr="005F27B2">
              <w:rPr>
                <w:rFonts w:ascii="Verdana" w:hAnsi="Verdana" w:cs="Arial"/>
                <w:b/>
                <w:bCs/>
                <w:sz w:val="22"/>
                <w:szCs w:val="22"/>
              </w:rPr>
              <w:t>Verificar los aspectos financieros, económicos y jurídicos del deudor</w:t>
            </w:r>
          </w:p>
          <w:p w14:paraId="67241A3F" w14:textId="77777777" w:rsidR="00955F79" w:rsidRPr="00F27226" w:rsidRDefault="00955F79" w:rsidP="00955F79">
            <w:pPr>
              <w:jc w:val="both"/>
              <w:rPr>
                <w:rFonts w:ascii="Verdana" w:hAnsi="Verdana" w:cs="Arial"/>
                <w:sz w:val="22"/>
                <w:szCs w:val="22"/>
                <w:u w:val="single"/>
              </w:rPr>
            </w:pPr>
            <w:r>
              <w:rPr>
                <w:rFonts w:ascii="Verdana" w:hAnsi="Verdana" w:cs="Arial"/>
                <w:sz w:val="22"/>
                <w:szCs w:val="22"/>
              </w:rPr>
              <w:t>Luego de recibir el auto de admisión se procede a</w:t>
            </w:r>
            <w:r w:rsidRPr="005F27B2">
              <w:rPr>
                <w:rFonts w:ascii="Verdana" w:hAnsi="Verdana" w:cs="Arial"/>
                <w:sz w:val="22"/>
                <w:szCs w:val="22"/>
              </w:rPr>
              <w:t xml:space="preserve"> estudia</w:t>
            </w:r>
            <w:r>
              <w:rPr>
                <w:rFonts w:ascii="Verdana" w:hAnsi="Verdana" w:cs="Arial"/>
                <w:sz w:val="22"/>
                <w:szCs w:val="22"/>
              </w:rPr>
              <w:t>r</w:t>
            </w:r>
            <w:r w:rsidRPr="005F27B2">
              <w:rPr>
                <w:rFonts w:ascii="Verdana" w:hAnsi="Verdana" w:cs="Arial"/>
                <w:sz w:val="22"/>
                <w:szCs w:val="22"/>
              </w:rPr>
              <w:t xml:space="preserve"> el inventario de activos y pasivos</w:t>
            </w:r>
            <w:r>
              <w:rPr>
                <w:rFonts w:ascii="Verdana" w:hAnsi="Verdana" w:cs="Arial"/>
                <w:sz w:val="22"/>
                <w:szCs w:val="22"/>
              </w:rPr>
              <w:t xml:space="preserve"> del deudor</w:t>
            </w:r>
            <w:r w:rsidRPr="00783A76">
              <w:rPr>
                <w:rFonts w:ascii="Verdana" w:hAnsi="Verdana" w:cs="Arial"/>
                <w:sz w:val="22"/>
                <w:szCs w:val="22"/>
              </w:rPr>
              <w:t>. Si no se presenta la información, se proyecta auto requiriendo al deudor, so pena de multa. Si se presenta, y la información está incompleta, se requiere al deudor para que realice los ajustes correspondientes.</w:t>
            </w:r>
          </w:p>
          <w:p w14:paraId="1906207C" w14:textId="3C69ABE8" w:rsidR="00955F79" w:rsidRPr="00970120" w:rsidRDefault="00955F79" w:rsidP="00955F79">
            <w:pPr>
              <w:jc w:val="both"/>
              <w:rPr>
                <w:rFonts w:ascii="Verdana" w:hAnsi="Verdana" w:cs="Arial"/>
                <w:b/>
                <w:bCs/>
                <w:sz w:val="22"/>
                <w:szCs w:val="22"/>
              </w:rPr>
            </w:pPr>
          </w:p>
        </w:tc>
        <w:tc>
          <w:tcPr>
            <w:tcW w:w="1993" w:type="dxa"/>
            <w:vAlign w:val="center"/>
          </w:tcPr>
          <w:p w14:paraId="1B18FFD4" w14:textId="6F0FE389" w:rsidR="00955F79" w:rsidRPr="00970120" w:rsidRDefault="00955F79" w:rsidP="00955F79">
            <w:pPr>
              <w:jc w:val="center"/>
              <w:rPr>
                <w:rFonts w:ascii="Verdana" w:hAnsi="Verdana" w:cs="Arial"/>
                <w:sz w:val="22"/>
                <w:szCs w:val="22"/>
              </w:rPr>
            </w:pPr>
            <w:r>
              <w:rPr>
                <w:rFonts w:ascii="Verdana" w:hAnsi="Verdana" w:cs="Arial"/>
                <w:sz w:val="22"/>
                <w:szCs w:val="22"/>
              </w:rPr>
              <w:t>Dirección o Grupo de Reorganización correspondiente</w:t>
            </w:r>
          </w:p>
        </w:tc>
        <w:tc>
          <w:tcPr>
            <w:tcW w:w="1119" w:type="dxa"/>
            <w:vAlign w:val="center"/>
          </w:tcPr>
          <w:p w14:paraId="291B2622" w14:textId="4F98FA40" w:rsidR="00955F79" w:rsidRDefault="00955F79" w:rsidP="00955F79">
            <w:pPr>
              <w:jc w:val="center"/>
              <w:rPr>
                <w:rFonts w:ascii="Verdana" w:hAnsi="Verdana" w:cs="Arial"/>
                <w:sz w:val="22"/>
                <w:szCs w:val="22"/>
              </w:rPr>
            </w:pPr>
            <w:r w:rsidRPr="005F27B2">
              <w:rPr>
                <w:rFonts w:ascii="Verdana" w:hAnsi="Verdana" w:cs="Arial"/>
                <w:sz w:val="22"/>
                <w:szCs w:val="22"/>
              </w:rPr>
              <w:t>X</w:t>
            </w:r>
          </w:p>
        </w:tc>
        <w:tc>
          <w:tcPr>
            <w:tcW w:w="1668" w:type="dxa"/>
            <w:vAlign w:val="center"/>
          </w:tcPr>
          <w:p w14:paraId="1192B016" w14:textId="3AC55047" w:rsidR="00955F79" w:rsidRPr="00970120" w:rsidRDefault="00955F79" w:rsidP="00955F79">
            <w:pPr>
              <w:jc w:val="center"/>
              <w:rPr>
                <w:rFonts w:ascii="Verdana" w:hAnsi="Verdana" w:cs="Arial"/>
                <w:sz w:val="22"/>
                <w:szCs w:val="22"/>
                <w:highlight w:val="yellow"/>
              </w:rPr>
            </w:pPr>
            <w:r>
              <w:rPr>
                <w:rFonts w:ascii="Verdana" w:hAnsi="Verdana" w:cs="Arial"/>
                <w:sz w:val="22"/>
                <w:szCs w:val="22"/>
              </w:rPr>
              <w:t>Auto</w:t>
            </w:r>
          </w:p>
        </w:tc>
      </w:tr>
      <w:tr w:rsidR="006669C7" w:rsidRPr="00AD7AA1" w14:paraId="1718206E" w14:textId="77777777" w:rsidTr="006669C7">
        <w:trPr>
          <w:trHeight w:val="304"/>
        </w:trPr>
        <w:tc>
          <w:tcPr>
            <w:tcW w:w="693" w:type="dxa"/>
            <w:vAlign w:val="center"/>
          </w:tcPr>
          <w:p w14:paraId="4899945E" w14:textId="4FF4E018" w:rsidR="006669C7" w:rsidRPr="00970120" w:rsidRDefault="006669C7" w:rsidP="006669C7">
            <w:pPr>
              <w:jc w:val="center"/>
              <w:rPr>
                <w:rFonts w:ascii="Verdana" w:hAnsi="Verdana" w:cs="Arial"/>
                <w:sz w:val="22"/>
                <w:szCs w:val="22"/>
              </w:rPr>
            </w:pPr>
            <w:r>
              <w:rPr>
                <w:rFonts w:ascii="Verdana" w:hAnsi="Verdana" w:cs="Arial"/>
                <w:sz w:val="22"/>
                <w:szCs w:val="22"/>
              </w:rPr>
              <w:t>4</w:t>
            </w:r>
          </w:p>
        </w:tc>
        <w:tc>
          <w:tcPr>
            <w:tcW w:w="4156" w:type="dxa"/>
            <w:vAlign w:val="center"/>
          </w:tcPr>
          <w:p w14:paraId="6FD3F691" w14:textId="77777777" w:rsidR="006669C7" w:rsidRPr="005F27B2" w:rsidRDefault="006669C7" w:rsidP="006669C7">
            <w:pPr>
              <w:jc w:val="both"/>
              <w:rPr>
                <w:rFonts w:ascii="Verdana" w:hAnsi="Verdana" w:cs="Arial"/>
                <w:b/>
                <w:bCs/>
                <w:sz w:val="22"/>
                <w:szCs w:val="22"/>
              </w:rPr>
            </w:pPr>
            <w:r w:rsidRPr="005F27B2">
              <w:rPr>
                <w:rFonts w:ascii="Verdana" w:hAnsi="Verdana" w:cs="Arial"/>
                <w:b/>
                <w:bCs/>
                <w:sz w:val="22"/>
                <w:szCs w:val="22"/>
              </w:rPr>
              <w:t>Presentar el proyecto de calificación y graduación de créditos y derechos de voto</w:t>
            </w:r>
          </w:p>
          <w:p w14:paraId="31A7021A" w14:textId="0B3152A6" w:rsidR="006669C7" w:rsidRPr="005F27B2" w:rsidRDefault="006669C7" w:rsidP="006669C7">
            <w:pPr>
              <w:jc w:val="both"/>
              <w:rPr>
                <w:rFonts w:ascii="Verdana" w:hAnsi="Verdana" w:cs="Arial"/>
                <w:sz w:val="22"/>
                <w:szCs w:val="22"/>
              </w:rPr>
            </w:pPr>
            <w:r w:rsidRPr="005F27B2">
              <w:rPr>
                <w:rFonts w:ascii="Verdana" w:hAnsi="Verdana" w:cs="Arial"/>
                <w:sz w:val="22"/>
                <w:szCs w:val="22"/>
              </w:rPr>
              <w:lastRenderedPageBreak/>
              <w:t>Con base en la información aportada por el deudor, y demás documentos y elementos de prueba, el promotor presenta el proyecto de calificación y graduación de créditos y derechos de voto dentro del plazo asignado por el juez</w:t>
            </w:r>
            <w:r>
              <w:rPr>
                <w:rFonts w:ascii="Verdana" w:hAnsi="Verdana" w:cs="Arial"/>
                <w:sz w:val="22"/>
                <w:szCs w:val="22"/>
              </w:rPr>
              <w:t>.</w:t>
            </w:r>
          </w:p>
          <w:p w14:paraId="6F0868CC" w14:textId="77777777" w:rsidR="006669C7" w:rsidRPr="005F27B2" w:rsidRDefault="006669C7" w:rsidP="006669C7">
            <w:pPr>
              <w:jc w:val="both"/>
              <w:rPr>
                <w:rFonts w:ascii="Verdana" w:hAnsi="Verdana" w:cs="Arial"/>
                <w:sz w:val="22"/>
                <w:szCs w:val="22"/>
              </w:rPr>
            </w:pPr>
          </w:p>
          <w:p w14:paraId="30A953A5" w14:textId="77777777" w:rsidR="006669C7" w:rsidRDefault="006669C7" w:rsidP="006669C7">
            <w:pPr>
              <w:jc w:val="both"/>
              <w:rPr>
                <w:rFonts w:ascii="Verdana" w:hAnsi="Verdana" w:cs="Arial"/>
                <w:sz w:val="22"/>
                <w:szCs w:val="22"/>
              </w:rPr>
            </w:pPr>
            <w:r w:rsidRPr="005F27B2">
              <w:rPr>
                <w:rFonts w:ascii="Verdana" w:hAnsi="Verdana" w:cs="Arial"/>
                <w:sz w:val="22"/>
                <w:szCs w:val="22"/>
              </w:rPr>
              <w:t>El proyecto de calificación y graduación de créditos y derechos de voto podrá ser objetado, para lo cual se dará traslado para que los acreedores se pronuncien</w:t>
            </w:r>
            <w:r>
              <w:rPr>
                <w:rFonts w:ascii="Verdana" w:hAnsi="Verdana" w:cs="Arial"/>
                <w:sz w:val="22"/>
                <w:szCs w:val="22"/>
              </w:rPr>
              <w:t>, aportando las pruebas documentales a que haya lugar, siguiendo lo establecido en el artículo 29 de la Ley 1116 de 2006.</w:t>
            </w:r>
          </w:p>
          <w:p w14:paraId="6AFAAC64" w14:textId="77777777" w:rsidR="006669C7" w:rsidRDefault="006669C7" w:rsidP="006669C7">
            <w:pPr>
              <w:jc w:val="both"/>
              <w:rPr>
                <w:rFonts w:ascii="Verdana" w:hAnsi="Verdana" w:cs="Arial"/>
                <w:sz w:val="22"/>
                <w:szCs w:val="22"/>
              </w:rPr>
            </w:pPr>
          </w:p>
          <w:p w14:paraId="2DB47529" w14:textId="77777777" w:rsidR="006669C7" w:rsidRDefault="006669C7" w:rsidP="006669C7">
            <w:pPr>
              <w:jc w:val="both"/>
              <w:rPr>
                <w:rFonts w:ascii="Verdana" w:hAnsi="Verdana" w:cs="Arial"/>
                <w:sz w:val="22"/>
                <w:szCs w:val="22"/>
              </w:rPr>
            </w:pPr>
            <w:r>
              <w:rPr>
                <w:rFonts w:ascii="Verdana" w:hAnsi="Verdana" w:cs="Arial"/>
                <w:sz w:val="22"/>
                <w:szCs w:val="22"/>
              </w:rPr>
              <w:t>¿Se presentaron objeciones al proyecto de calificación y graduación de créditos?</w:t>
            </w:r>
          </w:p>
          <w:p w14:paraId="7EFF710B" w14:textId="77777777" w:rsidR="006669C7" w:rsidRDefault="006669C7" w:rsidP="006669C7">
            <w:pPr>
              <w:jc w:val="both"/>
              <w:rPr>
                <w:rFonts w:ascii="Verdana" w:hAnsi="Verdana" w:cs="Arial"/>
                <w:sz w:val="22"/>
                <w:szCs w:val="22"/>
              </w:rPr>
            </w:pPr>
            <w:r>
              <w:rPr>
                <w:rFonts w:ascii="Verdana" w:hAnsi="Verdana" w:cs="Arial"/>
                <w:sz w:val="22"/>
                <w:szCs w:val="22"/>
              </w:rPr>
              <w:t>SI: Continuar a la actividad 5.</w:t>
            </w:r>
          </w:p>
          <w:p w14:paraId="28A0BA51" w14:textId="77777777" w:rsidR="006669C7" w:rsidRDefault="006669C7" w:rsidP="006669C7">
            <w:pPr>
              <w:jc w:val="both"/>
              <w:rPr>
                <w:rFonts w:ascii="Verdana" w:hAnsi="Verdana" w:cs="Arial"/>
                <w:sz w:val="22"/>
                <w:szCs w:val="22"/>
              </w:rPr>
            </w:pPr>
            <w:r>
              <w:rPr>
                <w:rFonts w:ascii="Verdana" w:hAnsi="Verdana" w:cs="Arial"/>
                <w:sz w:val="22"/>
                <w:szCs w:val="22"/>
              </w:rPr>
              <w:t>NO:</w:t>
            </w:r>
            <w:r w:rsidRPr="005F27B2">
              <w:rPr>
                <w:rFonts w:ascii="Verdana" w:hAnsi="Verdana" w:cs="Arial"/>
                <w:sz w:val="22"/>
                <w:szCs w:val="22"/>
              </w:rPr>
              <w:t xml:space="preserve"> </w:t>
            </w:r>
            <w:r>
              <w:rPr>
                <w:rFonts w:ascii="Verdana" w:hAnsi="Verdana" w:cs="Arial"/>
                <w:sz w:val="22"/>
                <w:szCs w:val="22"/>
              </w:rPr>
              <w:t>E</w:t>
            </w:r>
            <w:r w:rsidRPr="005F27B2">
              <w:rPr>
                <w:rFonts w:ascii="Verdana" w:hAnsi="Verdana" w:cs="Arial"/>
                <w:sz w:val="22"/>
                <w:szCs w:val="22"/>
              </w:rPr>
              <w:t xml:space="preserve">l juez reconocerá los créditos, establecerá los derechos de voto y fijará el plazo para la presentación del acuerdo </w:t>
            </w:r>
            <w:r>
              <w:rPr>
                <w:rFonts w:ascii="Verdana" w:hAnsi="Verdana" w:cs="Arial"/>
                <w:sz w:val="22"/>
                <w:szCs w:val="22"/>
              </w:rPr>
              <w:t>de reorganización</w:t>
            </w:r>
            <w:r w:rsidRPr="005F27B2">
              <w:rPr>
                <w:rFonts w:ascii="Verdana" w:hAnsi="Verdana" w:cs="Arial"/>
                <w:sz w:val="22"/>
                <w:szCs w:val="22"/>
              </w:rPr>
              <w:t>.</w:t>
            </w:r>
          </w:p>
          <w:p w14:paraId="46DDC479" w14:textId="72C93235" w:rsidR="006669C7" w:rsidRPr="0008132E" w:rsidRDefault="006669C7" w:rsidP="006669C7">
            <w:pPr>
              <w:jc w:val="both"/>
              <w:rPr>
                <w:rFonts w:ascii="Verdana" w:hAnsi="Verdana" w:cs="Arial"/>
                <w:sz w:val="22"/>
                <w:szCs w:val="22"/>
              </w:rPr>
            </w:pPr>
          </w:p>
        </w:tc>
        <w:tc>
          <w:tcPr>
            <w:tcW w:w="1993" w:type="dxa"/>
            <w:vAlign w:val="center"/>
          </w:tcPr>
          <w:p w14:paraId="44C72621" w14:textId="39189110" w:rsidR="006669C7" w:rsidRPr="00970120" w:rsidRDefault="006669C7" w:rsidP="006669C7">
            <w:pPr>
              <w:jc w:val="center"/>
              <w:rPr>
                <w:rFonts w:ascii="Verdana" w:hAnsi="Verdana" w:cs="Arial"/>
                <w:sz w:val="22"/>
                <w:szCs w:val="22"/>
              </w:rPr>
            </w:pPr>
            <w:r w:rsidRPr="00F27226">
              <w:rPr>
                <w:rFonts w:ascii="Verdana" w:hAnsi="Verdana" w:cs="Arial"/>
                <w:sz w:val="22"/>
                <w:szCs w:val="22"/>
              </w:rPr>
              <w:lastRenderedPageBreak/>
              <w:t>Promotor</w:t>
            </w:r>
          </w:p>
        </w:tc>
        <w:tc>
          <w:tcPr>
            <w:tcW w:w="1119" w:type="dxa"/>
            <w:vAlign w:val="center"/>
          </w:tcPr>
          <w:p w14:paraId="270EA777" w14:textId="7E81F245" w:rsidR="006669C7" w:rsidRPr="00970120" w:rsidRDefault="006669C7" w:rsidP="006669C7">
            <w:pPr>
              <w:jc w:val="center"/>
              <w:rPr>
                <w:rFonts w:ascii="Verdana" w:hAnsi="Verdana" w:cs="Arial"/>
                <w:sz w:val="22"/>
                <w:szCs w:val="22"/>
              </w:rPr>
            </w:pPr>
            <w:r>
              <w:rPr>
                <w:rFonts w:ascii="Verdana" w:hAnsi="Verdana" w:cs="Arial"/>
                <w:sz w:val="22"/>
                <w:szCs w:val="22"/>
              </w:rPr>
              <w:t>X</w:t>
            </w:r>
          </w:p>
        </w:tc>
        <w:tc>
          <w:tcPr>
            <w:tcW w:w="1668" w:type="dxa"/>
            <w:vAlign w:val="center"/>
          </w:tcPr>
          <w:p w14:paraId="5A382AA4" w14:textId="77777777" w:rsidR="006669C7" w:rsidRDefault="006669C7" w:rsidP="006669C7">
            <w:pPr>
              <w:jc w:val="center"/>
              <w:rPr>
                <w:rFonts w:ascii="Verdana" w:hAnsi="Verdana" w:cs="Arial"/>
                <w:sz w:val="22"/>
                <w:szCs w:val="22"/>
              </w:rPr>
            </w:pPr>
            <w:r w:rsidRPr="005F27B2">
              <w:rPr>
                <w:rFonts w:ascii="Verdana" w:hAnsi="Verdana" w:cs="Arial"/>
                <w:sz w:val="22"/>
                <w:szCs w:val="22"/>
              </w:rPr>
              <w:t xml:space="preserve">Proyecto de calificación y graduación </w:t>
            </w:r>
            <w:r w:rsidRPr="005F27B2">
              <w:rPr>
                <w:rFonts w:ascii="Verdana" w:hAnsi="Verdana" w:cs="Arial"/>
                <w:sz w:val="22"/>
                <w:szCs w:val="22"/>
              </w:rPr>
              <w:lastRenderedPageBreak/>
              <w:t>de créditos y derechos de voto presentado</w:t>
            </w:r>
            <w:r>
              <w:rPr>
                <w:rFonts w:ascii="Verdana" w:hAnsi="Verdana" w:cs="Arial"/>
                <w:sz w:val="22"/>
                <w:szCs w:val="22"/>
              </w:rPr>
              <w:t>,</w:t>
            </w:r>
          </w:p>
          <w:p w14:paraId="783B5426" w14:textId="37C8ACDF" w:rsidR="006669C7" w:rsidRPr="00970120" w:rsidRDefault="006669C7" w:rsidP="006669C7">
            <w:pPr>
              <w:jc w:val="center"/>
              <w:rPr>
                <w:rFonts w:ascii="Verdana" w:hAnsi="Verdana" w:cs="Arial"/>
                <w:sz w:val="22"/>
                <w:szCs w:val="22"/>
              </w:rPr>
            </w:pPr>
            <w:r w:rsidRPr="00F27226">
              <w:rPr>
                <w:rFonts w:ascii="Verdana" w:hAnsi="Verdana" w:cs="Arial"/>
                <w:sz w:val="22"/>
                <w:szCs w:val="22"/>
              </w:rPr>
              <w:t>medio por el que se corre traslado</w:t>
            </w:r>
          </w:p>
        </w:tc>
      </w:tr>
      <w:tr w:rsidR="006669C7" w:rsidRPr="00AD7AA1" w14:paraId="4FB0FA21" w14:textId="77777777" w:rsidTr="006669C7">
        <w:trPr>
          <w:trHeight w:val="304"/>
        </w:trPr>
        <w:tc>
          <w:tcPr>
            <w:tcW w:w="693" w:type="dxa"/>
            <w:vAlign w:val="center"/>
          </w:tcPr>
          <w:p w14:paraId="303920F5" w14:textId="5378B31B" w:rsidR="006669C7" w:rsidRDefault="006669C7" w:rsidP="006669C7">
            <w:pPr>
              <w:jc w:val="center"/>
              <w:rPr>
                <w:rFonts w:ascii="Verdana" w:hAnsi="Verdana" w:cs="Arial"/>
                <w:sz w:val="22"/>
                <w:szCs w:val="22"/>
              </w:rPr>
            </w:pPr>
            <w:r>
              <w:rPr>
                <w:rFonts w:ascii="Verdana" w:hAnsi="Verdana" w:cs="Arial"/>
                <w:sz w:val="22"/>
                <w:szCs w:val="22"/>
              </w:rPr>
              <w:lastRenderedPageBreak/>
              <w:t>5</w:t>
            </w:r>
          </w:p>
        </w:tc>
        <w:tc>
          <w:tcPr>
            <w:tcW w:w="4156" w:type="dxa"/>
            <w:vAlign w:val="center"/>
          </w:tcPr>
          <w:p w14:paraId="6E2B90F6" w14:textId="7849C2CA" w:rsidR="006669C7" w:rsidRPr="00CF14C6" w:rsidRDefault="006669C7" w:rsidP="006669C7">
            <w:pPr>
              <w:jc w:val="both"/>
              <w:rPr>
                <w:rFonts w:ascii="Verdana" w:hAnsi="Verdana" w:cs="Arial"/>
                <w:b/>
                <w:bCs/>
                <w:sz w:val="22"/>
                <w:szCs w:val="22"/>
              </w:rPr>
            </w:pPr>
            <w:r w:rsidRPr="00CF14C6">
              <w:rPr>
                <w:rFonts w:ascii="Verdana" w:hAnsi="Verdana" w:cs="Arial"/>
                <w:b/>
                <w:bCs/>
                <w:sz w:val="22"/>
                <w:szCs w:val="22"/>
              </w:rPr>
              <w:t xml:space="preserve">Celebrar </w:t>
            </w:r>
            <w:r>
              <w:rPr>
                <w:rFonts w:ascii="Verdana" w:hAnsi="Verdana" w:cs="Arial"/>
                <w:b/>
                <w:bCs/>
                <w:sz w:val="22"/>
                <w:szCs w:val="22"/>
              </w:rPr>
              <w:t>una</w:t>
            </w:r>
            <w:r w:rsidRPr="00CF14C6">
              <w:rPr>
                <w:rFonts w:ascii="Verdana" w:hAnsi="Verdana" w:cs="Arial"/>
                <w:b/>
                <w:bCs/>
                <w:sz w:val="22"/>
                <w:szCs w:val="22"/>
              </w:rPr>
              <w:t xml:space="preserve"> reunión de conciliación</w:t>
            </w:r>
          </w:p>
          <w:p w14:paraId="186510CD" w14:textId="0FD1CD9E" w:rsidR="006669C7" w:rsidRDefault="006669C7" w:rsidP="006669C7">
            <w:pPr>
              <w:jc w:val="both"/>
              <w:rPr>
                <w:rFonts w:ascii="Verdana" w:hAnsi="Verdana" w:cs="Arial"/>
                <w:sz w:val="22"/>
                <w:szCs w:val="22"/>
              </w:rPr>
            </w:pPr>
            <w:r>
              <w:rPr>
                <w:rFonts w:ascii="Verdana" w:hAnsi="Verdana" w:cs="Arial"/>
                <w:sz w:val="22"/>
                <w:szCs w:val="22"/>
              </w:rPr>
              <w:t>Se celebra una reunión de conciliación a partir del auto de admisión en un plazo máximo de 3 meses</w:t>
            </w:r>
            <w:r w:rsidR="006E42CD">
              <w:rPr>
                <w:rFonts w:ascii="Verdana" w:hAnsi="Verdana" w:cs="Arial"/>
                <w:sz w:val="22"/>
                <w:szCs w:val="22"/>
              </w:rPr>
              <w:t>, de acuerdo con lo establecido en el parágrafo 1 del artículo 18 de la Ley 2437 de 2024</w:t>
            </w:r>
            <w:r>
              <w:rPr>
                <w:rFonts w:ascii="Verdana" w:hAnsi="Verdana" w:cs="Arial"/>
                <w:sz w:val="22"/>
                <w:szCs w:val="22"/>
              </w:rPr>
              <w:t>. Posteriormente, se presenta el acta de conciliación del acuerdo a los 3 días siguientes a la reunión de conciliación.</w:t>
            </w:r>
          </w:p>
          <w:p w14:paraId="1AB227EE" w14:textId="78423D72" w:rsidR="006669C7" w:rsidRDefault="006669C7" w:rsidP="006669C7">
            <w:pPr>
              <w:jc w:val="both"/>
              <w:rPr>
                <w:rFonts w:ascii="Verdana" w:hAnsi="Verdana" w:cs="Arial"/>
                <w:b/>
                <w:bCs/>
                <w:sz w:val="22"/>
                <w:szCs w:val="22"/>
              </w:rPr>
            </w:pPr>
            <w:r>
              <w:rPr>
                <w:rFonts w:ascii="Verdana" w:hAnsi="Verdana" w:cs="Arial"/>
                <w:sz w:val="22"/>
                <w:szCs w:val="22"/>
              </w:rPr>
              <w:t xml:space="preserve"> </w:t>
            </w:r>
          </w:p>
        </w:tc>
        <w:tc>
          <w:tcPr>
            <w:tcW w:w="1993" w:type="dxa"/>
            <w:vAlign w:val="center"/>
          </w:tcPr>
          <w:p w14:paraId="3FB28F88" w14:textId="2542DF5A" w:rsidR="006669C7" w:rsidRPr="00F27226" w:rsidRDefault="006669C7" w:rsidP="006669C7">
            <w:pPr>
              <w:jc w:val="center"/>
              <w:rPr>
                <w:rFonts w:ascii="Verdana" w:hAnsi="Verdana" w:cs="Arial"/>
                <w:sz w:val="22"/>
                <w:szCs w:val="22"/>
              </w:rPr>
            </w:pPr>
            <w:r>
              <w:rPr>
                <w:rFonts w:ascii="Verdana" w:hAnsi="Verdana" w:cs="Arial"/>
                <w:sz w:val="22"/>
                <w:szCs w:val="22"/>
              </w:rPr>
              <w:t>Juez del concurso</w:t>
            </w:r>
          </w:p>
        </w:tc>
        <w:tc>
          <w:tcPr>
            <w:tcW w:w="1119" w:type="dxa"/>
            <w:vAlign w:val="center"/>
          </w:tcPr>
          <w:p w14:paraId="4039257B" w14:textId="7773C393" w:rsidR="006669C7" w:rsidRDefault="006669C7" w:rsidP="006669C7">
            <w:pPr>
              <w:jc w:val="center"/>
              <w:rPr>
                <w:rFonts w:ascii="Verdana" w:hAnsi="Verdana" w:cs="Arial"/>
                <w:sz w:val="22"/>
                <w:szCs w:val="22"/>
              </w:rPr>
            </w:pPr>
            <w:r>
              <w:rPr>
                <w:rFonts w:ascii="Verdana" w:hAnsi="Verdana" w:cs="Arial"/>
                <w:sz w:val="22"/>
                <w:szCs w:val="22"/>
              </w:rPr>
              <w:t>No Aplica</w:t>
            </w:r>
          </w:p>
        </w:tc>
        <w:tc>
          <w:tcPr>
            <w:tcW w:w="1668" w:type="dxa"/>
            <w:vAlign w:val="center"/>
          </w:tcPr>
          <w:p w14:paraId="6B5FA7B0" w14:textId="3FCADFE5" w:rsidR="006669C7" w:rsidRPr="005F27B2" w:rsidRDefault="006669C7" w:rsidP="006669C7">
            <w:pPr>
              <w:jc w:val="center"/>
              <w:rPr>
                <w:rFonts w:ascii="Verdana" w:hAnsi="Verdana" w:cs="Arial"/>
                <w:sz w:val="22"/>
                <w:szCs w:val="22"/>
              </w:rPr>
            </w:pPr>
            <w:r>
              <w:rPr>
                <w:rFonts w:ascii="Verdana" w:hAnsi="Verdana" w:cs="Arial"/>
                <w:sz w:val="22"/>
                <w:szCs w:val="22"/>
              </w:rPr>
              <w:t>Acta de la reunión de conciliación</w:t>
            </w:r>
          </w:p>
        </w:tc>
      </w:tr>
      <w:tr w:rsidR="006669C7" w:rsidRPr="00AD7AA1" w14:paraId="4A4D7997" w14:textId="77777777" w:rsidTr="006669C7">
        <w:trPr>
          <w:trHeight w:val="304"/>
        </w:trPr>
        <w:tc>
          <w:tcPr>
            <w:tcW w:w="693" w:type="dxa"/>
            <w:vAlign w:val="center"/>
          </w:tcPr>
          <w:p w14:paraId="48420AE3" w14:textId="27577547" w:rsidR="006669C7" w:rsidRDefault="006669C7" w:rsidP="006669C7">
            <w:pPr>
              <w:jc w:val="center"/>
              <w:rPr>
                <w:rFonts w:ascii="Verdana" w:hAnsi="Verdana" w:cs="Arial"/>
                <w:sz w:val="22"/>
                <w:szCs w:val="22"/>
              </w:rPr>
            </w:pPr>
            <w:r>
              <w:rPr>
                <w:rFonts w:ascii="Verdana" w:hAnsi="Verdana" w:cs="Arial"/>
                <w:sz w:val="22"/>
                <w:szCs w:val="22"/>
              </w:rPr>
              <w:lastRenderedPageBreak/>
              <w:t>6</w:t>
            </w:r>
          </w:p>
        </w:tc>
        <w:tc>
          <w:tcPr>
            <w:tcW w:w="4156" w:type="dxa"/>
            <w:vAlign w:val="center"/>
          </w:tcPr>
          <w:p w14:paraId="1CB6BB1A" w14:textId="77777777" w:rsidR="006669C7" w:rsidRPr="005F27B2" w:rsidRDefault="006669C7" w:rsidP="006669C7">
            <w:pPr>
              <w:jc w:val="both"/>
              <w:rPr>
                <w:rFonts w:ascii="Verdana" w:hAnsi="Verdana" w:cs="Arial"/>
                <w:b/>
                <w:bCs/>
                <w:sz w:val="22"/>
                <w:szCs w:val="22"/>
              </w:rPr>
            </w:pPr>
            <w:r>
              <w:rPr>
                <w:rFonts w:ascii="Verdana" w:hAnsi="Verdana" w:cs="Arial"/>
                <w:b/>
                <w:bCs/>
                <w:sz w:val="22"/>
                <w:szCs w:val="22"/>
              </w:rPr>
              <w:t xml:space="preserve">Estudiar las objeciones al </w:t>
            </w:r>
            <w:r w:rsidRPr="005F27B2">
              <w:rPr>
                <w:rFonts w:ascii="Verdana" w:hAnsi="Verdana" w:cs="Arial"/>
                <w:b/>
                <w:bCs/>
                <w:sz w:val="22"/>
                <w:szCs w:val="22"/>
              </w:rPr>
              <w:t>proyecto de calificación y graduación de créditos y derechos de voto</w:t>
            </w:r>
            <w:r>
              <w:rPr>
                <w:rFonts w:ascii="Verdana" w:hAnsi="Verdana" w:cs="Arial"/>
                <w:b/>
                <w:bCs/>
                <w:sz w:val="22"/>
                <w:szCs w:val="22"/>
              </w:rPr>
              <w:t>, y el acuerdo de reorganización</w:t>
            </w:r>
          </w:p>
          <w:p w14:paraId="29349B67" w14:textId="77777777" w:rsidR="006669C7" w:rsidRDefault="006669C7" w:rsidP="006669C7">
            <w:pPr>
              <w:jc w:val="both"/>
              <w:rPr>
                <w:rFonts w:ascii="Verdana" w:hAnsi="Verdana" w:cs="Arial"/>
                <w:sz w:val="22"/>
                <w:szCs w:val="22"/>
              </w:rPr>
            </w:pPr>
            <w:r>
              <w:rPr>
                <w:rFonts w:ascii="Verdana" w:hAnsi="Verdana" w:cs="Arial"/>
                <w:sz w:val="22"/>
                <w:szCs w:val="22"/>
              </w:rPr>
              <w:t>Habiendo presentado el acuerdo de reorganización e</w:t>
            </w:r>
            <w:r w:rsidRPr="00D66368">
              <w:rPr>
                <w:rFonts w:ascii="Verdana" w:hAnsi="Verdana" w:cs="Arial"/>
                <w:sz w:val="22"/>
                <w:szCs w:val="22"/>
              </w:rPr>
              <w:t xml:space="preserve">l </w:t>
            </w:r>
            <w:r>
              <w:rPr>
                <w:rFonts w:ascii="Verdana" w:hAnsi="Verdana" w:cs="Arial"/>
                <w:sz w:val="22"/>
                <w:szCs w:val="22"/>
              </w:rPr>
              <w:t>j</w:t>
            </w:r>
            <w:r w:rsidRPr="00D66368">
              <w:rPr>
                <w:rFonts w:ascii="Verdana" w:hAnsi="Verdana" w:cs="Arial"/>
                <w:sz w:val="22"/>
                <w:szCs w:val="22"/>
              </w:rPr>
              <w:t xml:space="preserve">uez del </w:t>
            </w:r>
            <w:r>
              <w:rPr>
                <w:rFonts w:ascii="Verdana" w:hAnsi="Verdana" w:cs="Arial"/>
                <w:sz w:val="22"/>
                <w:szCs w:val="22"/>
              </w:rPr>
              <w:t>c</w:t>
            </w:r>
            <w:r w:rsidRPr="00D66368">
              <w:rPr>
                <w:rFonts w:ascii="Verdana" w:hAnsi="Verdana" w:cs="Arial"/>
                <w:sz w:val="22"/>
                <w:szCs w:val="22"/>
              </w:rPr>
              <w:t>oncurso convocará una audiencia en la cual, inicialmente, se resolverán las inconformidades presentadas por los acreedores en relación con la calificación y graduación de los créditos y la determinación de los votos, únicamente con fundamento en los argumentos y en las pruebas documentales presentadas al deudor durante la negociación.</w:t>
            </w:r>
            <w:r>
              <w:rPr>
                <w:rFonts w:ascii="Verdana" w:hAnsi="Verdana" w:cs="Arial"/>
                <w:sz w:val="22"/>
                <w:szCs w:val="22"/>
              </w:rPr>
              <w:t xml:space="preserve"> Así mismo, </w:t>
            </w:r>
            <w:r w:rsidRPr="00BB6418">
              <w:rPr>
                <w:rFonts w:ascii="Verdana" w:hAnsi="Verdana" w:cs="Arial"/>
                <w:sz w:val="22"/>
                <w:szCs w:val="22"/>
              </w:rPr>
              <w:t xml:space="preserve">el </w:t>
            </w:r>
            <w:r>
              <w:rPr>
                <w:rFonts w:ascii="Verdana" w:hAnsi="Verdana" w:cs="Arial"/>
                <w:sz w:val="22"/>
                <w:szCs w:val="22"/>
              </w:rPr>
              <w:t>j</w:t>
            </w:r>
            <w:r w:rsidRPr="00BB6418">
              <w:rPr>
                <w:rFonts w:ascii="Verdana" w:hAnsi="Verdana" w:cs="Arial"/>
                <w:sz w:val="22"/>
                <w:szCs w:val="22"/>
              </w:rPr>
              <w:t>uez oirá a los acreedores que hubieren votado en contra, con el fin de que presenten sus inconformidades en relación con el acuerdo y realizará un control de legalidad de este</w:t>
            </w:r>
            <w:r>
              <w:rPr>
                <w:rFonts w:ascii="Verdana" w:hAnsi="Verdana" w:cs="Arial"/>
                <w:sz w:val="22"/>
                <w:szCs w:val="22"/>
              </w:rPr>
              <w:t>.</w:t>
            </w:r>
          </w:p>
          <w:p w14:paraId="623A98C8" w14:textId="77777777" w:rsidR="006669C7" w:rsidRDefault="006669C7" w:rsidP="006669C7">
            <w:pPr>
              <w:jc w:val="both"/>
              <w:rPr>
                <w:rFonts w:ascii="Verdana" w:hAnsi="Verdana" w:cs="Arial"/>
                <w:sz w:val="22"/>
                <w:szCs w:val="22"/>
              </w:rPr>
            </w:pPr>
          </w:p>
          <w:p w14:paraId="7D040CBD" w14:textId="61E397E2" w:rsidR="006669C7" w:rsidRDefault="006669C7" w:rsidP="006669C7">
            <w:pPr>
              <w:jc w:val="both"/>
              <w:rPr>
                <w:rFonts w:ascii="Verdana" w:hAnsi="Verdana" w:cs="Arial"/>
                <w:sz w:val="22"/>
                <w:szCs w:val="22"/>
              </w:rPr>
            </w:pPr>
            <w:r>
              <w:rPr>
                <w:rFonts w:ascii="Verdana" w:hAnsi="Verdana" w:cs="Arial"/>
                <w:sz w:val="22"/>
                <w:szCs w:val="22"/>
              </w:rPr>
              <w:t>En la misma audiencia, el juez del concurso se pronuncia sobre la confirmación o no del acuerdo. En caso de no confirmarse, el juez del concurso</w:t>
            </w:r>
            <w:r w:rsidR="0080506E">
              <w:rPr>
                <w:rFonts w:ascii="Verdana" w:hAnsi="Verdana" w:cs="Arial"/>
                <w:sz w:val="22"/>
                <w:szCs w:val="22"/>
              </w:rPr>
              <w:t xml:space="preserve"> declara la liquidación judicial simplificada y</w:t>
            </w:r>
            <w:r>
              <w:rPr>
                <w:rFonts w:ascii="Verdana" w:hAnsi="Verdana" w:cs="Arial"/>
                <w:sz w:val="22"/>
                <w:szCs w:val="22"/>
              </w:rPr>
              <w:t xml:space="preserve"> finaliza el procedimiento. </w:t>
            </w:r>
            <w:r w:rsidRPr="005F27B2">
              <w:rPr>
                <w:rFonts w:ascii="Verdana" w:hAnsi="Verdana" w:cs="Arial"/>
                <w:sz w:val="22"/>
                <w:szCs w:val="22"/>
              </w:rPr>
              <w:t>Una vez confirmado el acuerdo de reorganización, se emite un auto que</w:t>
            </w:r>
            <w:r>
              <w:rPr>
                <w:rFonts w:ascii="Verdana" w:hAnsi="Verdana" w:cs="Arial"/>
                <w:sz w:val="22"/>
                <w:szCs w:val="22"/>
              </w:rPr>
              <w:t xml:space="preserve"> lo</w:t>
            </w:r>
            <w:r w:rsidRPr="005F27B2">
              <w:rPr>
                <w:rFonts w:ascii="Verdana" w:hAnsi="Verdana" w:cs="Arial"/>
                <w:sz w:val="22"/>
                <w:szCs w:val="22"/>
              </w:rPr>
              <w:t xml:space="preserve"> aprueba y se remite a</w:t>
            </w:r>
            <w:r>
              <w:rPr>
                <w:rFonts w:ascii="Verdana" w:hAnsi="Verdana" w:cs="Arial"/>
                <w:sz w:val="22"/>
                <w:szCs w:val="22"/>
              </w:rPr>
              <w:t xml:space="preserve"> </w:t>
            </w:r>
            <w:r w:rsidRPr="005F27B2">
              <w:rPr>
                <w:rFonts w:ascii="Verdana" w:hAnsi="Verdana" w:cs="Arial"/>
                <w:sz w:val="22"/>
                <w:szCs w:val="22"/>
              </w:rPr>
              <w:t>l</w:t>
            </w:r>
            <w:r>
              <w:rPr>
                <w:rFonts w:ascii="Verdana" w:hAnsi="Verdana" w:cs="Arial"/>
                <w:sz w:val="22"/>
                <w:szCs w:val="22"/>
              </w:rPr>
              <w:t>a Dirección o al</w:t>
            </w:r>
            <w:r w:rsidRPr="005F27B2">
              <w:rPr>
                <w:rFonts w:ascii="Verdana" w:hAnsi="Verdana" w:cs="Arial"/>
                <w:sz w:val="22"/>
                <w:szCs w:val="22"/>
              </w:rPr>
              <w:t xml:space="preserve"> Grupo de Acuerdos de Insolvencia en Ejecución</w:t>
            </w:r>
            <w:r>
              <w:rPr>
                <w:rFonts w:ascii="Verdana" w:hAnsi="Verdana" w:cs="Arial"/>
                <w:sz w:val="22"/>
                <w:szCs w:val="22"/>
              </w:rPr>
              <w:t xml:space="preserve"> C, según corresponda.</w:t>
            </w:r>
          </w:p>
          <w:p w14:paraId="28A89510" w14:textId="77777777" w:rsidR="006669C7" w:rsidRPr="005F27B2" w:rsidRDefault="006669C7" w:rsidP="006669C7">
            <w:pPr>
              <w:jc w:val="both"/>
              <w:rPr>
                <w:rFonts w:ascii="Verdana" w:hAnsi="Verdana" w:cs="Arial"/>
                <w:b/>
                <w:bCs/>
                <w:sz w:val="22"/>
                <w:szCs w:val="22"/>
              </w:rPr>
            </w:pPr>
          </w:p>
        </w:tc>
        <w:tc>
          <w:tcPr>
            <w:tcW w:w="1993" w:type="dxa"/>
            <w:vAlign w:val="center"/>
          </w:tcPr>
          <w:p w14:paraId="666B3E2F" w14:textId="1F69B7EE" w:rsidR="006669C7" w:rsidRPr="00F27226" w:rsidRDefault="006669C7" w:rsidP="006669C7">
            <w:pPr>
              <w:jc w:val="center"/>
              <w:rPr>
                <w:rFonts w:ascii="Verdana" w:hAnsi="Verdana" w:cs="Arial"/>
                <w:sz w:val="22"/>
                <w:szCs w:val="22"/>
              </w:rPr>
            </w:pPr>
            <w:r>
              <w:rPr>
                <w:rFonts w:ascii="Verdana" w:hAnsi="Verdana" w:cs="Arial"/>
                <w:sz w:val="22"/>
                <w:szCs w:val="22"/>
              </w:rPr>
              <w:t>Juez del concurso</w:t>
            </w:r>
          </w:p>
        </w:tc>
        <w:tc>
          <w:tcPr>
            <w:tcW w:w="1119" w:type="dxa"/>
            <w:vAlign w:val="center"/>
          </w:tcPr>
          <w:p w14:paraId="3B3D73D5" w14:textId="35C1F64F" w:rsidR="006669C7" w:rsidRDefault="006669C7" w:rsidP="006669C7">
            <w:pPr>
              <w:jc w:val="center"/>
              <w:rPr>
                <w:rFonts w:ascii="Verdana" w:hAnsi="Verdana" w:cs="Arial"/>
                <w:sz w:val="22"/>
                <w:szCs w:val="22"/>
              </w:rPr>
            </w:pPr>
            <w:r>
              <w:rPr>
                <w:rFonts w:ascii="Verdana" w:hAnsi="Verdana" w:cs="Arial"/>
                <w:sz w:val="22"/>
                <w:szCs w:val="22"/>
              </w:rPr>
              <w:t>X</w:t>
            </w:r>
          </w:p>
        </w:tc>
        <w:tc>
          <w:tcPr>
            <w:tcW w:w="1668" w:type="dxa"/>
            <w:vAlign w:val="center"/>
          </w:tcPr>
          <w:p w14:paraId="3F91754A" w14:textId="6D130E29" w:rsidR="006669C7" w:rsidRPr="005F27B2" w:rsidRDefault="006669C7" w:rsidP="006669C7">
            <w:pPr>
              <w:jc w:val="center"/>
              <w:rPr>
                <w:rFonts w:ascii="Verdana" w:hAnsi="Verdana" w:cs="Arial"/>
                <w:sz w:val="22"/>
                <w:szCs w:val="22"/>
              </w:rPr>
            </w:pPr>
            <w:r>
              <w:rPr>
                <w:rFonts w:ascii="Verdana" w:hAnsi="Verdana" w:cs="Arial"/>
                <w:sz w:val="22"/>
                <w:szCs w:val="22"/>
              </w:rPr>
              <w:t>Auto de convocatoria de audiencia, acta de audiencia de confirmación del acuerdo</w:t>
            </w:r>
          </w:p>
        </w:tc>
      </w:tr>
      <w:tr w:rsidR="0080506E" w:rsidRPr="00AD7AA1" w14:paraId="023F3B50" w14:textId="734AAB6E" w:rsidTr="006669C7">
        <w:trPr>
          <w:trHeight w:val="304"/>
        </w:trPr>
        <w:tc>
          <w:tcPr>
            <w:tcW w:w="693" w:type="dxa"/>
            <w:vAlign w:val="center"/>
          </w:tcPr>
          <w:p w14:paraId="42D2D8E3" w14:textId="1F5085A9" w:rsidR="0080506E" w:rsidRPr="00970120" w:rsidRDefault="0080506E" w:rsidP="0080506E">
            <w:pPr>
              <w:jc w:val="center"/>
              <w:rPr>
                <w:rFonts w:ascii="Verdana" w:hAnsi="Verdana" w:cs="Arial"/>
                <w:sz w:val="22"/>
                <w:szCs w:val="22"/>
              </w:rPr>
            </w:pPr>
            <w:r>
              <w:rPr>
                <w:rFonts w:ascii="Verdana" w:hAnsi="Verdana" w:cs="Arial"/>
                <w:sz w:val="22"/>
                <w:szCs w:val="22"/>
              </w:rPr>
              <w:t>7</w:t>
            </w:r>
          </w:p>
        </w:tc>
        <w:tc>
          <w:tcPr>
            <w:tcW w:w="4156" w:type="dxa"/>
            <w:vAlign w:val="center"/>
          </w:tcPr>
          <w:p w14:paraId="2C78C674" w14:textId="7346AF09" w:rsidR="0080506E" w:rsidRDefault="0080506E" w:rsidP="0080506E">
            <w:pPr>
              <w:jc w:val="both"/>
              <w:rPr>
                <w:rFonts w:ascii="Verdana" w:hAnsi="Verdana" w:cs="Arial"/>
                <w:b/>
                <w:bCs/>
                <w:sz w:val="22"/>
                <w:szCs w:val="22"/>
              </w:rPr>
            </w:pPr>
            <w:r>
              <w:rPr>
                <w:rFonts w:ascii="Verdana" w:hAnsi="Verdana" w:cs="Arial"/>
                <w:b/>
                <w:bCs/>
                <w:sz w:val="22"/>
                <w:szCs w:val="22"/>
              </w:rPr>
              <w:t>Remitir el acuerdo de reorganización abreviada</w:t>
            </w:r>
          </w:p>
          <w:p w14:paraId="42A6966F" w14:textId="77777777" w:rsidR="0080506E" w:rsidRDefault="0080506E" w:rsidP="0080506E">
            <w:pPr>
              <w:jc w:val="both"/>
              <w:rPr>
                <w:rFonts w:ascii="Verdana" w:hAnsi="Verdana" w:cs="Arial"/>
                <w:sz w:val="22"/>
                <w:szCs w:val="22"/>
              </w:rPr>
            </w:pPr>
            <w:r>
              <w:rPr>
                <w:rFonts w:ascii="Verdana" w:hAnsi="Verdana" w:cs="Arial"/>
                <w:sz w:val="22"/>
                <w:szCs w:val="22"/>
              </w:rPr>
              <w:t xml:space="preserve">Se remite el acuerdo de reorganización abreviada a la </w:t>
            </w:r>
            <w:r>
              <w:rPr>
                <w:rFonts w:ascii="Verdana" w:hAnsi="Verdana" w:cs="Arial"/>
                <w:sz w:val="22"/>
                <w:szCs w:val="22"/>
              </w:rPr>
              <w:lastRenderedPageBreak/>
              <w:t>Dirección de Acuerdos de Insolvencia en Ejecución o al Grupo de Acuerdos de Insolvencia en Ejecución C, según corresponda.</w:t>
            </w:r>
          </w:p>
          <w:p w14:paraId="23A14706" w14:textId="77777777" w:rsidR="0080506E" w:rsidRDefault="0080506E" w:rsidP="0080506E">
            <w:pPr>
              <w:jc w:val="both"/>
              <w:rPr>
                <w:rFonts w:ascii="Verdana" w:hAnsi="Verdana" w:cs="Arial"/>
                <w:sz w:val="22"/>
                <w:szCs w:val="22"/>
              </w:rPr>
            </w:pPr>
            <w:r>
              <w:rPr>
                <w:rFonts w:ascii="Verdana" w:hAnsi="Verdana" w:cs="Arial"/>
                <w:sz w:val="22"/>
                <w:szCs w:val="22"/>
              </w:rPr>
              <w:t>Tanto en la Dirección como en el Grupo de Acuerdos de Insolvencia en Ejecución se tramitan los requerimientos surgidos en el cumplimiento del acuerdo de reorganización. En caso de que se requiera al deudor y éste incumpla el requerimiento en tiempo y no allegue la información completa, se procede a decretar la liquidación judicial simplificada.</w:t>
            </w:r>
          </w:p>
          <w:p w14:paraId="2DD76212" w14:textId="6D833CFB" w:rsidR="0080506E" w:rsidRPr="00CF14C6" w:rsidRDefault="0080506E" w:rsidP="0080506E">
            <w:pPr>
              <w:jc w:val="both"/>
              <w:rPr>
                <w:rFonts w:ascii="Verdana" w:hAnsi="Verdana" w:cs="Arial"/>
                <w:sz w:val="22"/>
                <w:szCs w:val="22"/>
              </w:rPr>
            </w:pPr>
          </w:p>
        </w:tc>
        <w:tc>
          <w:tcPr>
            <w:tcW w:w="1993" w:type="dxa"/>
            <w:vAlign w:val="center"/>
          </w:tcPr>
          <w:p w14:paraId="59FFD6F3" w14:textId="19E38CA4" w:rsidR="0080506E" w:rsidRPr="00970120" w:rsidRDefault="0080506E" w:rsidP="0080506E">
            <w:pPr>
              <w:jc w:val="center"/>
              <w:rPr>
                <w:rFonts w:ascii="Verdana" w:hAnsi="Verdana" w:cs="Arial"/>
                <w:sz w:val="22"/>
                <w:szCs w:val="22"/>
              </w:rPr>
            </w:pPr>
            <w:r w:rsidRPr="008F4FB2">
              <w:rPr>
                <w:rFonts w:ascii="Verdana" w:hAnsi="Verdana" w:cs="Arial"/>
                <w:sz w:val="22"/>
                <w:szCs w:val="22"/>
              </w:rPr>
              <w:lastRenderedPageBreak/>
              <w:t xml:space="preserve">Grupo de Apoyo Judicial y Dirección o Grupo de </w:t>
            </w:r>
            <w:r w:rsidRPr="008F4FB2">
              <w:rPr>
                <w:rFonts w:ascii="Verdana" w:hAnsi="Verdana" w:cs="Arial"/>
                <w:sz w:val="22"/>
                <w:szCs w:val="22"/>
              </w:rPr>
              <w:lastRenderedPageBreak/>
              <w:t>Reorganización correspondiente</w:t>
            </w:r>
          </w:p>
        </w:tc>
        <w:tc>
          <w:tcPr>
            <w:tcW w:w="1119" w:type="dxa"/>
            <w:vAlign w:val="center"/>
          </w:tcPr>
          <w:p w14:paraId="46E60AF5" w14:textId="4978B29C" w:rsidR="0080506E" w:rsidRPr="00970120" w:rsidRDefault="0080506E" w:rsidP="0080506E">
            <w:pPr>
              <w:jc w:val="center"/>
              <w:rPr>
                <w:rFonts w:ascii="Verdana" w:hAnsi="Verdana" w:cs="Arial"/>
                <w:sz w:val="22"/>
                <w:szCs w:val="22"/>
              </w:rPr>
            </w:pPr>
            <w:r w:rsidRPr="005F27B2">
              <w:rPr>
                <w:rFonts w:ascii="Verdana" w:hAnsi="Verdana" w:cs="Arial"/>
                <w:sz w:val="22"/>
                <w:szCs w:val="22"/>
              </w:rPr>
              <w:lastRenderedPageBreak/>
              <w:t>No Aplica</w:t>
            </w:r>
          </w:p>
        </w:tc>
        <w:tc>
          <w:tcPr>
            <w:tcW w:w="1668" w:type="dxa"/>
            <w:vAlign w:val="center"/>
          </w:tcPr>
          <w:p w14:paraId="13CA3A29" w14:textId="716F431F" w:rsidR="0080506E" w:rsidRPr="00970120" w:rsidRDefault="0080506E" w:rsidP="0080506E">
            <w:pPr>
              <w:jc w:val="center"/>
              <w:rPr>
                <w:rFonts w:ascii="Verdana" w:hAnsi="Verdana" w:cs="Arial"/>
                <w:sz w:val="22"/>
                <w:szCs w:val="22"/>
              </w:rPr>
            </w:pPr>
            <w:r>
              <w:rPr>
                <w:rFonts w:ascii="Verdana" w:hAnsi="Verdana" w:cs="Arial"/>
                <w:sz w:val="22"/>
                <w:szCs w:val="22"/>
              </w:rPr>
              <w:t>Correo electrónico</w:t>
            </w:r>
          </w:p>
        </w:tc>
      </w:tr>
      <w:tr w:rsidR="006669C7" w:rsidRPr="00AD7AA1" w14:paraId="62EB3619" w14:textId="77777777" w:rsidTr="006669C7">
        <w:trPr>
          <w:trHeight w:val="287"/>
        </w:trPr>
        <w:tc>
          <w:tcPr>
            <w:tcW w:w="693" w:type="dxa"/>
            <w:vAlign w:val="center"/>
          </w:tcPr>
          <w:p w14:paraId="4BCE0EB3" w14:textId="61DB65B5" w:rsidR="006669C7" w:rsidRDefault="006669C7" w:rsidP="006669C7">
            <w:pPr>
              <w:jc w:val="center"/>
              <w:rPr>
                <w:rFonts w:ascii="Verdana" w:hAnsi="Verdana" w:cs="Arial"/>
                <w:sz w:val="22"/>
                <w:szCs w:val="22"/>
              </w:rPr>
            </w:pPr>
            <w:r>
              <w:rPr>
                <w:rFonts w:ascii="Verdana" w:hAnsi="Verdana" w:cs="Arial"/>
                <w:sz w:val="22"/>
                <w:szCs w:val="22"/>
              </w:rPr>
              <w:t>8</w:t>
            </w:r>
          </w:p>
        </w:tc>
        <w:tc>
          <w:tcPr>
            <w:tcW w:w="4156" w:type="dxa"/>
            <w:vAlign w:val="center"/>
          </w:tcPr>
          <w:p w14:paraId="3B16BF45" w14:textId="2EBC7B6A" w:rsidR="006669C7" w:rsidRPr="00970120" w:rsidRDefault="006669C7" w:rsidP="006669C7">
            <w:pPr>
              <w:rPr>
                <w:rFonts w:ascii="Verdana" w:hAnsi="Verdana" w:cs="Arial"/>
                <w:sz w:val="22"/>
                <w:szCs w:val="22"/>
              </w:rPr>
            </w:pPr>
            <w:r>
              <w:rPr>
                <w:rFonts w:ascii="Verdana" w:hAnsi="Verdana" w:cs="Arial"/>
                <w:sz w:val="22"/>
                <w:szCs w:val="22"/>
              </w:rPr>
              <w:t>Fin</w:t>
            </w:r>
          </w:p>
        </w:tc>
        <w:tc>
          <w:tcPr>
            <w:tcW w:w="1993" w:type="dxa"/>
            <w:vAlign w:val="center"/>
          </w:tcPr>
          <w:p w14:paraId="72B49686" w14:textId="77777777" w:rsidR="006669C7" w:rsidRPr="00970120" w:rsidRDefault="006669C7" w:rsidP="006669C7">
            <w:pPr>
              <w:jc w:val="center"/>
              <w:rPr>
                <w:rFonts w:ascii="Verdana" w:hAnsi="Verdana" w:cs="Arial"/>
                <w:sz w:val="22"/>
                <w:szCs w:val="22"/>
              </w:rPr>
            </w:pPr>
          </w:p>
        </w:tc>
        <w:tc>
          <w:tcPr>
            <w:tcW w:w="1119" w:type="dxa"/>
            <w:vAlign w:val="center"/>
          </w:tcPr>
          <w:p w14:paraId="14FF986E" w14:textId="77777777" w:rsidR="006669C7" w:rsidRPr="00970120" w:rsidRDefault="006669C7" w:rsidP="006669C7">
            <w:pPr>
              <w:jc w:val="center"/>
              <w:rPr>
                <w:rFonts w:ascii="Verdana" w:hAnsi="Verdana" w:cs="Arial"/>
                <w:sz w:val="22"/>
                <w:szCs w:val="22"/>
              </w:rPr>
            </w:pPr>
          </w:p>
        </w:tc>
        <w:tc>
          <w:tcPr>
            <w:tcW w:w="1668" w:type="dxa"/>
            <w:vAlign w:val="center"/>
          </w:tcPr>
          <w:p w14:paraId="2C877048" w14:textId="77777777" w:rsidR="006669C7" w:rsidRPr="00970120" w:rsidRDefault="006669C7" w:rsidP="006669C7">
            <w:pPr>
              <w:jc w:val="center"/>
              <w:rPr>
                <w:rFonts w:ascii="Verdana" w:hAnsi="Verdana" w:cs="Arial"/>
                <w:sz w:val="22"/>
                <w:szCs w:val="22"/>
              </w:rPr>
            </w:pPr>
          </w:p>
        </w:tc>
      </w:tr>
    </w:tbl>
    <w:p w14:paraId="032840AB" w14:textId="77777777" w:rsidR="003576C2" w:rsidRPr="00AD7AA1" w:rsidRDefault="003576C2" w:rsidP="00F23033">
      <w:pPr>
        <w:jc w:val="both"/>
        <w:rPr>
          <w:rFonts w:ascii="Verdana" w:hAnsi="Verdana"/>
          <w:sz w:val="22"/>
          <w:szCs w:val="22"/>
        </w:rPr>
      </w:pPr>
    </w:p>
    <w:p w14:paraId="56906A21" w14:textId="173A6A13" w:rsidR="003F1C7B" w:rsidRPr="00AD7AA1" w:rsidRDefault="00451D61" w:rsidP="00451D61">
      <w:pPr>
        <w:jc w:val="both"/>
        <w:rPr>
          <w:rFonts w:ascii="Verdana" w:hAnsi="Verdana"/>
          <w:b/>
          <w:bCs/>
          <w:sz w:val="22"/>
          <w:szCs w:val="22"/>
        </w:rPr>
      </w:pPr>
      <w:bookmarkStart w:id="6" w:name="_Hlk186117109"/>
      <w:r w:rsidRPr="00AD7AA1">
        <w:rPr>
          <w:rFonts w:ascii="Verdana" w:hAnsi="Verdana"/>
          <w:b/>
          <w:bCs/>
          <w:sz w:val="22"/>
          <w:szCs w:val="22"/>
        </w:rPr>
        <w:t xml:space="preserve">7. </w:t>
      </w:r>
      <w:r w:rsidR="003F1C7B" w:rsidRPr="00AD7AA1">
        <w:rPr>
          <w:rFonts w:ascii="Verdana" w:hAnsi="Verdana"/>
          <w:b/>
          <w:bCs/>
          <w:sz w:val="22"/>
          <w:szCs w:val="22"/>
        </w:rPr>
        <w:t>CONTROL DE CAMBIOS</w:t>
      </w:r>
    </w:p>
    <w:bookmarkEnd w:id="6"/>
    <w:p w14:paraId="0952B841" w14:textId="77777777" w:rsidR="00841B16" w:rsidRPr="001C0189"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41B16" w:rsidRPr="00293386" w14:paraId="4489AB9D" w14:textId="77777777" w:rsidTr="00841B16">
        <w:trPr>
          <w:trHeight w:val="345"/>
          <w:jc w:val="center"/>
        </w:trPr>
        <w:tc>
          <w:tcPr>
            <w:tcW w:w="1271" w:type="dxa"/>
            <w:shd w:val="clear" w:color="auto" w:fill="F2DCDB"/>
            <w:vAlign w:val="center"/>
          </w:tcPr>
          <w:p w14:paraId="457352E8"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74405815"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63801A9C"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4C3E6E" w:rsidRPr="00293386" w14:paraId="437BA217" w14:textId="77777777" w:rsidTr="00841B16">
        <w:trPr>
          <w:trHeight w:val="365"/>
          <w:jc w:val="center"/>
        </w:trPr>
        <w:tc>
          <w:tcPr>
            <w:tcW w:w="1271" w:type="dxa"/>
          </w:tcPr>
          <w:p w14:paraId="708970D0" w14:textId="32F9BB2C" w:rsidR="004C3E6E" w:rsidRPr="004C3E6E" w:rsidRDefault="004C3E6E" w:rsidP="004C3E6E">
            <w:pPr>
              <w:jc w:val="center"/>
              <w:rPr>
                <w:rFonts w:ascii="Verdana" w:hAnsi="Verdana"/>
                <w:color w:val="000000" w:themeColor="text1"/>
                <w:sz w:val="18"/>
                <w:szCs w:val="18"/>
              </w:rPr>
            </w:pPr>
            <w:r>
              <w:rPr>
                <w:rFonts w:ascii="Verdana" w:hAnsi="Verdana"/>
                <w:sz w:val="18"/>
                <w:szCs w:val="18"/>
              </w:rPr>
              <w:t>001</w:t>
            </w:r>
          </w:p>
        </w:tc>
        <w:tc>
          <w:tcPr>
            <w:tcW w:w="1379" w:type="dxa"/>
          </w:tcPr>
          <w:p w14:paraId="63B9C00A" w14:textId="4A720373" w:rsidR="004C3E6E" w:rsidRPr="004C3E6E" w:rsidRDefault="004C3E6E" w:rsidP="004C3E6E">
            <w:pPr>
              <w:jc w:val="center"/>
              <w:rPr>
                <w:rFonts w:ascii="Verdana" w:hAnsi="Verdana"/>
                <w:color w:val="000000" w:themeColor="text1"/>
                <w:sz w:val="18"/>
                <w:szCs w:val="18"/>
              </w:rPr>
            </w:pPr>
            <w:r>
              <w:rPr>
                <w:rFonts w:ascii="Verdana" w:hAnsi="Verdana"/>
                <w:sz w:val="18"/>
                <w:szCs w:val="18"/>
              </w:rPr>
              <w:t>24</w:t>
            </w:r>
            <w:r w:rsidR="00BB22C1">
              <w:rPr>
                <w:rFonts w:ascii="Verdana" w:hAnsi="Verdana"/>
                <w:sz w:val="18"/>
                <w:szCs w:val="18"/>
              </w:rPr>
              <w:t>/08/</w:t>
            </w:r>
            <w:r>
              <w:rPr>
                <w:rFonts w:ascii="Verdana" w:hAnsi="Verdana"/>
                <w:sz w:val="18"/>
                <w:szCs w:val="18"/>
              </w:rPr>
              <w:t>2021</w:t>
            </w:r>
          </w:p>
        </w:tc>
        <w:tc>
          <w:tcPr>
            <w:tcW w:w="6979" w:type="dxa"/>
          </w:tcPr>
          <w:p w14:paraId="68092FCC" w14:textId="3DA6D604" w:rsidR="004C3E6E" w:rsidRPr="004C3E6E" w:rsidRDefault="004C3E6E" w:rsidP="004C3E6E">
            <w:pPr>
              <w:jc w:val="both"/>
              <w:rPr>
                <w:rFonts w:ascii="Verdana" w:hAnsi="Verdana"/>
                <w:color w:val="000000" w:themeColor="text1"/>
                <w:sz w:val="18"/>
                <w:szCs w:val="18"/>
              </w:rPr>
            </w:pPr>
            <w:r>
              <w:rPr>
                <w:rFonts w:ascii="Verdana" w:hAnsi="Verdana"/>
                <w:sz w:val="18"/>
                <w:szCs w:val="18"/>
              </w:rPr>
              <w:t>Creación del documento</w:t>
            </w:r>
          </w:p>
        </w:tc>
      </w:tr>
      <w:tr w:rsidR="004C3E6E" w:rsidRPr="00293386" w14:paraId="2F46C99F" w14:textId="77777777" w:rsidTr="00841B16">
        <w:trPr>
          <w:trHeight w:val="365"/>
          <w:jc w:val="center"/>
        </w:trPr>
        <w:tc>
          <w:tcPr>
            <w:tcW w:w="1271" w:type="dxa"/>
          </w:tcPr>
          <w:p w14:paraId="0A6D6329" w14:textId="213F7728" w:rsidR="004C3E6E" w:rsidRPr="004C3E6E" w:rsidRDefault="004C3E6E" w:rsidP="004C3E6E">
            <w:pPr>
              <w:jc w:val="center"/>
              <w:rPr>
                <w:rFonts w:ascii="Verdana" w:hAnsi="Verdana" w:cs="Arial"/>
                <w:color w:val="000000" w:themeColor="text1"/>
                <w:sz w:val="18"/>
                <w:szCs w:val="18"/>
              </w:rPr>
            </w:pPr>
            <w:r>
              <w:rPr>
                <w:rFonts w:ascii="Verdana" w:hAnsi="Verdana" w:cs="Arial"/>
                <w:sz w:val="18"/>
                <w:szCs w:val="18"/>
              </w:rPr>
              <w:t>002</w:t>
            </w:r>
          </w:p>
        </w:tc>
        <w:tc>
          <w:tcPr>
            <w:tcW w:w="1379" w:type="dxa"/>
          </w:tcPr>
          <w:p w14:paraId="2181CC86" w14:textId="7058E7E0" w:rsidR="004C3E6E" w:rsidRPr="004C3E6E" w:rsidRDefault="00851A83" w:rsidP="004C3E6E">
            <w:pPr>
              <w:jc w:val="center"/>
              <w:rPr>
                <w:rFonts w:ascii="Verdana" w:hAnsi="Verdana"/>
                <w:color w:val="000000" w:themeColor="text1"/>
                <w:sz w:val="18"/>
                <w:szCs w:val="18"/>
              </w:rPr>
            </w:pPr>
            <w:r>
              <w:rPr>
                <w:rFonts w:ascii="Verdana" w:hAnsi="Verdana"/>
                <w:color w:val="000000" w:themeColor="text1"/>
                <w:sz w:val="18"/>
                <w:szCs w:val="18"/>
              </w:rPr>
              <w:t>24</w:t>
            </w:r>
            <w:r w:rsidR="00BB22C1">
              <w:rPr>
                <w:rFonts w:ascii="Verdana" w:hAnsi="Verdana"/>
                <w:color w:val="000000" w:themeColor="text1"/>
                <w:sz w:val="18"/>
                <w:szCs w:val="18"/>
              </w:rPr>
              <w:t>/10/</w:t>
            </w:r>
            <w:r>
              <w:rPr>
                <w:rFonts w:ascii="Verdana" w:hAnsi="Verdana"/>
                <w:color w:val="000000" w:themeColor="text1"/>
                <w:sz w:val="18"/>
                <w:szCs w:val="18"/>
              </w:rPr>
              <w:t>2025</w:t>
            </w:r>
          </w:p>
        </w:tc>
        <w:tc>
          <w:tcPr>
            <w:tcW w:w="6979" w:type="dxa"/>
          </w:tcPr>
          <w:p w14:paraId="7B4899F7" w14:textId="77777777" w:rsidR="004C3E6E" w:rsidRDefault="004C3E6E" w:rsidP="004C3E6E">
            <w:pPr>
              <w:jc w:val="both"/>
              <w:rPr>
                <w:rFonts w:ascii="Verdana" w:hAnsi="Verdana"/>
                <w:sz w:val="18"/>
                <w:szCs w:val="18"/>
                <w:lang w:val="es-CO"/>
              </w:rPr>
            </w:pPr>
            <w:r w:rsidRPr="00F7604E">
              <w:rPr>
                <w:rFonts w:ascii="Verdana" w:hAnsi="Verdana"/>
                <w:sz w:val="18"/>
                <w:szCs w:val="18"/>
                <w:lang w:val="es-CO"/>
              </w:rPr>
              <w:t>Actualización del objetivo, alcance, actividades y responsables, de acuerdo con lo establecido en la Ley 1116 de 2006 y 2437 de 2024.</w:t>
            </w:r>
          </w:p>
          <w:p w14:paraId="0B90061A" w14:textId="77777777" w:rsidR="004C3E6E" w:rsidRPr="004C3E6E" w:rsidRDefault="004C3E6E" w:rsidP="004C3E6E">
            <w:pPr>
              <w:jc w:val="both"/>
              <w:rPr>
                <w:rFonts w:ascii="Verdana" w:hAnsi="Verdana"/>
                <w:color w:val="000000" w:themeColor="text1"/>
                <w:sz w:val="18"/>
                <w:szCs w:val="18"/>
                <w:lang w:val="es-CO"/>
              </w:rPr>
            </w:pPr>
          </w:p>
        </w:tc>
      </w:tr>
    </w:tbl>
    <w:p w14:paraId="5FEE1FC9" w14:textId="77777777" w:rsidR="00841B16" w:rsidRPr="001C0189" w:rsidRDefault="00841B16" w:rsidP="00841B16">
      <w:pPr>
        <w:rPr>
          <w:rFonts w:ascii="Verdana" w:hAnsi="Verdana"/>
          <w:sz w:val="22"/>
          <w:szCs w:val="22"/>
        </w:rPr>
      </w:pPr>
    </w:p>
    <w:p w14:paraId="4D465BC7" w14:textId="77777777" w:rsidR="00841B16"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4C3E6E" w:rsidRPr="00693D09" w14:paraId="36BB5EE9" w14:textId="77777777" w:rsidTr="00A45833">
        <w:trPr>
          <w:trHeight w:val="270"/>
          <w:jc w:val="center"/>
        </w:trPr>
        <w:tc>
          <w:tcPr>
            <w:tcW w:w="3114" w:type="dxa"/>
            <w:shd w:val="clear" w:color="auto" w:fill="F2DCDB"/>
            <w:vAlign w:val="center"/>
          </w:tcPr>
          <w:p w14:paraId="388E04D3" w14:textId="77777777" w:rsidR="004C3E6E" w:rsidRPr="00693D09" w:rsidRDefault="004C3E6E" w:rsidP="00A45833">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3B5BE79F" w14:textId="77777777" w:rsidR="004C3E6E" w:rsidRPr="00693D09" w:rsidRDefault="004C3E6E" w:rsidP="00A45833">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4FD197DA" w14:textId="77777777" w:rsidR="004C3E6E" w:rsidRPr="00693D09" w:rsidRDefault="004C3E6E" w:rsidP="00A45833">
            <w:pPr>
              <w:jc w:val="center"/>
              <w:rPr>
                <w:rFonts w:ascii="Verdana" w:hAnsi="Verdana"/>
                <w:b/>
                <w:bCs/>
                <w:sz w:val="18"/>
                <w:szCs w:val="18"/>
              </w:rPr>
            </w:pPr>
            <w:r w:rsidRPr="00693D09">
              <w:rPr>
                <w:rFonts w:ascii="Verdana" w:hAnsi="Verdana"/>
                <w:b/>
                <w:bCs/>
                <w:sz w:val="18"/>
                <w:szCs w:val="18"/>
              </w:rPr>
              <w:t xml:space="preserve">Aprobó </w:t>
            </w:r>
          </w:p>
        </w:tc>
      </w:tr>
      <w:tr w:rsidR="004C3E6E" w:rsidRPr="00693D09" w14:paraId="29EA8EFE" w14:textId="77777777" w:rsidTr="00A45833">
        <w:trPr>
          <w:trHeight w:val="270"/>
          <w:jc w:val="center"/>
        </w:trPr>
        <w:tc>
          <w:tcPr>
            <w:tcW w:w="3114" w:type="dxa"/>
          </w:tcPr>
          <w:p w14:paraId="4D34ECE1" w14:textId="77777777" w:rsidR="004C3E6E" w:rsidRPr="00841B16" w:rsidRDefault="004C3E6E" w:rsidP="00A45833">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Lina Margarita Martínez Cabarcas</w:t>
            </w:r>
          </w:p>
          <w:p w14:paraId="02706496" w14:textId="77777777" w:rsidR="004C3E6E" w:rsidRDefault="004C3E6E" w:rsidP="00A45833">
            <w:pPr>
              <w:tabs>
                <w:tab w:val="left" w:pos="1620"/>
              </w:tabs>
              <w:ind w:right="141"/>
              <w:rPr>
                <w:rFonts w:ascii="Verdana" w:hAnsi="Verdana" w:cs="Arial"/>
                <w:sz w:val="18"/>
                <w:szCs w:val="18"/>
              </w:rPr>
            </w:pPr>
            <w:r w:rsidRPr="00841B16">
              <w:rPr>
                <w:rFonts w:ascii="Verdana" w:hAnsi="Verdana" w:cs="Arial"/>
                <w:sz w:val="18"/>
                <w:szCs w:val="18"/>
              </w:rPr>
              <w:t xml:space="preserve">Cargo: </w:t>
            </w:r>
            <w:r>
              <w:rPr>
                <w:rFonts w:ascii="Verdana" w:hAnsi="Verdana" w:cs="Arial"/>
                <w:sz w:val="18"/>
                <w:szCs w:val="18"/>
              </w:rPr>
              <w:t>Profesional Delegatura de Procedimientos de Insolvencia</w:t>
            </w:r>
          </w:p>
          <w:p w14:paraId="2CCF70BC" w14:textId="114041D2" w:rsidR="004C3E6E" w:rsidRPr="00841B16" w:rsidRDefault="004C3E6E" w:rsidP="00A45833">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851A83">
              <w:rPr>
                <w:rFonts w:ascii="Verdana" w:hAnsi="Verdana" w:cs="Arial"/>
                <w:sz w:val="18"/>
                <w:szCs w:val="18"/>
              </w:rPr>
              <w:t>22</w:t>
            </w:r>
            <w:r>
              <w:rPr>
                <w:rFonts w:ascii="Verdana" w:hAnsi="Verdana" w:cs="Arial"/>
                <w:sz w:val="18"/>
                <w:szCs w:val="18"/>
              </w:rPr>
              <w:t>/</w:t>
            </w:r>
            <w:r w:rsidR="00851A83">
              <w:rPr>
                <w:rFonts w:ascii="Verdana" w:hAnsi="Verdana" w:cs="Arial"/>
                <w:sz w:val="18"/>
                <w:szCs w:val="18"/>
              </w:rPr>
              <w:t>10</w:t>
            </w:r>
            <w:r>
              <w:rPr>
                <w:rFonts w:ascii="Verdana" w:hAnsi="Verdana" w:cs="Arial"/>
                <w:sz w:val="18"/>
                <w:szCs w:val="18"/>
              </w:rPr>
              <w:t>/</w:t>
            </w:r>
            <w:r w:rsidR="00851A83">
              <w:rPr>
                <w:rFonts w:ascii="Verdana" w:hAnsi="Verdana" w:cs="Arial"/>
                <w:sz w:val="18"/>
                <w:szCs w:val="18"/>
              </w:rPr>
              <w:t>2025</w:t>
            </w:r>
          </w:p>
        </w:tc>
        <w:tc>
          <w:tcPr>
            <w:tcW w:w="3260" w:type="dxa"/>
          </w:tcPr>
          <w:p w14:paraId="2D24B684" w14:textId="77777777" w:rsidR="004C3E6E" w:rsidRPr="00841B16" w:rsidRDefault="004C3E6E" w:rsidP="00A45833">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Verónica Ortega Álvarez</w:t>
            </w:r>
          </w:p>
          <w:p w14:paraId="747AA4BD" w14:textId="77777777" w:rsidR="004C3E6E" w:rsidRDefault="004C3E6E" w:rsidP="00A45833">
            <w:pPr>
              <w:tabs>
                <w:tab w:val="left" w:pos="1620"/>
              </w:tabs>
              <w:ind w:right="141"/>
              <w:rPr>
                <w:rFonts w:ascii="Verdana" w:hAnsi="Verdana" w:cs="Arial"/>
                <w:sz w:val="18"/>
                <w:szCs w:val="18"/>
              </w:rPr>
            </w:pPr>
            <w:r w:rsidRPr="00841B16">
              <w:rPr>
                <w:rFonts w:ascii="Verdana" w:hAnsi="Verdana" w:cs="Arial"/>
                <w:sz w:val="18"/>
                <w:szCs w:val="18"/>
              </w:rPr>
              <w:t xml:space="preserve">Cargo: </w:t>
            </w:r>
            <w:r>
              <w:rPr>
                <w:rFonts w:ascii="Verdana" w:hAnsi="Verdana" w:cs="Arial"/>
                <w:sz w:val="18"/>
                <w:szCs w:val="18"/>
              </w:rPr>
              <w:t>Asesora de la Delegatura de Procedimientos de Insolvencia</w:t>
            </w:r>
          </w:p>
          <w:p w14:paraId="200EEF1B" w14:textId="3591C190" w:rsidR="004C3E6E" w:rsidRPr="00841B16" w:rsidRDefault="004C3E6E" w:rsidP="00A45833">
            <w:pPr>
              <w:tabs>
                <w:tab w:val="left" w:pos="1620"/>
              </w:tabs>
              <w:ind w:right="141"/>
              <w:rPr>
                <w:rFonts w:ascii="Verdana" w:hAnsi="Verdana" w:cs="Arial"/>
                <w:sz w:val="18"/>
                <w:szCs w:val="18"/>
              </w:rPr>
            </w:pPr>
            <w:r w:rsidRPr="00841B16">
              <w:rPr>
                <w:rFonts w:ascii="Verdana" w:hAnsi="Verdana" w:cs="Arial"/>
                <w:sz w:val="18"/>
                <w:szCs w:val="18"/>
              </w:rPr>
              <w:t>Fecha:</w:t>
            </w:r>
            <w:r>
              <w:rPr>
                <w:rFonts w:ascii="Verdana" w:hAnsi="Verdana" w:cs="Arial"/>
                <w:sz w:val="18"/>
                <w:szCs w:val="18"/>
              </w:rPr>
              <w:t xml:space="preserve"> </w:t>
            </w:r>
            <w:r w:rsidR="00851A83">
              <w:rPr>
                <w:rFonts w:ascii="Verdana" w:hAnsi="Verdana" w:cs="Arial"/>
                <w:sz w:val="18"/>
                <w:szCs w:val="18"/>
              </w:rPr>
              <w:t>24</w:t>
            </w:r>
            <w:r>
              <w:rPr>
                <w:rFonts w:ascii="Verdana" w:hAnsi="Verdana" w:cs="Arial"/>
                <w:sz w:val="18"/>
                <w:szCs w:val="18"/>
              </w:rPr>
              <w:t>/</w:t>
            </w:r>
            <w:r w:rsidR="00851A83">
              <w:rPr>
                <w:rFonts w:ascii="Verdana" w:hAnsi="Verdana" w:cs="Arial"/>
                <w:sz w:val="18"/>
                <w:szCs w:val="18"/>
              </w:rPr>
              <w:t>10</w:t>
            </w:r>
            <w:r>
              <w:rPr>
                <w:rFonts w:ascii="Verdana" w:hAnsi="Verdana" w:cs="Arial"/>
                <w:sz w:val="18"/>
                <w:szCs w:val="18"/>
              </w:rPr>
              <w:t>/</w:t>
            </w:r>
            <w:r w:rsidR="00851A83">
              <w:rPr>
                <w:rFonts w:ascii="Verdana" w:hAnsi="Verdana" w:cs="Arial"/>
                <w:sz w:val="18"/>
                <w:szCs w:val="18"/>
              </w:rPr>
              <w:t>2025</w:t>
            </w:r>
          </w:p>
        </w:tc>
        <w:tc>
          <w:tcPr>
            <w:tcW w:w="3266" w:type="dxa"/>
          </w:tcPr>
          <w:p w14:paraId="77F7AFCE" w14:textId="77777777" w:rsidR="004C3E6E" w:rsidRPr="00841B16" w:rsidRDefault="004C3E6E" w:rsidP="00A45833">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Santiago Londoño Correa</w:t>
            </w:r>
          </w:p>
          <w:p w14:paraId="7420593C" w14:textId="77777777" w:rsidR="004C3E6E" w:rsidRDefault="004C3E6E" w:rsidP="00A45833">
            <w:pPr>
              <w:tabs>
                <w:tab w:val="left" w:pos="1620"/>
              </w:tabs>
              <w:ind w:right="141"/>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Superintendente </w:t>
            </w:r>
            <w:proofErr w:type="gramStart"/>
            <w:r>
              <w:rPr>
                <w:rFonts w:ascii="Verdana" w:hAnsi="Verdana" w:cs="Arial"/>
                <w:sz w:val="18"/>
                <w:szCs w:val="18"/>
              </w:rPr>
              <w:t>Delegado</w:t>
            </w:r>
            <w:proofErr w:type="gramEnd"/>
            <w:r>
              <w:rPr>
                <w:rFonts w:ascii="Verdana" w:hAnsi="Verdana" w:cs="Arial"/>
                <w:sz w:val="18"/>
                <w:szCs w:val="18"/>
              </w:rPr>
              <w:t xml:space="preserve"> de Procedimientos de Insolvencia</w:t>
            </w:r>
            <w:r w:rsidRPr="00841B16">
              <w:rPr>
                <w:rFonts w:ascii="Verdana" w:hAnsi="Verdana" w:cs="Arial"/>
                <w:sz w:val="18"/>
                <w:szCs w:val="18"/>
              </w:rPr>
              <w:t xml:space="preserve"> </w:t>
            </w:r>
          </w:p>
          <w:p w14:paraId="180C461D" w14:textId="332E28DB" w:rsidR="004C3E6E" w:rsidRPr="00841B16" w:rsidRDefault="004C3E6E" w:rsidP="00A45833">
            <w:pPr>
              <w:tabs>
                <w:tab w:val="left" w:pos="1620"/>
              </w:tabs>
              <w:ind w:right="141"/>
              <w:rPr>
                <w:rFonts w:ascii="Verdana" w:hAnsi="Verdana" w:cs="Arial"/>
                <w:sz w:val="18"/>
                <w:szCs w:val="18"/>
              </w:rPr>
            </w:pPr>
            <w:r w:rsidRPr="00841B16">
              <w:rPr>
                <w:rFonts w:ascii="Verdana" w:hAnsi="Verdana" w:cs="Arial"/>
                <w:sz w:val="18"/>
                <w:szCs w:val="18"/>
              </w:rPr>
              <w:t>Fecha:</w:t>
            </w:r>
            <w:r w:rsidR="00851A83">
              <w:rPr>
                <w:rFonts w:ascii="Verdana" w:hAnsi="Verdana" w:cs="Arial"/>
                <w:sz w:val="18"/>
                <w:szCs w:val="18"/>
              </w:rPr>
              <w:t xml:space="preserve"> 24</w:t>
            </w:r>
            <w:r>
              <w:rPr>
                <w:rFonts w:ascii="Verdana" w:hAnsi="Verdana" w:cs="Arial"/>
                <w:sz w:val="18"/>
                <w:szCs w:val="18"/>
              </w:rPr>
              <w:t>/</w:t>
            </w:r>
            <w:r w:rsidR="00851A83">
              <w:rPr>
                <w:rFonts w:ascii="Verdana" w:hAnsi="Verdana" w:cs="Arial"/>
                <w:sz w:val="18"/>
                <w:szCs w:val="18"/>
              </w:rPr>
              <w:t>10</w:t>
            </w:r>
            <w:r>
              <w:rPr>
                <w:rFonts w:ascii="Verdana" w:hAnsi="Verdana" w:cs="Arial"/>
                <w:sz w:val="18"/>
                <w:szCs w:val="18"/>
              </w:rPr>
              <w:t>/</w:t>
            </w:r>
            <w:r w:rsidR="00851A83">
              <w:rPr>
                <w:rFonts w:ascii="Verdana" w:hAnsi="Verdana" w:cs="Arial"/>
                <w:sz w:val="18"/>
                <w:szCs w:val="18"/>
              </w:rPr>
              <w:t>2025</w:t>
            </w:r>
          </w:p>
        </w:tc>
      </w:tr>
    </w:tbl>
    <w:p w14:paraId="10B0F878" w14:textId="77777777" w:rsidR="00841B16" w:rsidRPr="001C0189" w:rsidRDefault="00841B16" w:rsidP="00841B16">
      <w:pPr>
        <w:rPr>
          <w:rFonts w:ascii="Verdana" w:hAnsi="Verdana" w:cs="Arial"/>
          <w:b/>
          <w:sz w:val="22"/>
          <w:szCs w:val="22"/>
        </w:rPr>
      </w:pPr>
    </w:p>
    <w:p w14:paraId="453B09FB" w14:textId="3F0032B4" w:rsidR="00445A78" w:rsidRPr="00445A78" w:rsidRDefault="00445A78" w:rsidP="002D1951">
      <w:pPr>
        <w:jc w:val="both"/>
        <w:rPr>
          <w:rFonts w:ascii="Nunito" w:hAnsi="Nunito" w:cs="Arial"/>
          <w:sz w:val="22"/>
          <w:szCs w:val="22"/>
        </w:rPr>
      </w:pPr>
    </w:p>
    <w:sectPr w:rsidR="00445A78" w:rsidRPr="00445A78"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5AF3" w14:textId="77777777" w:rsidR="00277797" w:rsidRDefault="00277797">
      <w:r>
        <w:separator/>
      </w:r>
    </w:p>
  </w:endnote>
  <w:endnote w:type="continuationSeparator" w:id="0">
    <w:p w14:paraId="1EC159A1" w14:textId="77777777" w:rsidR="00277797" w:rsidRDefault="0027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0A2791"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B665" w14:textId="77777777" w:rsidR="00277797" w:rsidRDefault="00277797">
      <w:r>
        <w:separator/>
      </w:r>
    </w:p>
  </w:footnote>
  <w:footnote w:type="continuationSeparator" w:id="0">
    <w:p w14:paraId="3F06BCE0" w14:textId="77777777" w:rsidR="00277797" w:rsidRDefault="0027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09E0D863" w:rsidR="00615A4E" w:rsidRPr="00DD48CF"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DD48CF">
            <w:rPr>
              <w:rFonts w:ascii="Verdana" w:hAnsi="Verdana" w:cs="Arial"/>
              <w:sz w:val="18"/>
              <w:szCs w:val="18"/>
              <w:lang w:val="es-MX"/>
            </w:rPr>
            <w:t>RECUPERACIÓN EMPRESARIAL</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1483FE02" w:rsidR="00615A4E" w:rsidRPr="00DD48CF" w:rsidRDefault="00DD48CF" w:rsidP="00142ECD">
          <w:pPr>
            <w:jc w:val="center"/>
            <w:rPr>
              <w:rFonts w:ascii="Verdana" w:hAnsi="Verdana" w:cs="Arial"/>
              <w:sz w:val="18"/>
              <w:szCs w:val="18"/>
              <w:lang w:val="es-MX"/>
            </w:rPr>
          </w:pPr>
          <w:r w:rsidRPr="00DD48CF">
            <w:rPr>
              <w:rFonts w:ascii="Verdana" w:hAnsi="Verdana" w:cs="Arial"/>
              <w:sz w:val="18"/>
              <w:szCs w:val="18"/>
              <w:lang w:val="es-MX"/>
            </w:rPr>
            <w:t>REM</w:t>
          </w:r>
          <w:r w:rsidR="00142ECD" w:rsidRPr="00DD48CF">
            <w:rPr>
              <w:rFonts w:ascii="Verdana" w:hAnsi="Verdana" w:cs="Arial"/>
              <w:sz w:val="18"/>
              <w:szCs w:val="18"/>
              <w:lang w:val="es-MX"/>
            </w:rPr>
            <w:t>-</w:t>
          </w:r>
          <w:r w:rsidRPr="00DD48CF">
            <w:rPr>
              <w:rFonts w:ascii="Verdana" w:hAnsi="Verdana" w:cs="Arial"/>
              <w:sz w:val="18"/>
              <w:szCs w:val="18"/>
              <w:lang w:val="es-MX"/>
            </w:rPr>
            <w:t>PR-004</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4B83557B" w:rsidR="00615A4E" w:rsidRPr="00DD48CF" w:rsidRDefault="00DD48CF" w:rsidP="007E0E9A">
          <w:pPr>
            <w:jc w:val="center"/>
            <w:rPr>
              <w:rFonts w:ascii="Verdana" w:hAnsi="Verdana" w:cs="Arial"/>
              <w:sz w:val="18"/>
              <w:szCs w:val="18"/>
              <w:lang w:val="es-MX"/>
            </w:rPr>
          </w:pPr>
          <w:r w:rsidRPr="00DD48CF">
            <w:rPr>
              <w:rFonts w:ascii="Verdana" w:hAnsi="Verdana" w:cs="Arial"/>
              <w:sz w:val="18"/>
              <w:szCs w:val="18"/>
              <w:lang w:val="es-MX"/>
            </w:rPr>
            <w:t>00</w:t>
          </w:r>
          <w:r w:rsidR="006E42CD">
            <w:rPr>
              <w:rFonts w:ascii="Verdana" w:hAnsi="Verdana" w:cs="Arial"/>
              <w:sz w:val="18"/>
              <w:szCs w:val="18"/>
              <w:lang w:val="es-MX"/>
            </w:rPr>
            <w:t>2</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0A5B6021" w:rsidR="00615A4E" w:rsidRPr="00E833B8" w:rsidRDefault="00615A4E" w:rsidP="007E0E9A">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sidR="00DD48CF" w:rsidRPr="00DD48CF">
            <w:rPr>
              <w:rFonts w:ascii="Verdana" w:hAnsi="Verdana" w:cs="Arial"/>
              <w:sz w:val="18"/>
              <w:szCs w:val="18"/>
              <w:lang w:val="es-MX"/>
            </w:rPr>
            <w:t>REORGANIZACIÓN</w:t>
          </w:r>
          <w:r w:rsidR="006E42CD">
            <w:rPr>
              <w:rFonts w:ascii="Verdana" w:hAnsi="Verdana" w:cs="Arial"/>
              <w:sz w:val="18"/>
              <w:szCs w:val="18"/>
              <w:lang w:val="es-MX"/>
            </w:rPr>
            <w:t xml:space="preserve"> EMPRESARIAL</w:t>
          </w:r>
          <w:r w:rsidR="00DD48CF" w:rsidRPr="00DD48CF">
            <w:rPr>
              <w:rFonts w:ascii="Verdana" w:hAnsi="Verdana" w:cs="Arial"/>
              <w:sz w:val="18"/>
              <w:szCs w:val="18"/>
              <w:lang w:val="es-MX"/>
            </w:rPr>
            <w:t xml:space="preserve"> ABREVIADA</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3AAA7CD6" w:rsidR="00615A4E" w:rsidRPr="00AD7AA1" w:rsidRDefault="00851A83" w:rsidP="007E0E9A">
          <w:pPr>
            <w:jc w:val="center"/>
            <w:rPr>
              <w:rFonts w:ascii="Verdana" w:hAnsi="Verdana" w:cs="Arial"/>
              <w:color w:val="FF0000"/>
              <w:sz w:val="18"/>
              <w:szCs w:val="18"/>
              <w:lang w:val="es-MX"/>
            </w:rPr>
          </w:pPr>
          <w:r w:rsidRPr="00851A83">
            <w:rPr>
              <w:rFonts w:ascii="Verdana" w:hAnsi="Verdana" w:cs="Arial"/>
              <w:sz w:val="18"/>
              <w:szCs w:val="18"/>
              <w:lang w:val="es-MX"/>
            </w:rPr>
            <w:t>24</w:t>
          </w:r>
          <w:r w:rsidR="00615A4E" w:rsidRPr="00851A83">
            <w:rPr>
              <w:rFonts w:ascii="Verdana" w:hAnsi="Verdana" w:cs="Arial"/>
              <w:sz w:val="18"/>
              <w:szCs w:val="18"/>
              <w:lang w:val="es-MX"/>
            </w:rPr>
            <w:t>/</w:t>
          </w:r>
          <w:r w:rsidRPr="00851A83">
            <w:rPr>
              <w:rFonts w:ascii="Verdana" w:hAnsi="Verdana" w:cs="Arial"/>
              <w:sz w:val="18"/>
              <w:szCs w:val="18"/>
              <w:lang w:val="es-MX"/>
            </w:rPr>
            <w:t>10</w:t>
          </w:r>
          <w:r w:rsidR="00615A4E" w:rsidRPr="00851A83">
            <w:rPr>
              <w:rFonts w:ascii="Verdana" w:hAnsi="Verdana" w:cs="Arial"/>
              <w:sz w:val="18"/>
              <w:szCs w:val="18"/>
              <w:lang w:val="es-MX"/>
            </w:rPr>
            <w:t>/</w:t>
          </w:r>
          <w:r w:rsidRPr="00851A83">
            <w:rPr>
              <w:rFonts w:ascii="Verdana" w:hAnsi="Verdana" w:cs="Arial"/>
              <w:sz w:val="18"/>
              <w:szCs w:val="18"/>
              <w:lang w:val="es-MX"/>
            </w:rPr>
            <w:t>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7A5BDB39" w:rsidR="00615A4E" w:rsidRPr="00E833B8" w:rsidRDefault="00615A4E" w:rsidP="005E4E23">
          <w:pPr>
            <w:jc w:val="center"/>
            <w:rPr>
              <w:rFonts w:ascii="Verdana" w:hAnsi="Verdana" w:cs="Arial"/>
              <w:sz w:val="18"/>
              <w:szCs w:val="18"/>
              <w:lang w:val="es-MX"/>
            </w:rPr>
          </w:pPr>
          <w:r w:rsidRPr="00DD48CF">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1"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5"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7"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1"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2"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3"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4"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5"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68D0DCA"/>
    <w:multiLevelType w:val="hybridMultilevel"/>
    <w:tmpl w:val="7AAA2D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B404794"/>
    <w:multiLevelType w:val="hybridMultilevel"/>
    <w:tmpl w:val="F3D02EBC"/>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2"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3"/>
  </w:num>
  <w:num w:numId="2" w16cid:durableId="240911929">
    <w:abstractNumId w:val="21"/>
  </w:num>
  <w:num w:numId="3" w16cid:durableId="965240730">
    <w:abstractNumId w:val="24"/>
  </w:num>
  <w:num w:numId="4" w16cid:durableId="1833402057">
    <w:abstractNumId w:val="30"/>
  </w:num>
  <w:num w:numId="5" w16cid:durableId="268390467">
    <w:abstractNumId w:val="25"/>
  </w:num>
  <w:num w:numId="6" w16cid:durableId="1713261213">
    <w:abstractNumId w:val="5"/>
  </w:num>
  <w:num w:numId="7" w16cid:durableId="1217937939">
    <w:abstractNumId w:val="20"/>
  </w:num>
  <w:num w:numId="8" w16cid:durableId="1595241601">
    <w:abstractNumId w:val="19"/>
  </w:num>
  <w:num w:numId="9" w16cid:durableId="1719087374">
    <w:abstractNumId w:val="8"/>
  </w:num>
  <w:num w:numId="10" w16cid:durableId="2023966523">
    <w:abstractNumId w:val="7"/>
  </w:num>
  <w:num w:numId="11" w16cid:durableId="466363964">
    <w:abstractNumId w:val="18"/>
  </w:num>
  <w:num w:numId="12" w16cid:durableId="1496606450">
    <w:abstractNumId w:val="1"/>
  </w:num>
  <w:num w:numId="13" w16cid:durableId="1732146799">
    <w:abstractNumId w:val="6"/>
  </w:num>
  <w:num w:numId="14" w16cid:durableId="1937131417">
    <w:abstractNumId w:val="3"/>
  </w:num>
  <w:num w:numId="15" w16cid:durableId="1160386571">
    <w:abstractNumId w:val="4"/>
  </w:num>
  <w:num w:numId="16" w16cid:durableId="1454640251">
    <w:abstractNumId w:val="9"/>
  </w:num>
  <w:num w:numId="17" w16cid:durableId="1150908258">
    <w:abstractNumId w:val="34"/>
  </w:num>
  <w:num w:numId="18" w16cid:durableId="719935636">
    <w:abstractNumId w:val="25"/>
  </w:num>
  <w:num w:numId="19" w16cid:durableId="67848823">
    <w:abstractNumId w:val="20"/>
  </w:num>
  <w:num w:numId="20" w16cid:durableId="1822427222">
    <w:abstractNumId w:val="30"/>
  </w:num>
  <w:num w:numId="21" w16cid:durableId="366028575">
    <w:abstractNumId w:val="14"/>
  </w:num>
  <w:num w:numId="22" w16cid:durableId="1898053995">
    <w:abstractNumId w:val="27"/>
  </w:num>
  <w:num w:numId="23" w16cid:durableId="1323460620">
    <w:abstractNumId w:val="28"/>
  </w:num>
  <w:num w:numId="24" w16cid:durableId="1993024066">
    <w:abstractNumId w:val="15"/>
  </w:num>
  <w:num w:numId="25" w16cid:durableId="70932404">
    <w:abstractNumId w:val="16"/>
  </w:num>
  <w:num w:numId="26" w16cid:durableId="1378897933">
    <w:abstractNumId w:val="12"/>
  </w:num>
  <w:num w:numId="27" w16cid:durableId="866523416">
    <w:abstractNumId w:val="11"/>
  </w:num>
  <w:num w:numId="28" w16cid:durableId="1618675668">
    <w:abstractNumId w:val="32"/>
  </w:num>
  <w:num w:numId="29" w16cid:durableId="61309384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0"/>
  </w:num>
  <w:num w:numId="31" w16cid:durableId="700402119">
    <w:abstractNumId w:val="22"/>
  </w:num>
  <w:num w:numId="32" w16cid:durableId="1561092731">
    <w:abstractNumId w:val="17"/>
  </w:num>
  <w:num w:numId="33" w16cid:durableId="20954730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3"/>
  </w:num>
  <w:num w:numId="35" w16cid:durableId="339547365">
    <w:abstractNumId w:val="31"/>
  </w:num>
  <w:num w:numId="36" w16cid:durableId="696194617">
    <w:abstractNumId w:val="0"/>
  </w:num>
  <w:num w:numId="37" w16cid:durableId="1949656336">
    <w:abstractNumId w:val="13"/>
  </w:num>
  <w:num w:numId="38" w16cid:durableId="1776559789">
    <w:abstractNumId w:val="2"/>
  </w:num>
  <w:num w:numId="39" w16cid:durableId="136773864">
    <w:abstractNumId w:val="26"/>
  </w:num>
  <w:num w:numId="40" w16cid:durableId="181818075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246F"/>
    <w:rsid w:val="00023328"/>
    <w:rsid w:val="000278E6"/>
    <w:rsid w:val="00036CE2"/>
    <w:rsid w:val="00044B02"/>
    <w:rsid w:val="00045949"/>
    <w:rsid w:val="00052039"/>
    <w:rsid w:val="000560E2"/>
    <w:rsid w:val="000570DE"/>
    <w:rsid w:val="000571BC"/>
    <w:rsid w:val="000573B5"/>
    <w:rsid w:val="00061C60"/>
    <w:rsid w:val="0006382B"/>
    <w:rsid w:val="00073CC6"/>
    <w:rsid w:val="00076A5A"/>
    <w:rsid w:val="0008132E"/>
    <w:rsid w:val="000821EF"/>
    <w:rsid w:val="00082257"/>
    <w:rsid w:val="0008248C"/>
    <w:rsid w:val="00084472"/>
    <w:rsid w:val="00086DE6"/>
    <w:rsid w:val="00087EB8"/>
    <w:rsid w:val="0009115C"/>
    <w:rsid w:val="00096A8A"/>
    <w:rsid w:val="00096EFB"/>
    <w:rsid w:val="000A055E"/>
    <w:rsid w:val="000A2791"/>
    <w:rsid w:val="000A322E"/>
    <w:rsid w:val="000A3DF8"/>
    <w:rsid w:val="000A5FBE"/>
    <w:rsid w:val="000A7218"/>
    <w:rsid w:val="000A7F43"/>
    <w:rsid w:val="000B18C5"/>
    <w:rsid w:val="000B209B"/>
    <w:rsid w:val="000B3528"/>
    <w:rsid w:val="000B441F"/>
    <w:rsid w:val="000B56C1"/>
    <w:rsid w:val="000C0DD9"/>
    <w:rsid w:val="000C1CF8"/>
    <w:rsid w:val="000C2DA6"/>
    <w:rsid w:val="000C7503"/>
    <w:rsid w:val="000C7687"/>
    <w:rsid w:val="000D0B46"/>
    <w:rsid w:val="000D2D5A"/>
    <w:rsid w:val="000D7CC3"/>
    <w:rsid w:val="000E50ED"/>
    <w:rsid w:val="000F1A66"/>
    <w:rsid w:val="000F3D44"/>
    <w:rsid w:val="000F705F"/>
    <w:rsid w:val="001002A6"/>
    <w:rsid w:val="00102E42"/>
    <w:rsid w:val="00111B31"/>
    <w:rsid w:val="00116AF1"/>
    <w:rsid w:val="0012086F"/>
    <w:rsid w:val="0012395D"/>
    <w:rsid w:val="0012786E"/>
    <w:rsid w:val="00127D5F"/>
    <w:rsid w:val="00131EA7"/>
    <w:rsid w:val="00133EA6"/>
    <w:rsid w:val="00137D9E"/>
    <w:rsid w:val="001408BF"/>
    <w:rsid w:val="00141A06"/>
    <w:rsid w:val="00141CC9"/>
    <w:rsid w:val="00142ECD"/>
    <w:rsid w:val="0014386B"/>
    <w:rsid w:val="00145E74"/>
    <w:rsid w:val="00150980"/>
    <w:rsid w:val="00154BBE"/>
    <w:rsid w:val="001574FD"/>
    <w:rsid w:val="001612F0"/>
    <w:rsid w:val="00163037"/>
    <w:rsid w:val="00166EAB"/>
    <w:rsid w:val="0017192E"/>
    <w:rsid w:val="00171A22"/>
    <w:rsid w:val="00176BD5"/>
    <w:rsid w:val="001776C0"/>
    <w:rsid w:val="001832D8"/>
    <w:rsid w:val="00183763"/>
    <w:rsid w:val="0019071E"/>
    <w:rsid w:val="001928D3"/>
    <w:rsid w:val="00195034"/>
    <w:rsid w:val="001953E4"/>
    <w:rsid w:val="00195504"/>
    <w:rsid w:val="001A1543"/>
    <w:rsid w:val="001A4A18"/>
    <w:rsid w:val="001A6ABA"/>
    <w:rsid w:val="001B2F1B"/>
    <w:rsid w:val="001C2F04"/>
    <w:rsid w:val="001C4EEA"/>
    <w:rsid w:val="001C62B7"/>
    <w:rsid w:val="001C77C1"/>
    <w:rsid w:val="001D49C2"/>
    <w:rsid w:val="001D74CD"/>
    <w:rsid w:val="001E0280"/>
    <w:rsid w:val="001E591A"/>
    <w:rsid w:val="001F0360"/>
    <w:rsid w:val="001F0C15"/>
    <w:rsid w:val="001F1D92"/>
    <w:rsid w:val="001F23EA"/>
    <w:rsid w:val="001F7699"/>
    <w:rsid w:val="002002AE"/>
    <w:rsid w:val="002030A6"/>
    <w:rsid w:val="0020538B"/>
    <w:rsid w:val="00206AB3"/>
    <w:rsid w:val="0021282A"/>
    <w:rsid w:val="0021406F"/>
    <w:rsid w:val="00215ED2"/>
    <w:rsid w:val="00215F5F"/>
    <w:rsid w:val="00216F48"/>
    <w:rsid w:val="00223CD5"/>
    <w:rsid w:val="00227592"/>
    <w:rsid w:val="00227793"/>
    <w:rsid w:val="00231B62"/>
    <w:rsid w:val="002346A9"/>
    <w:rsid w:val="00234D1C"/>
    <w:rsid w:val="00241B3A"/>
    <w:rsid w:val="00241F6C"/>
    <w:rsid w:val="00242C52"/>
    <w:rsid w:val="0024361E"/>
    <w:rsid w:val="00243A5C"/>
    <w:rsid w:val="00243C17"/>
    <w:rsid w:val="00245ACA"/>
    <w:rsid w:val="0025145E"/>
    <w:rsid w:val="00252E3A"/>
    <w:rsid w:val="002539DA"/>
    <w:rsid w:val="002561CD"/>
    <w:rsid w:val="00256902"/>
    <w:rsid w:val="00262418"/>
    <w:rsid w:val="002634CD"/>
    <w:rsid w:val="00264163"/>
    <w:rsid w:val="0026776C"/>
    <w:rsid w:val="0027060C"/>
    <w:rsid w:val="0027172F"/>
    <w:rsid w:val="00276AF5"/>
    <w:rsid w:val="00277797"/>
    <w:rsid w:val="00285503"/>
    <w:rsid w:val="0029321F"/>
    <w:rsid w:val="00293582"/>
    <w:rsid w:val="002A53F3"/>
    <w:rsid w:val="002A5C26"/>
    <w:rsid w:val="002B46CD"/>
    <w:rsid w:val="002C1530"/>
    <w:rsid w:val="002C7BF4"/>
    <w:rsid w:val="002D1951"/>
    <w:rsid w:val="002D2DAF"/>
    <w:rsid w:val="002D4085"/>
    <w:rsid w:val="002E1AD8"/>
    <w:rsid w:val="002E60BF"/>
    <w:rsid w:val="002F3329"/>
    <w:rsid w:val="002F5176"/>
    <w:rsid w:val="00300DF3"/>
    <w:rsid w:val="003019B1"/>
    <w:rsid w:val="003033AC"/>
    <w:rsid w:val="00303C5A"/>
    <w:rsid w:val="003058A9"/>
    <w:rsid w:val="00305C50"/>
    <w:rsid w:val="0030615B"/>
    <w:rsid w:val="003062A0"/>
    <w:rsid w:val="0030752C"/>
    <w:rsid w:val="00311C38"/>
    <w:rsid w:val="00312555"/>
    <w:rsid w:val="00313560"/>
    <w:rsid w:val="0031464C"/>
    <w:rsid w:val="003153B2"/>
    <w:rsid w:val="00316FBB"/>
    <w:rsid w:val="0032076E"/>
    <w:rsid w:val="00327877"/>
    <w:rsid w:val="00327959"/>
    <w:rsid w:val="00335AE3"/>
    <w:rsid w:val="00336A1D"/>
    <w:rsid w:val="00340B86"/>
    <w:rsid w:val="00342EE6"/>
    <w:rsid w:val="0034358E"/>
    <w:rsid w:val="003500A6"/>
    <w:rsid w:val="0035013A"/>
    <w:rsid w:val="0035110D"/>
    <w:rsid w:val="00356A97"/>
    <w:rsid w:val="003576C2"/>
    <w:rsid w:val="00361711"/>
    <w:rsid w:val="00362AF2"/>
    <w:rsid w:val="00362B3A"/>
    <w:rsid w:val="0037085A"/>
    <w:rsid w:val="003721B4"/>
    <w:rsid w:val="003752D4"/>
    <w:rsid w:val="00377241"/>
    <w:rsid w:val="003815C2"/>
    <w:rsid w:val="0038515F"/>
    <w:rsid w:val="003860B3"/>
    <w:rsid w:val="003864E8"/>
    <w:rsid w:val="0039147C"/>
    <w:rsid w:val="00392246"/>
    <w:rsid w:val="0039672A"/>
    <w:rsid w:val="003A100C"/>
    <w:rsid w:val="003A15AF"/>
    <w:rsid w:val="003A1A1A"/>
    <w:rsid w:val="003A28FC"/>
    <w:rsid w:val="003A313A"/>
    <w:rsid w:val="003A3628"/>
    <w:rsid w:val="003A6222"/>
    <w:rsid w:val="003A6E84"/>
    <w:rsid w:val="003A6F40"/>
    <w:rsid w:val="003B0A42"/>
    <w:rsid w:val="003B0BF6"/>
    <w:rsid w:val="003B1338"/>
    <w:rsid w:val="003B15F5"/>
    <w:rsid w:val="003B2B6A"/>
    <w:rsid w:val="003B2D1F"/>
    <w:rsid w:val="003B6212"/>
    <w:rsid w:val="003C28A7"/>
    <w:rsid w:val="003C6692"/>
    <w:rsid w:val="003C6C7F"/>
    <w:rsid w:val="003C7EA8"/>
    <w:rsid w:val="003D2945"/>
    <w:rsid w:val="003D43DC"/>
    <w:rsid w:val="003D4D27"/>
    <w:rsid w:val="003E055B"/>
    <w:rsid w:val="003E105E"/>
    <w:rsid w:val="003E166C"/>
    <w:rsid w:val="003E4874"/>
    <w:rsid w:val="003E60BC"/>
    <w:rsid w:val="003F1C7B"/>
    <w:rsid w:val="003F511C"/>
    <w:rsid w:val="003F5842"/>
    <w:rsid w:val="003F602F"/>
    <w:rsid w:val="00403FBD"/>
    <w:rsid w:val="004073DB"/>
    <w:rsid w:val="00407B5F"/>
    <w:rsid w:val="0041733F"/>
    <w:rsid w:val="0041740A"/>
    <w:rsid w:val="00417579"/>
    <w:rsid w:val="00422AA4"/>
    <w:rsid w:val="0042408A"/>
    <w:rsid w:val="0043715D"/>
    <w:rsid w:val="00441466"/>
    <w:rsid w:val="00444291"/>
    <w:rsid w:val="00445A78"/>
    <w:rsid w:val="00451D61"/>
    <w:rsid w:val="0045227F"/>
    <w:rsid w:val="00457870"/>
    <w:rsid w:val="00486FDE"/>
    <w:rsid w:val="00487936"/>
    <w:rsid w:val="00491B58"/>
    <w:rsid w:val="004933C5"/>
    <w:rsid w:val="00495F1F"/>
    <w:rsid w:val="004A2639"/>
    <w:rsid w:val="004A4D34"/>
    <w:rsid w:val="004A6417"/>
    <w:rsid w:val="004A6754"/>
    <w:rsid w:val="004A741B"/>
    <w:rsid w:val="004A7D5C"/>
    <w:rsid w:val="004B4F1E"/>
    <w:rsid w:val="004B786C"/>
    <w:rsid w:val="004B7EC0"/>
    <w:rsid w:val="004C02E7"/>
    <w:rsid w:val="004C3E6E"/>
    <w:rsid w:val="004C40E9"/>
    <w:rsid w:val="004D184F"/>
    <w:rsid w:val="004D1A27"/>
    <w:rsid w:val="004E1AFE"/>
    <w:rsid w:val="004E2CDD"/>
    <w:rsid w:val="004E7038"/>
    <w:rsid w:val="004F0324"/>
    <w:rsid w:val="004F0C56"/>
    <w:rsid w:val="004F16B1"/>
    <w:rsid w:val="004F2A3F"/>
    <w:rsid w:val="0050100C"/>
    <w:rsid w:val="00507242"/>
    <w:rsid w:val="005074CD"/>
    <w:rsid w:val="005133E9"/>
    <w:rsid w:val="0051423A"/>
    <w:rsid w:val="005146F4"/>
    <w:rsid w:val="005168F1"/>
    <w:rsid w:val="00516EC5"/>
    <w:rsid w:val="00517035"/>
    <w:rsid w:val="00520172"/>
    <w:rsid w:val="00521527"/>
    <w:rsid w:val="00523F2D"/>
    <w:rsid w:val="005256D2"/>
    <w:rsid w:val="00525717"/>
    <w:rsid w:val="00532529"/>
    <w:rsid w:val="00532682"/>
    <w:rsid w:val="00532ED0"/>
    <w:rsid w:val="00537DDA"/>
    <w:rsid w:val="005408E1"/>
    <w:rsid w:val="00541531"/>
    <w:rsid w:val="005447ED"/>
    <w:rsid w:val="00546551"/>
    <w:rsid w:val="00546C1A"/>
    <w:rsid w:val="00547432"/>
    <w:rsid w:val="005539E9"/>
    <w:rsid w:val="005541C3"/>
    <w:rsid w:val="00557E48"/>
    <w:rsid w:val="005620CA"/>
    <w:rsid w:val="00562955"/>
    <w:rsid w:val="005675B2"/>
    <w:rsid w:val="00570A96"/>
    <w:rsid w:val="005814EB"/>
    <w:rsid w:val="00583A4B"/>
    <w:rsid w:val="005855B9"/>
    <w:rsid w:val="005914AF"/>
    <w:rsid w:val="00597D2B"/>
    <w:rsid w:val="005B2AD1"/>
    <w:rsid w:val="005B5467"/>
    <w:rsid w:val="005C26E2"/>
    <w:rsid w:val="005C5800"/>
    <w:rsid w:val="005C688F"/>
    <w:rsid w:val="005D239C"/>
    <w:rsid w:val="005D3B14"/>
    <w:rsid w:val="005D4D0A"/>
    <w:rsid w:val="005D5EE5"/>
    <w:rsid w:val="005E3269"/>
    <w:rsid w:val="005E4C64"/>
    <w:rsid w:val="005E4E23"/>
    <w:rsid w:val="005F3922"/>
    <w:rsid w:val="005F4932"/>
    <w:rsid w:val="005F6E54"/>
    <w:rsid w:val="00602795"/>
    <w:rsid w:val="006033CF"/>
    <w:rsid w:val="00607519"/>
    <w:rsid w:val="0061241A"/>
    <w:rsid w:val="00612D4F"/>
    <w:rsid w:val="00613614"/>
    <w:rsid w:val="00614613"/>
    <w:rsid w:val="00614B97"/>
    <w:rsid w:val="00615A4E"/>
    <w:rsid w:val="0062241F"/>
    <w:rsid w:val="006314B2"/>
    <w:rsid w:val="00631A1A"/>
    <w:rsid w:val="0063481E"/>
    <w:rsid w:val="00635E26"/>
    <w:rsid w:val="00636255"/>
    <w:rsid w:val="006427E4"/>
    <w:rsid w:val="0064417F"/>
    <w:rsid w:val="0065053E"/>
    <w:rsid w:val="00653D52"/>
    <w:rsid w:val="00654560"/>
    <w:rsid w:val="00657F91"/>
    <w:rsid w:val="00660722"/>
    <w:rsid w:val="00661602"/>
    <w:rsid w:val="006669C7"/>
    <w:rsid w:val="00666B99"/>
    <w:rsid w:val="006676D5"/>
    <w:rsid w:val="00671079"/>
    <w:rsid w:val="0068148D"/>
    <w:rsid w:val="006834B2"/>
    <w:rsid w:val="00683787"/>
    <w:rsid w:val="0069121D"/>
    <w:rsid w:val="00691586"/>
    <w:rsid w:val="00694A1C"/>
    <w:rsid w:val="006959D0"/>
    <w:rsid w:val="00695BF1"/>
    <w:rsid w:val="006A744B"/>
    <w:rsid w:val="006B3C90"/>
    <w:rsid w:val="006B68C6"/>
    <w:rsid w:val="006C05F3"/>
    <w:rsid w:val="006D1488"/>
    <w:rsid w:val="006D3E68"/>
    <w:rsid w:val="006D5F0F"/>
    <w:rsid w:val="006D6094"/>
    <w:rsid w:val="006E1F28"/>
    <w:rsid w:val="006E2852"/>
    <w:rsid w:val="006E42CD"/>
    <w:rsid w:val="006E5502"/>
    <w:rsid w:val="006F04D4"/>
    <w:rsid w:val="006F2D29"/>
    <w:rsid w:val="006F309E"/>
    <w:rsid w:val="006F3CED"/>
    <w:rsid w:val="006F4830"/>
    <w:rsid w:val="006F68C9"/>
    <w:rsid w:val="006F7352"/>
    <w:rsid w:val="006F7491"/>
    <w:rsid w:val="006F7770"/>
    <w:rsid w:val="0070079D"/>
    <w:rsid w:val="00704A8A"/>
    <w:rsid w:val="00705A10"/>
    <w:rsid w:val="00707474"/>
    <w:rsid w:val="007125F4"/>
    <w:rsid w:val="007151F2"/>
    <w:rsid w:val="00722DAC"/>
    <w:rsid w:val="007234B1"/>
    <w:rsid w:val="00727C2D"/>
    <w:rsid w:val="007334D9"/>
    <w:rsid w:val="00733A67"/>
    <w:rsid w:val="00735CCC"/>
    <w:rsid w:val="0073758F"/>
    <w:rsid w:val="00745B2A"/>
    <w:rsid w:val="00747C1E"/>
    <w:rsid w:val="0075042D"/>
    <w:rsid w:val="0075147B"/>
    <w:rsid w:val="00752A49"/>
    <w:rsid w:val="00753177"/>
    <w:rsid w:val="00753ABD"/>
    <w:rsid w:val="00754E32"/>
    <w:rsid w:val="0076037E"/>
    <w:rsid w:val="0076081A"/>
    <w:rsid w:val="00762378"/>
    <w:rsid w:val="007726E1"/>
    <w:rsid w:val="00776C93"/>
    <w:rsid w:val="00776CF2"/>
    <w:rsid w:val="00777454"/>
    <w:rsid w:val="007816AE"/>
    <w:rsid w:val="007852AD"/>
    <w:rsid w:val="007855AB"/>
    <w:rsid w:val="0079049E"/>
    <w:rsid w:val="00791263"/>
    <w:rsid w:val="00797922"/>
    <w:rsid w:val="007A0964"/>
    <w:rsid w:val="007A127C"/>
    <w:rsid w:val="007A1645"/>
    <w:rsid w:val="007A217C"/>
    <w:rsid w:val="007A4996"/>
    <w:rsid w:val="007A594C"/>
    <w:rsid w:val="007B1ACB"/>
    <w:rsid w:val="007B3E47"/>
    <w:rsid w:val="007B6407"/>
    <w:rsid w:val="007B712F"/>
    <w:rsid w:val="007C1003"/>
    <w:rsid w:val="007C3E41"/>
    <w:rsid w:val="007D4C94"/>
    <w:rsid w:val="007D52F5"/>
    <w:rsid w:val="007D5A3C"/>
    <w:rsid w:val="007E0787"/>
    <w:rsid w:val="007E07E8"/>
    <w:rsid w:val="007E0E9A"/>
    <w:rsid w:val="007E4526"/>
    <w:rsid w:val="007E67D9"/>
    <w:rsid w:val="007F087B"/>
    <w:rsid w:val="00800675"/>
    <w:rsid w:val="0080123E"/>
    <w:rsid w:val="00804E44"/>
    <w:rsid w:val="0080506E"/>
    <w:rsid w:val="00815623"/>
    <w:rsid w:val="00824A79"/>
    <w:rsid w:val="00832EA6"/>
    <w:rsid w:val="008330C0"/>
    <w:rsid w:val="008330E6"/>
    <w:rsid w:val="00834D1A"/>
    <w:rsid w:val="00837D12"/>
    <w:rsid w:val="00840558"/>
    <w:rsid w:val="008409B1"/>
    <w:rsid w:val="00841244"/>
    <w:rsid w:val="00841B16"/>
    <w:rsid w:val="00842177"/>
    <w:rsid w:val="008470A0"/>
    <w:rsid w:val="00851059"/>
    <w:rsid w:val="00851A83"/>
    <w:rsid w:val="0085298F"/>
    <w:rsid w:val="00853891"/>
    <w:rsid w:val="0085425C"/>
    <w:rsid w:val="0085461B"/>
    <w:rsid w:val="00857E21"/>
    <w:rsid w:val="00860F97"/>
    <w:rsid w:val="008624ED"/>
    <w:rsid w:val="00863EEC"/>
    <w:rsid w:val="00866A5F"/>
    <w:rsid w:val="0087477E"/>
    <w:rsid w:val="00875A17"/>
    <w:rsid w:val="00876F7C"/>
    <w:rsid w:val="008773D0"/>
    <w:rsid w:val="00877478"/>
    <w:rsid w:val="0087749D"/>
    <w:rsid w:val="00880AB7"/>
    <w:rsid w:val="00880C32"/>
    <w:rsid w:val="0088176A"/>
    <w:rsid w:val="00882DAA"/>
    <w:rsid w:val="008842AB"/>
    <w:rsid w:val="00886EE1"/>
    <w:rsid w:val="00891303"/>
    <w:rsid w:val="00893801"/>
    <w:rsid w:val="008A229D"/>
    <w:rsid w:val="008A42C8"/>
    <w:rsid w:val="008A597D"/>
    <w:rsid w:val="008A734C"/>
    <w:rsid w:val="008B6AC1"/>
    <w:rsid w:val="008B76E4"/>
    <w:rsid w:val="008B786A"/>
    <w:rsid w:val="008C192D"/>
    <w:rsid w:val="008C2CD7"/>
    <w:rsid w:val="008C7A9D"/>
    <w:rsid w:val="008C7EF9"/>
    <w:rsid w:val="008D75B5"/>
    <w:rsid w:val="008D75DB"/>
    <w:rsid w:val="008E0F2E"/>
    <w:rsid w:val="008F1E27"/>
    <w:rsid w:val="008F4F0C"/>
    <w:rsid w:val="008F6FE1"/>
    <w:rsid w:val="008F73EB"/>
    <w:rsid w:val="009007AD"/>
    <w:rsid w:val="00902630"/>
    <w:rsid w:val="00905D27"/>
    <w:rsid w:val="009121DA"/>
    <w:rsid w:val="009125E0"/>
    <w:rsid w:val="00915BE2"/>
    <w:rsid w:val="0091619A"/>
    <w:rsid w:val="00917885"/>
    <w:rsid w:val="009204FF"/>
    <w:rsid w:val="009229A3"/>
    <w:rsid w:val="00922A06"/>
    <w:rsid w:val="0092626D"/>
    <w:rsid w:val="0092640F"/>
    <w:rsid w:val="00927FA5"/>
    <w:rsid w:val="009317BF"/>
    <w:rsid w:val="0093528C"/>
    <w:rsid w:val="009370F4"/>
    <w:rsid w:val="00937DFB"/>
    <w:rsid w:val="0094118C"/>
    <w:rsid w:val="0094313F"/>
    <w:rsid w:val="0095238D"/>
    <w:rsid w:val="00954FF9"/>
    <w:rsid w:val="00955A8D"/>
    <w:rsid w:val="00955F79"/>
    <w:rsid w:val="009561AF"/>
    <w:rsid w:val="009608BA"/>
    <w:rsid w:val="00962038"/>
    <w:rsid w:val="009631BF"/>
    <w:rsid w:val="0096788A"/>
    <w:rsid w:val="00967A55"/>
    <w:rsid w:val="00970120"/>
    <w:rsid w:val="00971164"/>
    <w:rsid w:val="00971195"/>
    <w:rsid w:val="009718FD"/>
    <w:rsid w:val="00972944"/>
    <w:rsid w:val="00974DC0"/>
    <w:rsid w:val="00974DE0"/>
    <w:rsid w:val="0097602E"/>
    <w:rsid w:val="00977634"/>
    <w:rsid w:val="00983DCE"/>
    <w:rsid w:val="00984BB7"/>
    <w:rsid w:val="009853F1"/>
    <w:rsid w:val="00986614"/>
    <w:rsid w:val="0098771C"/>
    <w:rsid w:val="00990864"/>
    <w:rsid w:val="00994A9A"/>
    <w:rsid w:val="009963B2"/>
    <w:rsid w:val="009976F0"/>
    <w:rsid w:val="009A0F7D"/>
    <w:rsid w:val="009A24E0"/>
    <w:rsid w:val="009A6410"/>
    <w:rsid w:val="009B33CE"/>
    <w:rsid w:val="009B5D2C"/>
    <w:rsid w:val="009B66C6"/>
    <w:rsid w:val="009B68AA"/>
    <w:rsid w:val="009C5F26"/>
    <w:rsid w:val="009D007F"/>
    <w:rsid w:val="009D10F5"/>
    <w:rsid w:val="009D6105"/>
    <w:rsid w:val="009D7959"/>
    <w:rsid w:val="009E7448"/>
    <w:rsid w:val="009F0DB0"/>
    <w:rsid w:val="009F1B6D"/>
    <w:rsid w:val="009F3C82"/>
    <w:rsid w:val="009F3F82"/>
    <w:rsid w:val="009F6099"/>
    <w:rsid w:val="00A04765"/>
    <w:rsid w:val="00A064A4"/>
    <w:rsid w:val="00A11597"/>
    <w:rsid w:val="00A13F34"/>
    <w:rsid w:val="00A16E2E"/>
    <w:rsid w:val="00A17449"/>
    <w:rsid w:val="00A211EA"/>
    <w:rsid w:val="00A214AD"/>
    <w:rsid w:val="00A2622C"/>
    <w:rsid w:val="00A32A83"/>
    <w:rsid w:val="00A406E7"/>
    <w:rsid w:val="00A40C90"/>
    <w:rsid w:val="00A422CD"/>
    <w:rsid w:val="00A42575"/>
    <w:rsid w:val="00A438B5"/>
    <w:rsid w:val="00A441E5"/>
    <w:rsid w:val="00A5272C"/>
    <w:rsid w:val="00A56718"/>
    <w:rsid w:val="00A67242"/>
    <w:rsid w:val="00A70523"/>
    <w:rsid w:val="00A71C95"/>
    <w:rsid w:val="00A71E94"/>
    <w:rsid w:val="00A72906"/>
    <w:rsid w:val="00A72FF4"/>
    <w:rsid w:val="00A7648C"/>
    <w:rsid w:val="00A80DCD"/>
    <w:rsid w:val="00A917EE"/>
    <w:rsid w:val="00A9393F"/>
    <w:rsid w:val="00A952A7"/>
    <w:rsid w:val="00A97820"/>
    <w:rsid w:val="00AA2429"/>
    <w:rsid w:val="00AA5FB4"/>
    <w:rsid w:val="00AA6FFC"/>
    <w:rsid w:val="00AB0310"/>
    <w:rsid w:val="00AB0591"/>
    <w:rsid w:val="00AB6577"/>
    <w:rsid w:val="00AC0246"/>
    <w:rsid w:val="00AC0DA0"/>
    <w:rsid w:val="00AC1498"/>
    <w:rsid w:val="00AC608A"/>
    <w:rsid w:val="00AC6AF0"/>
    <w:rsid w:val="00AD7AA1"/>
    <w:rsid w:val="00AE0019"/>
    <w:rsid w:val="00AE159A"/>
    <w:rsid w:val="00AE46E3"/>
    <w:rsid w:val="00AE4AFB"/>
    <w:rsid w:val="00AE5F21"/>
    <w:rsid w:val="00AE7176"/>
    <w:rsid w:val="00AF01DA"/>
    <w:rsid w:val="00AF1556"/>
    <w:rsid w:val="00AF38FD"/>
    <w:rsid w:val="00AF4B3A"/>
    <w:rsid w:val="00AF539F"/>
    <w:rsid w:val="00AF6764"/>
    <w:rsid w:val="00AF790E"/>
    <w:rsid w:val="00B03D59"/>
    <w:rsid w:val="00B04D25"/>
    <w:rsid w:val="00B0548C"/>
    <w:rsid w:val="00B06E7F"/>
    <w:rsid w:val="00B0760C"/>
    <w:rsid w:val="00B10BB6"/>
    <w:rsid w:val="00B13891"/>
    <w:rsid w:val="00B15B20"/>
    <w:rsid w:val="00B17813"/>
    <w:rsid w:val="00B218DF"/>
    <w:rsid w:val="00B22E4A"/>
    <w:rsid w:val="00B274B8"/>
    <w:rsid w:val="00B30E57"/>
    <w:rsid w:val="00B314AC"/>
    <w:rsid w:val="00B33B85"/>
    <w:rsid w:val="00B37BEA"/>
    <w:rsid w:val="00B40F80"/>
    <w:rsid w:val="00B4156D"/>
    <w:rsid w:val="00B42778"/>
    <w:rsid w:val="00B4731A"/>
    <w:rsid w:val="00B62E26"/>
    <w:rsid w:val="00B6496F"/>
    <w:rsid w:val="00B712FB"/>
    <w:rsid w:val="00B757D4"/>
    <w:rsid w:val="00B81DCC"/>
    <w:rsid w:val="00B82197"/>
    <w:rsid w:val="00B82BE2"/>
    <w:rsid w:val="00B87345"/>
    <w:rsid w:val="00B91D96"/>
    <w:rsid w:val="00B934E0"/>
    <w:rsid w:val="00B950B8"/>
    <w:rsid w:val="00B95E50"/>
    <w:rsid w:val="00B96ED4"/>
    <w:rsid w:val="00BA04DA"/>
    <w:rsid w:val="00BA1B9F"/>
    <w:rsid w:val="00BA6571"/>
    <w:rsid w:val="00BA73D2"/>
    <w:rsid w:val="00BB130D"/>
    <w:rsid w:val="00BB22C1"/>
    <w:rsid w:val="00BB4E86"/>
    <w:rsid w:val="00BC76F1"/>
    <w:rsid w:val="00BD5901"/>
    <w:rsid w:val="00BE20C0"/>
    <w:rsid w:val="00BE264A"/>
    <w:rsid w:val="00BE5177"/>
    <w:rsid w:val="00BE5EB3"/>
    <w:rsid w:val="00BE5F23"/>
    <w:rsid w:val="00BF0BDD"/>
    <w:rsid w:val="00BF1150"/>
    <w:rsid w:val="00BF6311"/>
    <w:rsid w:val="00BF6BA9"/>
    <w:rsid w:val="00BF7026"/>
    <w:rsid w:val="00C01950"/>
    <w:rsid w:val="00C03E23"/>
    <w:rsid w:val="00C05FBA"/>
    <w:rsid w:val="00C102A7"/>
    <w:rsid w:val="00C1662E"/>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5039C"/>
    <w:rsid w:val="00C65B9D"/>
    <w:rsid w:val="00C6617D"/>
    <w:rsid w:val="00C75611"/>
    <w:rsid w:val="00C75C6E"/>
    <w:rsid w:val="00C76E87"/>
    <w:rsid w:val="00C775B5"/>
    <w:rsid w:val="00C836E4"/>
    <w:rsid w:val="00C83F57"/>
    <w:rsid w:val="00C8424B"/>
    <w:rsid w:val="00C87CF9"/>
    <w:rsid w:val="00C90585"/>
    <w:rsid w:val="00C91B3B"/>
    <w:rsid w:val="00C9272D"/>
    <w:rsid w:val="00C9318E"/>
    <w:rsid w:val="00C97896"/>
    <w:rsid w:val="00CA2D9E"/>
    <w:rsid w:val="00CA3ED4"/>
    <w:rsid w:val="00CA4BAA"/>
    <w:rsid w:val="00CA4DDC"/>
    <w:rsid w:val="00CB2C51"/>
    <w:rsid w:val="00CB5757"/>
    <w:rsid w:val="00CB7FAD"/>
    <w:rsid w:val="00CC243A"/>
    <w:rsid w:val="00CC6F5B"/>
    <w:rsid w:val="00CD01C7"/>
    <w:rsid w:val="00CD5AD8"/>
    <w:rsid w:val="00CD63C9"/>
    <w:rsid w:val="00CD76DF"/>
    <w:rsid w:val="00CE2058"/>
    <w:rsid w:val="00CE29CD"/>
    <w:rsid w:val="00CE6B1C"/>
    <w:rsid w:val="00CE6DA0"/>
    <w:rsid w:val="00CF0C7B"/>
    <w:rsid w:val="00CF0E64"/>
    <w:rsid w:val="00CF1489"/>
    <w:rsid w:val="00CF14C6"/>
    <w:rsid w:val="00CF25C7"/>
    <w:rsid w:val="00CF28B2"/>
    <w:rsid w:val="00CF2C3D"/>
    <w:rsid w:val="00CF3C19"/>
    <w:rsid w:val="00CF3EB7"/>
    <w:rsid w:val="00D0021C"/>
    <w:rsid w:val="00D02BAC"/>
    <w:rsid w:val="00D12E59"/>
    <w:rsid w:val="00D14B3D"/>
    <w:rsid w:val="00D16AB3"/>
    <w:rsid w:val="00D21B3F"/>
    <w:rsid w:val="00D2493A"/>
    <w:rsid w:val="00D265A6"/>
    <w:rsid w:val="00D26D33"/>
    <w:rsid w:val="00D32F2B"/>
    <w:rsid w:val="00D3393A"/>
    <w:rsid w:val="00D34630"/>
    <w:rsid w:val="00D353C7"/>
    <w:rsid w:val="00D36AE3"/>
    <w:rsid w:val="00D37EFE"/>
    <w:rsid w:val="00D37F5E"/>
    <w:rsid w:val="00D4199D"/>
    <w:rsid w:val="00D433FE"/>
    <w:rsid w:val="00D43DC1"/>
    <w:rsid w:val="00D50308"/>
    <w:rsid w:val="00D50772"/>
    <w:rsid w:val="00D50D51"/>
    <w:rsid w:val="00D54FCF"/>
    <w:rsid w:val="00D55DAD"/>
    <w:rsid w:val="00D5717D"/>
    <w:rsid w:val="00D60537"/>
    <w:rsid w:val="00D61EBC"/>
    <w:rsid w:val="00D629FD"/>
    <w:rsid w:val="00D67982"/>
    <w:rsid w:val="00D751AC"/>
    <w:rsid w:val="00D80387"/>
    <w:rsid w:val="00D816A8"/>
    <w:rsid w:val="00D82935"/>
    <w:rsid w:val="00D82F8A"/>
    <w:rsid w:val="00D8406D"/>
    <w:rsid w:val="00D876E5"/>
    <w:rsid w:val="00D90620"/>
    <w:rsid w:val="00D93671"/>
    <w:rsid w:val="00D9622F"/>
    <w:rsid w:val="00D9789B"/>
    <w:rsid w:val="00D97B79"/>
    <w:rsid w:val="00DA03C6"/>
    <w:rsid w:val="00DA046A"/>
    <w:rsid w:val="00DA4C9A"/>
    <w:rsid w:val="00DA5DBC"/>
    <w:rsid w:val="00DA6684"/>
    <w:rsid w:val="00DA6FB0"/>
    <w:rsid w:val="00DA7C55"/>
    <w:rsid w:val="00DB2E98"/>
    <w:rsid w:val="00DB70B6"/>
    <w:rsid w:val="00DC08AB"/>
    <w:rsid w:val="00DC0BE1"/>
    <w:rsid w:val="00DC2383"/>
    <w:rsid w:val="00DC4414"/>
    <w:rsid w:val="00DC75E6"/>
    <w:rsid w:val="00DC7A9C"/>
    <w:rsid w:val="00DD3E27"/>
    <w:rsid w:val="00DD4333"/>
    <w:rsid w:val="00DD48CF"/>
    <w:rsid w:val="00DD7792"/>
    <w:rsid w:val="00DD77FC"/>
    <w:rsid w:val="00DE1A97"/>
    <w:rsid w:val="00DF4E52"/>
    <w:rsid w:val="00DF69D4"/>
    <w:rsid w:val="00E02B66"/>
    <w:rsid w:val="00E03B35"/>
    <w:rsid w:val="00E13F98"/>
    <w:rsid w:val="00E14940"/>
    <w:rsid w:val="00E16346"/>
    <w:rsid w:val="00E2553F"/>
    <w:rsid w:val="00E26481"/>
    <w:rsid w:val="00E26922"/>
    <w:rsid w:val="00E273CA"/>
    <w:rsid w:val="00E30A1D"/>
    <w:rsid w:val="00E30F98"/>
    <w:rsid w:val="00E3488D"/>
    <w:rsid w:val="00E4227C"/>
    <w:rsid w:val="00E426A5"/>
    <w:rsid w:val="00E44114"/>
    <w:rsid w:val="00E462BE"/>
    <w:rsid w:val="00E46758"/>
    <w:rsid w:val="00E5123E"/>
    <w:rsid w:val="00E51FCF"/>
    <w:rsid w:val="00E529C5"/>
    <w:rsid w:val="00E609EA"/>
    <w:rsid w:val="00E62A04"/>
    <w:rsid w:val="00E65AD0"/>
    <w:rsid w:val="00E70A60"/>
    <w:rsid w:val="00E71ACB"/>
    <w:rsid w:val="00E77FDB"/>
    <w:rsid w:val="00E812D8"/>
    <w:rsid w:val="00E81F1B"/>
    <w:rsid w:val="00E85587"/>
    <w:rsid w:val="00E85765"/>
    <w:rsid w:val="00E873C9"/>
    <w:rsid w:val="00E9161E"/>
    <w:rsid w:val="00E92A4A"/>
    <w:rsid w:val="00E944BC"/>
    <w:rsid w:val="00E95F96"/>
    <w:rsid w:val="00EA29CA"/>
    <w:rsid w:val="00EA7936"/>
    <w:rsid w:val="00EA79EB"/>
    <w:rsid w:val="00EB0B4E"/>
    <w:rsid w:val="00EB0CCE"/>
    <w:rsid w:val="00EB11CF"/>
    <w:rsid w:val="00EB4DD6"/>
    <w:rsid w:val="00EB4F95"/>
    <w:rsid w:val="00EB7E12"/>
    <w:rsid w:val="00EC22AB"/>
    <w:rsid w:val="00EC648D"/>
    <w:rsid w:val="00ED01A4"/>
    <w:rsid w:val="00ED0A55"/>
    <w:rsid w:val="00ED0ABB"/>
    <w:rsid w:val="00ED4E16"/>
    <w:rsid w:val="00EE0F35"/>
    <w:rsid w:val="00EE129C"/>
    <w:rsid w:val="00EE1565"/>
    <w:rsid w:val="00EE29BC"/>
    <w:rsid w:val="00EE3EB0"/>
    <w:rsid w:val="00EE7A9A"/>
    <w:rsid w:val="00EF0FE5"/>
    <w:rsid w:val="00EF3FD3"/>
    <w:rsid w:val="00EF43E7"/>
    <w:rsid w:val="00EF4FC5"/>
    <w:rsid w:val="00F009FA"/>
    <w:rsid w:val="00F023ED"/>
    <w:rsid w:val="00F03D3F"/>
    <w:rsid w:val="00F0439B"/>
    <w:rsid w:val="00F05A6F"/>
    <w:rsid w:val="00F06EFC"/>
    <w:rsid w:val="00F0788B"/>
    <w:rsid w:val="00F07B75"/>
    <w:rsid w:val="00F1033B"/>
    <w:rsid w:val="00F11C2D"/>
    <w:rsid w:val="00F11DDC"/>
    <w:rsid w:val="00F13D2E"/>
    <w:rsid w:val="00F1445B"/>
    <w:rsid w:val="00F14D46"/>
    <w:rsid w:val="00F1650D"/>
    <w:rsid w:val="00F17718"/>
    <w:rsid w:val="00F17C41"/>
    <w:rsid w:val="00F22759"/>
    <w:rsid w:val="00F23033"/>
    <w:rsid w:val="00F2332C"/>
    <w:rsid w:val="00F23D93"/>
    <w:rsid w:val="00F253A0"/>
    <w:rsid w:val="00F26FAE"/>
    <w:rsid w:val="00F272BB"/>
    <w:rsid w:val="00F27D13"/>
    <w:rsid w:val="00F346C3"/>
    <w:rsid w:val="00F3741F"/>
    <w:rsid w:val="00F40281"/>
    <w:rsid w:val="00F412E3"/>
    <w:rsid w:val="00F42071"/>
    <w:rsid w:val="00F429F8"/>
    <w:rsid w:val="00F51A41"/>
    <w:rsid w:val="00F56364"/>
    <w:rsid w:val="00F63C8F"/>
    <w:rsid w:val="00F64A85"/>
    <w:rsid w:val="00F70E51"/>
    <w:rsid w:val="00F73DDC"/>
    <w:rsid w:val="00F74A51"/>
    <w:rsid w:val="00F77968"/>
    <w:rsid w:val="00F84886"/>
    <w:rsid w:val="00F87196"/>
    <w:rsid w:val="00F873C6"/>
    <w:rsid w:val="00F93392"/>
    <w:rsid w:val="00F93B51"/>
    <w:rsid w:val="00F94554"/>
    <w:rsid w:val="00F956E8"/>
    <w:rsid w:val="00F95EC0"/>
    <w:rsid w:val="00F97B72"/>
    <w:rsid w:val="00FA1BD2"/>
    <w:rsid w:val="00FA2154"/>
    <w:rsid w:val="00FA4ED3"/>
    <w:rsid w:val="00FA737B"/>
    <w:rsid w:val="00FC27BE"/>
    <w:rsid w:val="00FC63DD"/>
    <w:rsid w:val="00FD09CB"/>
    <w:rsid w:val="00FD2C02"/>
    <w:rsid w:val="00FE32CB"/>
    <w:rsid w:val="00FE3F73"/>
    <w:rsid w:val="00FE6B43"/>
    <w:rsid w:val="00FE72DF"/>
    <w:rsid w:val="00FF0DA6"/>
    <w:rsid w:val="00FF117D"/>
    <w:rsid w:val="00FF2A7B"/>
    <w:rsid w:val="00FF5501"/>
    <w:rsid w:val="00FF5ED0"/>
    <w:rsid w:val="00FF74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styleId="Mencinsinresolver">
    <w:name w:val="Unresolved Mention"/>
    <w:basedOn w:val="Fuentedeprrafopredeter"/>
    <w:uiPriority w:val="99"/>
    <w:semiHidden/>
    <w:unhideWhenUsed/>
    <w:rsid w:val="00CA3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2047</Words>
  <Characters>11297</Characters>
  <Application>Microsoft Office Word</Application>
  <DocSecurity>0</DocSecurity>
  <Lines>561</Lines>
  <Paragraphs>156</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Juan Manuel Maya Bravo</cp:lastModifiedBy>
  <cp:revision>12</cp:revision>
  <cp:lastPrinted>2025-10-30T18:19:00Z</cp:lastPrinted>
  <dcterms:created xsi:type="dcterms:W3CDTF">2025-08-14T16:09:00Z</dcterms:created>
  <dcterms:modified xsi:type="dcterms:W3CDTF">2025-10-30T18:19:00Z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