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02A193" w14:textId="5E33487C" w:rsidR="008409B1" w:rsidRPr="005500F5" w:rsidRDefault="008E6C8A" w:rsidP="008E6C8A">
      <w:pPr>
        <w:pStyle w:val="Ttulo1"/>
        <w:spacing w:line="240" w:lineRule="auto"/>
        <w:jc w:val="both"/>
        <w:rPr>
          <w:rFonts w:ascii="Verdana" w:hAnsi="Verdana"/>
          <w:sz w:val="22"/>
          <w:szCs w:val="22"/>
        </w:rPr>
      </w:pPr>
      <w:bookmarkStart w:id="0" w:name="_Toc183181506"/>
      <w:r w:rsidRPr="005500F5">
        <w:rPr>
          <w:rFonts w:ascii="Verdana" w:hAnsi="Verdana"/>
          <w:sz w:val="22"/>
          <w:szCs w:val="22"/>
        </w:rPr>
        <w:t xml:space="preserve">1. </w:t>
      </w:r>
      <w:r w:rsidR="008409B1" w:rsidRPr="005500F5">
        <w:rPr>
          <w:rFonts w:ascii="Verdana" w:hAnsi="Verdana"/>
          <w:sz w:val="22"/>
          <w:szCs w:val="22"/>
        </w:rPr>
        <w:t>OBJETIVO</w:t>
      </w:r>
      <w:bookmarkEnd w:id="0"/>
    </w:p>
    <w:p w14:paraId="6DFD51BA" w14:textId="77777777" w:rsidR="008409B1" w:rsidRPr="005500F5" w:rsidRDefault="008409B1" w:rsidP="008E6C8A">
      <w:pPr>
        <w:pStyle w:val="Ttulo1"/>
        <w:spacing w:line="240" w:lineRule="auto"/>
        <w:jc w:val="both"/>
        <w:rPr>
          <w:rFonts w:ascii="Verdana" w:hAnsi="Verdana"/>
          <w:sz w:val="22"/>
          <w:szCs w:val="22"/>
        </w:rPr>
      </w:pPr>
    </w:p>
    <w:p w14:paraId="71084CD8" w14:textId="05E6038D" w:rsidR="00BE06A7" w:rsidRPr="005500F5" w:rsidRDefault="00366FD4" w:rsidP="00F23033">
      <w:pPr>
        <w:jc w:val="both"/>
        <w:rPr>
          <w:rFonts w:ascii="Verdana" w:hAnsi="Verdana" w:cs="Arial"/>
          <w:color w:val="FF0000"/>
          <w:sz w:val="22"/>
          <w:szCs w:val="22"/>
        </w:rPr>
      </w:pPr>
      <w:r w:rsidRPr="005500F5">
        <w:rPr>
          <w:rFonts w:ascii="Verdana" w:hAnsi="Verdana" w:cs="Arial"/>
          <w:sz w:val="22"/>
          <w:szCs w:val="22"/>
          <w:lang w:val="es-CO"/>
        </w:rPr>
        <w:t xml:space="preserve">El objetivo del Protocolo de Supervisión del Registro de Garantías Mobiliarias, es establecer los lineamientos para el ejercicio de la función de supervisión por parte de la Superintendencia de Sociedades, respecto (i) del funcionamiento del </w:t>
      </w:r>
      <w:r w:rsidRPr="005500F5">
        <w:rPr>
          <w:rFonts w:ascii="Verdana" w:hAnsi="Verdana" w:cs="Arial"/>
          <w:sz w:val="22"/>
          <w:szCs w:val="22"/>
        </w:rPr>
        <w:t>Registro de Garantías Mobiliarias (en adelante el “</w:t>
      </w:r>
      <w:r w:rsidRPr="005500F5">
        <w:rPr>
          <w:rFonts w:ascii="Verdana" w:hAnsi="Verdana" w:cs="Arial"/>
          <w:sz w:val="22"/>
          <w:szCs w:val="22"/>
          <w:u w:val="single"/>
        </w:rPr>
        <w:t>RGM</w:t>
      </w:r>
      <w:r w:rsidRPr="005500F5">
        <w:rPr>
          <w:rFonts w:ascii="Verdana" w:hAnsi="Verdana" w:cs="Arial"/>
          <w:sz w:val="22"/>
          <w:szCs w:val="22"/>
        </w:rPr>
        <w:t>”), (</w:t>
      </w:r>
      <w:proofErr w:type="spellStart"/>
      <w:r w:rsidRPr="005500F5">
        <w:rPr>
          <w:rFonts w:ascii="Verdana" w:hAnsi="Verdana" w:cs="Arial"/>
          <w:sz w:val="22"/>
          <w:szCs w:val="22"/>
        </w:rPr>
        <w:t>ii</w:t>
      </w:r>
      <w:proofErr w:type="spellEnd"/>
      <w:r w:rsidRPr="005500F5">
        <w:rPr>
          <w:rFonts w:ascii="Verdana" w:hAnsi="Verdana" w:cs="Arial"/>
          <w:sz w:val="22"/>
          <w:szCs w:val="22"/>
        </w:rPr>
        <w:t>) el cumplimiento de sus funciones y (</w:t>
      </w:r>
      <w:proofErr w:type="spellStart"/>
      <w:r w:rsidRPr="005500F5">
        <w:rPr>
          <w:rFonts w:ascii="Verdana" w:hAnsi="Verdana" w:cs="Arial"/>
          <w:sz w:val="22"/>
          <w:szCs w:val="22"/>
        </w:rPr>
        <w:t>iii</w:t>
      </w:r>
      <w:proofErr w:type="spellEnd"/>
      <w:r w:rsidRPr="005500F5">
        <w:rPr>
          <w:rFonts w:ascii="Verdana" w:hAnsi="Verdana" w:cs="Arial"/>
          <w:sz w:val="22"/>
          <w:szCs w:val="22"/>
        </w:rPr>
        <w:t xml:space="preserve">) las que corresponden al administrador del mismo, que es </w:t>
      </w:r>
      <w:r w:rsidRPr="005500F5">
        <w:rPr>
          <w:rFonts w:ascii="Verdana" w:hAnsi="Verdana" w:cs="Arial"/>
          <w:sz w:val="22"/>
          <w:szCs w:val="22"/>
          <w:lang w:val="es-CO"/>
        </w:rPr>
        <w:t>la Confederación Colombiana de Cámaras de Comercio Confecámaras (en adelante “</w:t>
      </w:r>
      <w:r w:rsidRPr="005500F5">
        <w:rPr>
          <w:rFonts w:ascii="Verdana" w:hAnsi="Verdana" w:cs="Arial"/>
          <w:sz w:val="22"/>
          <w:szCs w:val="22"/>
          <w:u w:val="single"/>
          <w:lang w:val="es-CO"/>
        </w:rPr>
        <w:t>Confecámaras</w:t>
      </w:r>
      <w:r w:rsidRPr="005500F5">
        <w:rPr>
          <w:rFonts w:ascii="Verdana" w:hAnsi="Verdana" w:cs="Arial"/>
          <w:sz w:val="22"/>
          <w:szCs w:val="22"/>
          <w:lang w:val="es-CO"/>
        </w:rPr>
        <w:t>”), en virtud de la facultad establecida en el parágrafo del artículo 2.2.2.4.1.40 del Decreto 1074 de 2015, modificado y adicionado en materia de garantías mobiliarias por el Decreto 1835 de 2015.</w:t>
      </w:r>
    </w:p>
    <w:p w14:paraId="4AB55470" w14:textId="77777777" w:rsidR="00BE06A7" w:rsidRPr="005500F5" w:rsidRDefault="00BE06A7" w:rsidP="00F23033">
      <w:pPr>
        <w:jc w:val="both"/>
        <w:rPr>
          <w:rFonts w:ascii="Verdana" w:hAnsi="Verdana"/>
          <w:sz w:val="22"/>
          <w:szCs w:val="22"/>
        </w:rPr>
      </w:pPr>
    </w:p>
    <w:p w14:paraId="5C1510D2" w14:textId="0FA96CC4" w:rsidR="008409B1" w:rsidRPr="005500F5" w:rsidRDefault="008E6C8A" w:rsidP="008E6C8A">
      <w:pPr>
        <w:pStyle w:val="Ttulo1"/>
        <w:spacing w:line="240" w:lineRule="auto"/>
        <w:jc w:val="both"/>
        <w:rPr>
          <w:rFonts w:ascii="Verdana" w:hAnsi="Verdana"/>
          <w:sz w:val="22"/>
          <w:szCs w:val="22"/>
        </w:rPr>
      </w:pPr>
      <w:bookmarkStart w:id="1" w:name="_Toc183181507"/>
      <w:r w:rsidRPr="005500F5">
        <w:rPr>
          <w:rFonts w:ascii="Verdana" w:hAnsi="Verdana"/>
          <w:sz w:val="22"/>
          <w:szCs w:val="22"/>
        </w:rPr>
        <w:t xml:space="preserve">2. </w:t>
      </w:r>
      <w:r w:rsidR="008409B1" w:rsidRPr="005500F5">
        <w:rPr>
          <w:rFonts w:ascii="Verdana" w:hAnsi="Verdana"/>
          <w:sz w:val="22"/>
          <w:szCs w:val="22"/>
        </w:rPr>
        <w:t>ALCANCE</w:t>
      </w:r>
      <w:bookmarkEnd w:id="1"/>
    </w:p>
    <w:p w14:paraId="2F331C96" w14:textId="77777777" w:rsidR="008409B1" w:rsidRPr="005500F5" w:rsidRDefault="008409B1" w:rsidP="00F23033">
      <w:pPr>
        <w:jc w:val="both"/>
        <w:rPr>
          <w:rFonts w:ascii="Verdana" w:hAnsi="Verdana"/>
          <w:sz w:val="22"/>
          <w:szCs w:val="22"/>
        </w:rPr>
      </w:pPr>
    </w:p>
    <w:p w14:paraId="2481FE91" w14:textId="77777777" w:rsidR="00366FD4" w:rsidRPr="005500F5" w:rsidRDefault="00366FD4" w:rsidP="00366FD4">
      <w:pPr>
        <w:jc w:val="both"/>
        <w:rPr>
          <w:rFonts w:ascii="Verdana" w:hAnsi="Verdana" w:cs="Arial"/>
          <w:sz w:val="22"/>
          <w:szCs w:val="22"/>
          <w:lang w:val="es-CO"/>
        </w:rPr>
      </w:pPr>
      <w:r w:rsidRPr="005500F5">
        <w:rPr>
          <w:rFonts w:ascii="Verdana" w:hAnsi="Verdana" w:cs="Arial"/>
          <w:sz w:val="22"/>
          <w:szCs w:val="22"/>
          <w:lang w:val="es-CO"/>
        </w:rPr>
        <w:t>Supervisar las actividades desplegadas por Confecámaras como administradora del RGM, o por quien haga sus veces, con la finalidad de velar por el correcto funcionamiento del RGM y el cumplimiento de las funciones bajo los parámetros establecidos en la sección 1 del Capítulo 4, del Título 2 de la Parte 2 del Libro 2 del Decreto 1074 de 2015, así como la identificación, gestión, monitoreo y mitigación de los distintos tipos de riesgos asociados a la administración,  funcionamiento y operación del RGM.</w:t>
      </w:r>
    </w:p>
    <w:p w14:paraId="3D170134" w14:textId="77777777" w:rsidR="00366FD4" w:rsidRPr="005500F5" w:rsidRDefault="00366FD4" w:rsidP="00366FD4">
      <w:pPr>
        <w:jc w:val="both"/>
        <w:rPr>
          <w:rFonts w:ascii="Verdana" w:hAnsi="Verdana" w:cs="Arial"/>
          <w:sz w:val="22"/>
          <w:szCs w:val="22"/>
          <w:lang w:val="es-CO"/>
        </w:rPr>
      </w:pPr>
    </w:p>
    <w:p w14:paraId="74D38FC8" w14:textId="0DE7A146" w:rsidR="001348FC" w:rsidRPr="005500F5" w:rsidRDefault="00366FD4" w:rsidP="00366FD4">
      <w:pPr>
        <w:jc w:val="both"/>
        <w:rPr>
          <w:rFonts w:ascii="Verdana" w:hAnsi="Verdana" w:cs="Arial"/>
          <w:color w:val="FF0000"/>
          <w:sz w:val="22"/>
          <w:szCs w:val="22"/>
          <w:lang w:val="es-ES_tradnl"/>
        </w:rPr>
      </w:pPr>
      <w:r w:rsidRPr="005500F5">
        <w:rPr>
          <w:rFonts w:ascii="Verdana" w:hAnsi="Verdana" w:cs="Arial"/>
          <w:sz w:val="22"/>
          <w:szCs w:val="22"/>
          <w:lang w:val="es-CO"/>
        </w:rPr>
        <w:t>Lo anterior, de conformidad con las actividades de supervisión que se deban desplegar en los términos indicados en el presente Protocolo de Supervisión, así como las que deriven de la reglamentación vigente y de las instrucciones del Superintendente de Sociedades</w:t>
      </w:r>
      <w:r w:rsidR="00EB19D6" w:rsidRPr="005500F5">
        <w:rPr>
          <w:rFonts w:ascii="Verdana" w:hAnsi="Verdana" w:cs="Arial"/>
          <w:sz w:val="22"/>
          <w:szCs w:val="22"/>
          <w:lang w:val="es-CO"/>
        </w:rPr>
        <w:t>.</w:t>
      </w:r>
    </w:p>
    <w:p w14:paraId="3DDA2357" w14:textId="77777777" w:rsidR="008E6C8A" w:rsidRPr="005500F5" w:rsidRDefault="008E6C8A" w:rsidP="001348FC">
      <w:pPr>
        <w:jc w:val="both"/>
        <w:rPr>
          <w:rFonts w:ascii="Verdana" w:hAnsi="Verdana" w:cs="Arial"/>
          <w:color w:val="FF0000"/>
          <w:sz w:val="22"/>
          <w:szCs w:val="22"/>
          <w:lang w:val="es-ES_tradnl"/>
        </w:rPr>
      </w:pPr>
    </w:p>
    <w:p w14:paraId="393B37B9" w14:textId="753EC74C" w:rsidR="001348FC" w:rsidRPr="005500F5" w:rsidRDefault="008E6C8A" w:rsidP="008E6C8A">
      <w:pPr>
        <w:pStyle w:val="Ttulo1"/>
        <w:spacing w:line="240" w:lineRule="auto"/>
        <w:jc w:val="both"/>
        <w:rPr>
          <w:rFonts w:ascii="Verdana" w:hAnsi="Verdana"/>
          <w:sz w:val="22"/>
          <w:szCs w:val="22"/>
        </w:rPr>
      </w:pPr>
      <w:r w:rsidRPr="005500F5">
        <w:rPr>
          <w:rFonts w:ascii="Verdana" w:hAnsi="Verdana"/>
          <w:sz w:val="22"/>
          <w:szCs w:val="22"/>
        </w:rPr>
        <w:t xml:space="preserve">3. </w:t>
      </w:r>
      <w:r w:rsidR="001348FC" w:rsidRPr="005500F5">
        <w:rPr>
          <w:rFonts w:ascii="Verdana" w:hAnsi="Verdana"/>
          <w:sz w:val="22"/>
          <w:szCs w:val="22"/>
        </w:rPr>
        <w:t>RESPONSABLE</w:t>
      </w:r>
    </w:p>
    <w:p w14:paraId="2FD57DCA" w14:textId="77777777" w:rsidR="001348FC" w:rsidRPr="005500F5" w:rsidRDefault="001348FC" w:rsidP="001348FC">
      <w:pPr>
        <w:rPr>
          <w:rFonts w:ascii="Verdana" w:hAnsi="Verdana"/>
          <w:sz w:val="22"/>
          <w:szCs w:val="22"/>
          <w:lang w:val="es-MX"/>
        </w:rPr>
      </w:pPr>
    </w:p>
    <w:p w14:paraId="6328D41D" w14:textId="18BDE11F" w:rsidR="001348FC" w:rsidRPr="005500F5" w:rsidRDefault="00366FD4" w:rsidP="00F23033">
      <w:pPr>
        <w:jc w:val="both"/>
        <w:rPr>
          <w:rFonts w:ascii="Verdana" w:hAnsi="Verdana"/>
          <w:sz w:val="22"/>
          <w:szCs w:val="22"/>
          <w:lang w:val="es-ES_tradnl"/>
        </w:rPr>
      </w:pPr>
      <w:r w:rsidRPr="005500F5">
        <w:rPr>
          <w:rFonts w:ascii="Verdana" w:hAnsi="Verdana" w:cs="Arial"/>
          <w:sz w:val="22"/>
          <w:szCs w:val="22"/>
          <w:lang w:val="es-CO"/>
        </w:rPr>
        <w:t>Coordinador Grupo de Registros Públicos de la Dirección de Supervisión de Cámaras de Comercio y sus Registros Públicos</w:t>
      </w:r>
    </w:p>
    <w:p w14:paraId="34D3E413" w14:textId="77777777" w:rsidR="003A6B71" w:rsidRPr="005500F5" w:rsidRDefault="003A6B71" w:rsidP="00F23033">
      <w:pPr>
        <w:jc w:val="both"/>
        <w:rPr>
          <w:rFonts w:ascii="Verdana" w:hAnsi="Verdana"/>
          <w:sz w:val="22"/>
          <w:szCs w:val="22"/>
          <w:lang w:val="es-ES_tradnl"/>
        </w:rPr>
      </w:pPr>
    </w:p>
    <w:p w14:paraId="6DFA7F3D" w14:textId="56A5963D" w:rsidR="008409B1" w:rsidRPr="005500F5" w:rsidRDefault="008E6C8A" w:rsidP="008E6C8A">
      <w:pPr>
        <w:pStyle w:val="Ttulo1"/>
        <w:spacing w:line="240" w:lineRule="auto"/>
        <w:jc w:val="both"/>
        <w:rPr>
          <w:rFonts w:ascii="Verdana" w:hAnsi="Verdana"/>
          <w:sz w:val="22"/>
          <w:szCs w:val="22"/>
        </w:rPr>
      </w:pPr>
      <w:bookmarkStart w:id="2" w:name="_Toc183181508"/>
      <w:r w:rsidRPr="005500F5">
        <w:rPr>
          <w:rFonts w:ascii="Verdana" w:hAnsi="Verdana"/>
          <w:sz w:val="22"/>
          <w:szCs w:val="22"/>
        </w:rPr>
        <w:t xml:space="preserve">4. </w:t>
      </w:r>
      <w:r w:rsidR="008409B1" w:rsidRPr="005500F5">
        <w:rPr>
          <w:rFonts w:ascii="Verdana" w:hAnsi="Verdana"/>
          <w:sz w:val="22"/>
          <w:szCs w:val="22"/>
        </w:rPr>
        <w:t>DEFINICIONES</w:t>
      </w:r>
      <w:bookmarkEnd w:id="2"/>
    </w:p>
    <w:p w14:paraId="3DF03156" w14:textId="77777777" w:rsidR="008409B1" w:rsidRPr="005500F5" w:rsidRDefault="008409B1" w:rsidP="00F23033">
      <w:pPr>
        <w:jc w:val="both"/>
        <w:rPr>
          <w:rFonts w:ascii="Verdana" w:hAnsi="Verdana"/>
          <w:sz w:val="22"/>
          <w:szCs w:val="22"/>
        </w:rPr>
      </w:pPr>
    </w:p>
    <w:p w14:paraId="0F0EEB3F" w14:textId="2DE45BCC" w:rsidR="00366FD4" w:rsidRPr="005500F5" w:rsidRDefault="00366FD4" w:rsidP="00366FD4">
      <w:pPr>
        <w:spacing w:after="200" w:line="276" w:lineRule="auto"/>
        <w:contextualSpacing/>
        <w:jc w:val="both"/>
        <w:rPr>
          <w:rFonts w:ascii="Verdana" w:hAnsi="Verdana" w:cs="Arial"/>
          <w:sz w:val="22"/>
          <w:szCs w:val="22"/>
          <w:shd w:val="clear" w:color="auto" w:fill="FFFFFF"/>
        </w:rPr>
      </w:pPr>
      <w:r w:rsidRPr="005500F5">
        <w:rPr>
          <w:rFonts w:ascii="Verdana" w:hAnsi="Verdana" w:cs="Arial"/>
          <w:b/>
          <w:sz w:val="22"/>
          <w:szCs w:val="22"/>
          <w:u w:val="single"/>
          <w:lang w:val="es-CO"/>
        </w:rPr>
        <w:t>Garantía Mobiliaria:</w:t>
      </w:r>
      <w:r w:rsidRPr="005500F5">
        <w:rPr>
          <w:rFonts w:ascii="Verdana" w:hAnsi="Verdana" w:cs="Arial"/>
          <w:b/>
          <w:sz w:val="22"/>
          <w:szCs w:val="22"/>
          <w:lang w:val="es-CO"/>
        </w:rPr>
        <w:t xml:space="preserve"> </w:t>
      </w:r>
      <w:r w:rsidRPr="005500F5">
        <w:rPr>
          <w:rFonts w:ascii="Verdana" w:hAnsi="Verdana" w:cs="Arial"/>
          <w:sz w:val="22"/>
          <w:szCs w:val="22"/>
          <w:shd w:val="clear" w:color="auto" w:fill="FFFFFF"/>
        </w:rPr>
        <w:t>se refiere a toda operación que tenga como efecto garantizar una obligación con los bienes muebles del garante e incluye, entre otros, aquellos contratos, pactos o cláusulas utilizados para garantizar obligaciones respecto de bienes muebles, entre otros la venta con reserva de dominio, la prenda de establecimiento de comercio, las garantías y transferencias sobre cuentas por cobrar, incluyendo compras, cesiones en garantía, la consignación con fines de garantía y cualquier otra forma contemplada en la legislación vigente con anterioridad a la Ley 1676 de 2013.</w:t>
      </w:r>
    </w:p>
    <w:p w14:paraId="4C68FB70" w14:textId="77777777" w:rsidR="00366FD4" w:rsidRPr="005500F5" w:rsidRDefault="00366FD4" w:rsidP="00366FD4">
      <w:pPr>
        <w:spacing w:after="200" w:line="276" w:lineRule="auto"/>
        <w:contextualSpacing/>
        <w:jc w:val="both"/>
        <w:rPr>
          <w:rFonts w:ascii="Verdana" w:hAnsi="Verdana" w:cs="Arial"/>
          <w:b/>
          <w:bCs/>
          <w:sz w:val="22"/>
          <w:szCs w:val="22"/>
          <w:u w:val="single"/>
        </w:rPr>
      </w:pPr>
    </w:p>
    <w:p w14:paraId="6F3A1CA7" w14:textId="2634A349" w:rsidR="00366FD4" w:rsidRPr="005500F5" w:rsidRDefault="00366FD4" w:rsidP="00366FD4">
      <w:pPr>
        <w:spacing w:after="200" w:line="276" w:lineRule="auto"/>
        <w:contextualSpacing/>
        <w:jc w:val="both"/>
        <w:rPr>
          <w:rFonts w:ascii="Verdana" w:hAnsi="Verdana" w:cs="Arial"/>
          <w:sz w:val="22"/>
          <w:szCs w:val="22"/>
          <w:lang w:val="es-CO"/>
        </w:rPr>
      </w:pPr>
      <w:r w:rsidRPr="005500F5">
        <w:rPr>
          <w:rFonts w:ascii="Verdana" w:hAnsi="Verdana" w:cs="Arial"/>
          <w:b/>
          <w:bCs/>
          <w:sz w:val="22"/>
          <w:szCs w:val="22"/>
          <w:u w:val="single"/>
        </w:rPr>
        <w:lastRenderedPageBreak/>
        <w:t>Registro de Garantías Mobiliarias (RGM)</w:t>
      </w:r>
      <w:r w:rsidRPr="005500F5">
        <w:rPr>
          <w:rFonts w:ascii="Verdana" w:hAnsi="Verdana" w:cs="Arial"/>
          <w:b/>
          <w:bCs/>
          <w:sz w:val="22"/>
          <w:szCs w:val="22"/>
        </w:rPr>
        <w:t xml:space="preserve">: </w:t>
      </w:r>
      <w:r w:rsidRPr="005500F5">
        <w:rPr>
          <w:rFonts w:ascii="Verdana" w:hAnsi="Verdana" w:cs="Arial"/>
          <w:sz w:val="22"/>
          <w:szCs w:val="22"/>
        </w:rPr>
        <w:t xml:space="preserve">Es el sistema de archivo, de acceso público a la información de carácter nacional, que tiene por objeto dar publicidad a través de Internet, a los formularios de la inscripción inicial, de la modificación, prórroga, cancelación, transferencia y ejecución de garantías mobiliarias. </w:t>
      </w:r>
    </w:p>
    <w:p w14:paraId="3146DC93" w14:textId="77777777" w:rsidR="00366FD4" w:rsidRPr="005500F5" w:rsidRDefault="00366FD4" w:rsidP="00366FD4">
      <w:pPr>
        <w:spacing w:after="200" w:line="276" w:lineRule="auto"/>
        <w:contextualSpacing/>
        <w:jc w:val="both"/>
        <w:rPr>
          <w:rFonts w:ascii="Verdana" w:hAnsi="Verdana" w:cs="Arial"/>
          <w:b/>
          <w:sz w:val="22"/>
          <w:szCs w:val="22"/>
          <w:u w:val="single"/>
          <w:lang w:val="es-CO"/>
        </w:rPr>
      </w:pPr>
    </w:p>
    <w:p w14:paraId="236A2F6D" w14:textId="5AFCDA12" w:rsidR="00366FD4" w:rsidRPr="005500F5" w:rsidRDefault="00366FD4" w:rsidP="00366FD4">
      <w:pPr>
        <w:spacing w:after="200" w:line="276" w:lineRule="auto"/>
        <w:contextualSpacing/>
        <w:jc w:val="both"/>
        <w:rPr>
          <w:rFonts w:ascii="Verdana" w:hAnsi="Verdana" w:cs="Arial"/>
          <w:sz w:val="22"/>
          <w:szCs w:val="22"/>
          <w:lang w:val="es-CO"/>
        </w:rPr>
      </w:pPr>
      <w:r w:rsidRPr="005500F5">
        <w:rPr>
          <w:rFonts w:ascii="Verdana" w:hAnsi="Verdana" w:cs="Arial"/>
          <w:b/>
          <w:sz w:val="22"/>
          <w:szCs w:val="22"/>
          <w:u w:val="single"/>
          <w:lang w:val="es-CO"/>
        </w:rPr>
        <w:t>Ley de Garantías Mobiliarias</w:t>
      </w:r>
      <w:r w:rsidRPr="005500F5">
        <w:rPr>
          <w:rFonts w:ascii="Verdana" w:hAnsi="Verdana" w:cs="Arial"/>
          <w:b/>
          <w:sz w:val="22"/>
          <w:szCs w:val="22"/>
          <w:lang w:val="es-CO"/>
        </w:rPr>
        <w:t xml:space="preserve">:  </w:t>
      </w:r>
      <w:r w:rsidRPr="005500F5">
        <w:rPr>
          <w:rFonts w:ascii="Verdana" w:hAnsi="Verdana" w:cs="Arial"/>
          <w:sz w:val="22"/>
          <w:szCs w:val="22"/>
          <w:lang w:val="es-CO"/>
        </w:rPr>
        <w:t xml:space="preserve">Ley 1676 de 2013. </w:t>
      </w:r>
    </w:p>
    <w:p w14:paraId="621531BA" w14:textId="77777777" w:rsidR="00366FD4" w:rsidRPr="005500F5" w:rsidRDefault="00366FD4" w:rsidP="00366FD4">
      <w:pPr>
        <w:spacing w:after="200" w:line="276" w:lineRule="auto"/>
        <w:contextualSpacing/>
        <w:jc w:val="both"/>
        <w:rPr>
          <w:rFonts w:ascii="Verdana" w:hAnsi="Verdana" w:cs="Arial"/>
          <w:sz w:val="22"/>
          <w:szCs w:val="22"/>
          <w:lang w:val="es-CO"/>
        </w:rPr>
      </w:pPr>
    </w:p>
    <w:p w14:paraId="7282E24F" w14:textId="38C2C76F" w:rsidR="00366FD4" w:rsidRPr="005500F5" w:rsidRDefault="00366FD4" w:rsidP="00366FD4">
      <w:pPr>
        <w:spacing w:after="200" w:line="276" w:lineRule="auto"/>
        <w:contextualSpacing/>
        <w:jc w:val="both"/>
        <w:rPr>
          <w:rFonts w:ascii="Verdana" w:hAnsi="Verdana" w:cs="Arial"/>
          <w:sz w:val="22"/>
          <w:szCs w:val="22"/>
          <w:lang w:val="es-CO"/>
        </w:rPr>
      </w:pPr>
      <w:r w:rsidRPr="005500F5">
        <w:rPr>
          <w:rFonts w:ascii="Verdana" w:hAnsi="Verdana" w:cs="Arial"/>
          <w:b/>
          <w:sz w:val="22"/>
          <w:szCs w:val="22"/>
          <w:u w:val="single"/>
          <w:lang w:val="es-CO"/>
        </w:rPr>
        <w:t>CONFECÁMARAS</w:t>
      </w:r>
      <w:r w:rsidRPr="005500F5">
        <w:rPr>
          <w:rFonts w:ascii="Verdana" w:hAnsi="Verdana" w:cs="Arial"/>
          <w:b/>
          <w:sz w:val="22"/>
          <w:szCs w:val="22"/>
          <w:lang w:val="es-CO"/>
        </w:rPr>
        <w:t>:</w:t>
      </w:r>
      <w:r w:rsidRPr="005500F5">
        <w:rPr>
          <w:rFonts w:ascii="Verdana" w:hAnsi="Verdana" w:cs="Arial"/>
          <w:sz w:val="22"/>
          <w:szCs w:val="22"/>
          <w:lang w:val="es-CO"/>
        </w:rPr>
        <w:t xml:space="preserve"> Confederación Colombiana de Cámaras de Comercio, encargada de llevar el RGM, de acuerdo con el numeral </w:t>
      </w:r>
      <w:r w:rsidRPr="005500F5">
        <w:rPr>
          <w:rFonts w:ascii="Verdana" w:hAnsi="Verdana" w:cs="Arial"/>
          <w:sz w:val="22"/>
          <w:szCs w:val="22"/>
        </w:rPr>
        <w:t>3 del artículo 39 de la Ley 1676 de 2013.</w:t>
      </w:r>
    </w:p>
    <w:p w14:paraId="3638506E" w14:textId="77777777" w:rsidR="008E6C8A" w:rsidRPr="005500F5" w:rsidRDefault="008E6C8A" w:rsidP="001348FC">
      <w:pPr>
        <w:jc w:val="both"/>
        <w:rPr>
          <w:rFonts w:ascii="Verdana" w:hAnsi="Verdana" w:cs="Arial"/>
          <w:color w:val="FF0000"/>
          <w:sz w:val="22"/>
          <w:szCs w:val="22"/>
          <w:lang w:val="es-CO"/>
        </w:rPr>
      </w:pPr>
    </w:p>
    <w:p w14:paraId="4E008FC4" w14:textId="41CCE6D7" w:rsidR="008409B1" w:rsidRPr="005500F5" w:rsidRDefault="00516269" w:rsidP="008E6C8A">
      <w:pPr>
        <w:pStyle w:val="Ttulo1"/>
        <w:spacing w:line="240" w:lineRule="auto"/>
        <w:jc w:val="both"/>
        <w:rPr>
          <w:rFonts w:ascii="Verdana" w:hAnsi="Verdana"/>
          <w:sz w:val="22"/>
          <w:szCs w:val="22"/>
        </w:rPr>
      </w:pPr>
      <w:r w:rsidRPr="005500F5">
        <w:rPr>
          <w:rFonts w:ascii="Verdana" w:hAnsi="Verdana"/>
          <w:sz w:val="22"/>
          <w:szCs w:val="22"/>
        </w:rPr>
        <w:t>5</w:t>
      </w:r>
      <w:r w:rsidR="008E6C8A" w:rsidRPr="005500F5">
        <w:rPr>
          <w:rFonts w:ascii="Verdana" w:hAnsi="Verdana"/>
          <w:sz w:val="22"/>
          <w:szCs w:val="22"/>
        </w:rPr>
        <w:t xml:space="preserve">. </w:t>
      </w:r>
      <w:r w:rsidR="001348FC" w:rsidRPr="005500F5">
        <w:rPr>
          <w:rFonts w:ascii="Verdana" w:hAnsi="Verdana"/>
          <w:sz w:val="22"/>
          <w:szCs w:val="22"/>
        </w:rPr>
        <w:t>CONTENIDO</w:t>
      </w:r>
    </w:p>
    <w:p w14:paraId="28EB4DF1" w14:textId="77777777" w:rsidR="00417579" w:rsidRPr="005500F5" w:rsidRDefault="00417579" w:rsidP="005C688F">
      <w:pPr>
        <w:ind w:right="51"/>
        <w:rPr>
          <w:rFonts w:ascii="Verdana" w:hAnsi="Verdana"/>
          <w:sz w:val="22"/>
          <w:szCs w:val="22"/>
        </w:rPr>
      </w:pPr>
    </w:p>
    <w:p w14:paraId="72A1E7ED" w14:textId="48619D94" w:rsidR="00366FD4" w:rsidRPr="005500F5" w:rsidRDefault="00366FD4" w:rsidP="00366FD4">
      <w:pPr>
        <w:pStyle w:val="Default"/>
        <w:jc w:val="both"/>
        <w:outlineLvl w:val="2"/>
        <w:rPr>
          <w:rFonts w:ascii="Verdana" w:hAnsi="Verdana"/>
          <w:b/>
          <w:bCs/>
          <w:color w:val="auto"/>
          <w:sz w:val="22"/>
          <w:szCs w:val="22"/>
        </w:rPr>
      </w:pPr>
      <w:bookmarkStart w:id="3" w:name="_Toc87973681"/>
      <w:r w:rsidRPr="005500F5">
        <w:rPr>
          <w:rFonts w:ascii="Verdana" w:hAnsi="Verdana"/>
          <w:b/>
          <w:bCs/>
          <w:color w:val="auto"/>
          <w:sz w:val="22"/>
          <w:szCs w:val="22"/>
          <w:u w:val="single"/>
        </w:rPr>
        <w:t>REGISTRO DE GARANTÍAS MOBILIARIAS</w:t>
      </w:r>
      <w:bookmarkEnd w:id="3"/>
      <w:r w:rsidRPr="005500F5">
        <w:rPr>
          <w:rFonts w:ascii="Verdana" w:hAnsi="Verdana"/>
          <w:b/>
          <w:bCs/>
          <w:color w:val="auto"/>
          <w:sz w:val="22"/>
          <w:szCs w:val="22"/>
        </w:rPr>
        <w:t xml:space="preserve"> </w:t>
      </w:r>
    </w:p>
    <w:p w14:paraId="484B54DA" w14:textId="77777777" w:rsidR="00366FD4" w:rsidRPr="005500F5" w:rsidRDefault="00366FD4" w:rsidP="00366FD4">
      <w:pPr>
        <w:pStyle w:val="Default"/>
        <w:jc w:val="both"/>
        <w:rPr>
          <w:rFonts w:ascii="Verdana" w:hAnsi="Verdana"/>
          <w:color w:val="auto"/>
          <w:sz w:val="22"/>
          <w:szCs w:val="22"/>
        </w:rPr>
      </w:pPr>
    </w:p>
    <w:p w14:paraId="0D02FC73" w14:textId="77777777" w:rsidR="00366FD4" w:rsidRPr="005500F5" w:rsidRDefault="00366FD4" w:rsidP="00366FD4">
      <w:pPr>
        <w:pStyle w:val="Default"/>
        <w:jc w:val="both"/>
        <w:rPr>
          <w:rFonts w:ascii="Verdana" w:hAnsi="Verdana"/>
          <w:color w:val="auto"/>
          <w:sz w:val="22"/>
          <w:szCs w:val="22"/>
          <w:lang w:val="es-MX"/>
        </w:rPr>
      </w:pPr>
      <w:r w:rsidRPr="005500F5">
        <w:rPr>
          <w:rFonts w:ascii="Verdana" w:hAnsi="Verdana"/>
          <w:color w:val="auto"/>
          <w:sz w:val="22"/>
          <w:szCs w:val="22"/>
        </w:rPr>
        <w:t>La Ley de Garantías Mobiliarias creó el RGM, como un sistema de archivo, de acceso público a la información de carácter nacional, que tiene por objeto dar publicidad a través de internet a la información reportada en los formularios de inscripción inicial, modificación, prórroga, cancelación, transferencia y ejecución de las garantías mobiliarias,</w:t>
      </w:r>
      <w:r w:rsidRPr="005500F5">
        <w:rPr>
          <w:rFonts w:ascii="Verdana" w:hAnsi="Verdana"/>
          <w:color w:val="auto"/>
          <w:sz w:val="22"/>
          <w:szCs w:val="22"/>
          <w:lang w:val="es-MX"/>
        </w:rPr>
        <w:t xml:space="preserve"> con el propósito de establecer la oponibilidad de </w:t>
      </w:r>
      <w:proofErr w:type="gramStart"/>
      <w:r w:rsidRPr="005500F5">
        <w:rPr>
          <w:rFonts w:ascii="Verdana" w:hAnsi="Verdana"/>
          <w:color w:val="auto"/>
          <w:sz w:val="22"/>
          <w:szCs w:val="22"/>
          <w:lang w:val="es-MX"/>
        </w:rPr>
        <w:t>las mismas</w:t>
      </w:r>
      <w:proofErr w:type="gramEnd"/>
      <w:r w:rsidRPr="005500F5">
        <w:rPr>
          <w:rFonts w:ascii="Verdana" w:hAnsi="Verdana"/>
          <w:color w:val="auto"/>
          <w:sz w:val="22"/>
          <w:szCs w:val="22"/>
          <w:lang w:val="es-MX"/>
        </w:rPr>
        <w:t xml:space="preserve"> frente a terceros. Para ello, el registro debe permitir recibir, almacenar y certificar la información registral vigente relativa a las garantías mobiliarias, así como permitir las consultas públicas.</w:t>
      </w:r>
    </w:p>
    <w:p w14:paraId="469B85AB" w14:textId="77777777" w:rsidR="00366FD4" w:rsidRPr="005500F5" w:rsidRDefault="00366FD4" w:rsidP="00366FD4">
      <w:pPr>
        <w:pStyle w:val="Default"/>
        <w:jc w:val="both"/>
        <w:rPr>
          <w:rFonts w:ascii="Verdana" w:hAnsi="Verdana"/>
          <w:color w:val="auto"/>
          <w:sz w:val="22"/>
          <w:szCs w:val="22"/>
          <w:lang w:val="es-MX"/>
        </w:rPr>
      </w:pPr>
    </w:p>
    <w:p w14:paraId="5763CC4F" w14:textId="01715B95" w:rsidR="00366FD4" w:rsidRPr="005500F5" w:rsidRDefault="00366FD4" w:rsidP="00366FD4">
      <w:pPr>
        <w:pStyle w:val="Default"/>
        <w:jc w:val="both"/>
        <w:outlineLvl w:val="2"/>
        <w:rPr>
          <w:rFonts w:ascii="Verdana" w:hAnsi="Verdana"/>
          <w:b/>
          <w:bCs/>
          <w:color w:val="auto"/>
          <w:sz w:val="22"/>
          <w:szCs w:val="22"/>
          <w:u w:val="single"/>
        </w:rPr>
      </w:pPr>
      <w:bookmarkStart w:id="4" w:name="_Toc87973682"/>
      <w:r w:rsidRPr="005500F5">
        <w:rPr>
          <w:rFonts w:ascii="Verdana" w:hAnsi="Verdana"/>
          <w:b/>
          <w:bCs/>
          <w:color w:val="auto"/>
          <w:sz w:val="22"/>
          <w:szCs w:val="22"/>
          <w:u w:val="single"/>
        </w:rPr>
        <w:t>CARACTERÍSTICAS DEL RGM</w:t>
      </w:r>
      <w:bookmarkEnd w:id="4"/>
      <w:r w:rsidRPr="005500F5">
        <w:rPr>
          <w:rFonts w:ascii="Verdana" w:hAnsi="Verdana"/>
          <w:b/>
          <w:bCs/>
          <w:color w:val="auto"/>
          <w:sz w:val="22"/>
          <w:szCs w:val="22"/>
          <w:u w:val="single"/>
        </w:rPr>
        <w:t xml:space="preserve"> </w:t>
      </w:r>
    </w:p>
    <w:p w14:paraId="2AA1CEB6" w14:textId="77777777" w:rsidR="00366FD4" w:rsidRPr="005500F5" w:rsidRDefault="00366FD4" w:rsidP="00366FD4">
      <w:pPr>
        <w:pStyle w:val="Default"/>
        <w:jc w:val="both"/>
        <w:rPr>
          <w:rFonts w:ascii="Verdana" w:hAnsi="Verdana"/>
          <w:color w:val="auto"/>
          <w:sz w:val="22"/>
          <w:szCs w:val="22"/>
        </w:rPr>
      </w:pPr>
    </w:p>
    <w:p w14:paraId="1C83F80F" w14:textId="77777777" w:rsidR="00366FD4" w:rsidRPr="005500F5" w:rsidRDefault="00366FD4" w:rsidP="00366FD4">
      <w:pPr>
        <w:pStyle w:val="Default"/>
        <w:jc w:val="both"/>
        <w:rPr>
          <w:rFonts w:ascii="Verdana" w:hAnsi="Verdana"/>
          <w:color w:val="auto"/>
          <w:sz w:val="22"/>
          <w:szCs w:val="22"/>
        </w:rPr>
      </w:pPr>
      <w:r w:rsidRPr="005500F5">
        <w:rPr>
          <w:rFonts w:ascii="Verdana" w:hAnsi="Verdana"/>
          <w:color w:val="auto"/>
          <w:sz w:val="22"/>
          <w:szCs w:val="22"/>
        </w:rPr>
        <w:t xml:space="preserve">De acuerdo con el artículo 39 de la Ley de Garantías Mobiliarias, el RGM tiene las siguientes características: </w:t>
      </w:r>
    </w:p>
    <w:p w14:paraId="0DD0060F" w14:textId="77777777" w:rsidR="00366FD4" w:rsidRPr="005500F5" w:rsidRDefault="00366FD4" w:rsidP="00366FD4">
      <w:pPr>
        <w:pStyle w:val="Default"/>
        <w:jc w:val="both"/>
        <w:rPr>
          <w:rFonts w:ascii="Verdana" w:hAnsi="Verdana"/>
          <w:color w:val="auto"/>
          <w:sz w:val="22"/>
          <w:szCs w:val="22"/>
        </w:rPr>
      </w:pPr>
    </w:p>
    <w:p w14:paraId="0085202E" w14:textId="77777777" w:rsidR="00366FD4" w:rsidRPr="005500F5" w:rsidRDefault="00366FD4" w:rsidP="008E1312">
      <w:pPr>
        <w:pStyle w:val="Default"/>
        <w:numPr>
          <w:ilvl w:val="0"/>
          <w:numId w:val="2"/>
        </w:numPr>
        <w:jc w:val="both"/>
        <w:rPr>
          <w:rFonts w:ascii="Verdana" w:hAnsi="Verdana"/>
          <w:color w:val="auto"/>
          <w:sz w:val="22"/>
          <w:szCs w:val="22"/>
        </w:rPr>
      </w:pPr>
      <w:r w:rsidRPr="005500F5">
        <w:rPr>
          <w:rFonts w:ascii="Verdana" w:hAnsi="Verdana"/>
          <w:color w:val="auto"/>
          <w:sz w:val="22"/>
          <w:szCs w:val="22"/>
        </w:rPr>
        <w:t xml:space="preserve">Opera por medio de la inscripción de formularios de registro diligenciados a través de internet. </w:t>
      </w:r>
    </w:p>
    <w:p w14:paraId="0E303711" w14:textId="77777777" w:rsidR="00366FD4" w:rsidRPr="005500F5" w:rsidRDefault="00366FD4" w:rsidP="00366FD4">
      <w:pPr>
        <w:pStyle w:val="Default"/>
        <w:jc w:val="both"/>
        <w:rPr>
          <w:rFonts w:ascii="Verdana" w:hAnsi="Verdana"/>
          <w:color w:val="auto"/>
          <w:sz w:val="22"/>
          <w:szCs w:val="22"/>
        </w:rPr>
      </w:pPr>
    </w:p>
    <w:p w14:paraId="6ABD3D0C" w14:textId="77777777" w:rsidR="00366FD4" w:rsidRPr="005500F5" w:rsidRDefault="00366FD4" w:rsidP="008E1312">
      <w:pPr>
        <w:pStyle w:val="Default"/>
        <w:numPr>
          <w:ilvl w:val="0"/>
          <w:numId w:val="2"/>
        </w:numPr>
        <w:jc w:val="both"/>
        <w:rPr>
          <w:rFonts w:ascii="Verdana" w:hAnsi="Verdana"/>
          <w:color w:val="auto"/>
          <w:sz w:val="22"/>
          <w:szCs w:val="22"/>
        </w:rPr>
      </w:pPr>
      <w:r w:rsidRPr="005500F5">
        <w:rPr>
          <w:rFonts w:ascii="Verdana" w:hAnsi="Verdana"/>
          <w:color w:val="auto"/>
          <w:sz w:val="22"/>
          <w:szCs w:val="22"/>
        </w:rPr>
        <w:t xml:space="preserve">Se organiza como un registro de naturaleza personal, en función de la identificación de la persona natural o jurídica garante. A cada garante le corresponde un folio electrónico, en el que se inscriben cronológicamente los datos contenidos en los formularios. </w:t>
      </w:r>
    </w:p>
    <w:p w14:paraId="78DBF1B3" w14:textId="77777777" w:rsidR="00366FD4" w:rsidRPr="005500F5" w:rsidRDefault="00366FD4" w:rsidP="00366FD4">
      <w:pPr>
        <w:pStyle w:val="Default"/>
        <w:jc w:val="both"/>
        <w:rPr>
          <w:rFonts w:ascii="Verdana" w:hAnsi="Verdana"/>
          <w:color w:val="auto"/>
          <w:sz w:val="22"/>
          <w:szCs w:val="22"/>
        </w:rPr>
      </w:pPr>
    </w:p>
    <w:p w14:paraId="28D45D9C" w14:textId="77777777" w:rsidR="00366FD4" w:rsidRPr="005500F5" w:rsidRDefault="00366FD4" w:rsidP="008E1312">
      <w:pPr>
        <w:pStyle w:val="Default"/>
        <w:numPr>
          <w:ilvl w:val="0"/>
          <w:numId w:val="2"/>
        </w:numPr>
        <w:jc w:val="both"/>
        <w:rPr>
          <w:rFonts w:ascii="Verdana" w:hAnsi="Verdana"/>
          <w:color w:val="auto"/>
          <w:sz w:val="22"/>
          <w:szCs w:val="22"/>
        </w:rPr>
      </w:pPr>
      <w:r w:rsidRPr="005500F5">
        <w:rPr>
          <w:rFonts w:ascii="Verdana" w:hAnsi="Verdana"/>
          <w:color w:val="auto"/>
          <w:sz w:val="22"/>
          <w:szCs w:val="22"/>
        </w:rPr>
        <w:t xml:space="preserve">Es un registro único, con una base de datos nacional que se lleva por Confecámaras, de manera centralizada. </w:t>
      </w:r>
    </w:p>
    <w:p w14:paraId="7617EDA1" w14:textId="77777777" w:rsidR="00366FD4" w:rsidRPr="005500F5" w:rsidRDefault="00366FD4" w:rsidP="00366FD4">
      <w:pPr>
        <w:pStyle w:val="Default"/>
        <w:jc w:val="both"/>
        <w:rPr>
          <w:rFonts w:ascii="Verdana" w:hAnsi="Verdana"/>
          <w:color w:val="auto"/>
          <w:sz w:val="22"/>
          <w:szCs w:val="22"/>
        </w:rPr>
      </w:pPr>
    </w:p>
    <w:p w14:paraId="0F043007" w14:textId="77777777" w:rsidR="00366FD4" w:rsidRPr="005500F5" w:rsidRDefault="00366FD4" w:rsidP="00366FD4">
      <w:pPr>
        <w:jc w:val="both"/>
        <w:rPr>
          <w:rFonts w:ascii="Verdana" w:hAnsi="Verdana" w:cs="Arial"/>
          <w:sz w:val="22"/>
          <w:szCs w:val="22"/>
        </w:rPr>
      </w:pPr>
      <w:r w:rsidRPr="005500F5">
        <w:rPr>
          <w:rFonts w:ascii="Verdana" w:hAnsi="Verdana" w:cs="Arial"/>
          <w:sz w:val="22"/>
          <w:szCs w:val="22"/>
        </w:rPr>
        <w:t>Así mismo, teniendo en cuenta que se trata de un registro único, público, centralizado y electrónico en el cual se realizan anotaciones mediante formularios de registro, en la inscripción sólo se verifica: (i) que cada uno de los campos obligatorios de los formularios tenga algún contenido y (</w:t>
      </w:r>
      <w:proofErr w:type="spellStart"/>
      <w:r w:rsidRPr="005500F5">
        <w:rPr>
          <w:rFonts w:ascii="Verdana" w:hAnsi="Verdana" w:cs="Arial"/>
          <w:sz w:val="22"/>
          <w:szCs w:val="22"/>
        </w:rPr>
        <w:t>ii</w:t>
      </w:r>
      <w:proofErr w:type="spellEnd"/>
      <w:r w:rsidRPr="005500F5">
        <w:rPr>
          <w:rFonts w:ascii="Verdana" w:hAnsi="Verdana" w:cs="Arial"/>
          <w:sz w:val="22"/>
          <w:szCs w:val="22"/>
        </w:rPr>
        <w:t xml:space="preserve">) que estén adjuntos los documentos que según </w:t>
      </w:r>
      <w:r w:rsidRPr="005500F5">
        <w:rPr>
          <w:rFonts w:ascii="Verdana" w:hAnsi="Verdana" w:cs="Arial"/>
          <w:sz w:val="22"/>
          <w:szCs w:val="22"/>
        </w:rPr>
        <w:lastRenderedPageBreak/>
        <w:t xml:space="preserve">el reglamento del RGM deban ser incluidos a los respectivos formularios para efecto de la ejecución o restitución de la garantía mobiliaria por parte del garante. </w:t>
      </w:r>
    </w:p>
    <w:p w14:paraId="375C89D0" w14:textId="77777777" w:rsidR="00022BBE" w:rsidRPr="005500F5" w:rsidRDefault="00022BBE" w:rsidP="00366FD4">
      <w:pPr>
        <w:jc w:val="both"/>
        <w:rPr>
          <w:rFonts w:ascii="Verdana" w:hAnsi="Verdana" w:cs="Arial"/>
          <w:sz w:val="22"/>
          <w:szCs w:val="22"/>
        </w:rPr>
      </w:pPr>
    </w:p>
    <w:p w14:paraId="2EB33DCF" w14:textId="77777777" w:rsidR="00366FD4" w:rsidRPr="005500F5" w:rsidRDefault="00366FD4" w:rsidP="00366FD4">
      <w:pPr>
        <w:pStyle w:val="Default"/>
        <w:jc w:val="both"/>
        <w:rPr>
          <w:rFonts w:ascii="Verdana" w:hAnsi="Verdana"/>
          <w:color w:val="auto"/>
          <w:sz w:val="22"/>
          <w:szCs w:val="22"/>
        </w:rPr>
      </w:pPr>
      <w:r w:rsidRPr="005500F5">
        <w:rPr>
          <w:rFonts w:ascii="Verdana" w:hAnsi="Verdana"/>
          <w:color w:val="auto"/>
          <w:sz w:val="22"/>
          <w:szCs w:val="22"/>
        </w:rPr>
        <w:t xml:space="preserve">Igualmente, los documentos que se adjunten no están sujetos a calificación registral alguna y no son parte de la inscripción de la garantía mobiliaria. El RGM mantendrá los documentos que se adjunten en su archivo electrónico y deberá proveer copias y/o certificaciones de </w:t>
      </w:r>
      <w:proofErr w:type="gramStart"/>
      <w:r w:rsidRPr="005500F5">
        <w:rPr>
          <w:rFonts w:ascii="Verdana" w:hAnsi="Verdana"/>
          <w:color w:val="auto"/>
          <w:sz w:val="22"/>
          <w:szCs w:val="22"/>
        </w:rPr>
        <w:t>los mismos</w:t>
      </w:r>
      <w:proofErr w:type="gramEnd"/>
      <w:r w:rsidRPr="005500F5">
        <w:rPr>
          <w:rFonts w:ascii="Verdana" w:hAnsi="Verdana"/>
          <w:color w:val="auto"/>
          <w:sz w:val="22"/>
          <w:szCs w:val="22"/>
        </w:rPr>
        <w:t xml:space="preserve">, de conformidad con las disposiciones del reglamento del RGM. </w:t>
      </w:r>
    </w:p>
    <w:p w14:paraId="2D56E9B2" w14:textId="77777777" w:rsidR="00366FD4" w:rsidRPr="005500F5" w:rsidRDefault="00366FD4" w:rsidP="00366FD4">
      <w:pPr>
        <w:pStyle w:val="Default"/>
        <w:jc w:val="both"/>
        <w:rPr>
          <w:rFonts w:ascii="Verdana" w:hAnsi="Verdana"/>
          <w:color w:val="auto"/>
          <w:sz w:val="22"/>
          <w:szCs w:val="22"/>
        </w:rPr>
      </w:pPr>
    </w:p>
    <w:p w14:paraId="7A500DAE" w14:textId="77777777" w:rsidR="00366FD4" w:rsidRPr="005500F5" w:rsidRDefault="00366FD4" w:rsidP="00366FD4">
      <w:pPr>
        <w:pStyle w:val="Default"/>
        <w:jc w:val="both"/>
        <w:rPr>
          <w:rFonts w:ascii="Verdana" w:hAnsi="Verdana"/>
          <w:color w:val="auto"/>
          <w:sz w:val="22"/>
          <w:szCs w:val="22"/>
        </w:rPr>
      </w:pPr>
      <w:r w:rsidRPr="005500F5">
        <w:rPr>
          <w:rFonts w:ascii="Verdana" w:hAnsi="Verdana"/>
          <w:color w:val="auto"/>
          <w:sz w:val="22"/>
          <w:szCs w:val="22"/>
          <w:lang w:val="es-MX"/>
        </w:rPr>
        <w:t xml:space="preserve">Tanto la inscripción, como la búsqueda de información en el RGM, se realizará por vía electrónica. </w:t>
      </w:r>
      <w:r w:rsidRPr="005500F5">
        <w:rPr>
          <w:rFonts w:ascii="Verdana" w:hAnsi="Verdana"/>
          <w:color w:val="auto"/>
          <w:sz w:val="22"/>
          <w:szCs w:val="22"/>
        </w:rPr>
        <w:t xml:space="preserve">Es importante tener en cuenta que cualquier persona puede tener acceso al RGM y solicitar copias de las inscripciones a través de internet. </w:t>
      </w:r>
    </w:p>
    <w:p w14:paraId="6C29B901" w14:textId="77777777" w:rsidR="00366FD4" w:rsidRPr="005500F5" w:rsidRDefault="00366FD4" w:rsidP="00366FD4">
      <w:pPr>
        <w:pStyle w:val="Default"/>
        <w:jc w:val="both"/>
        <w:rPr>
          <w:rFonts w:ascii="Verdana" w:hAnsi="Verdana"/>
          <w:color w:val="auto"/>
          <w:sz w:val="22"/>
          <w:szCs w:val="22"/>
        </w:rPr>
      </w:pPr>
    </w:p>
    <w:p w14:paraId="17AB51AE" w14:textId="3AC6BBEB" w:rsidR="00366FD4" w:rsidRPr="005500F5" w:rsidRDefault="00366FD4" w:rsidP="00366FD4">
      <w:pPr>
        <w:pStyle w:val="Default"/>
        <w:jc w:val="both"/>
        <w:outlineLvl w:val="2"/>
        <w:rPr>
          <w:rFonts w:ascii="Verdana" w:hAnsi="Verdana"/>
          <w:b/>
          <w:bCs/>
          <w:color w:val="auto"/>
          <w:sz w:val="22"/>
          <w:szCs w:val="22"/>
          <w:u w:val="single"/>
        </w:rPr>
      </w:pPr>
      <w:bookmarkStart w:id="5" w:name="_Toc87973683"/>
      <w:r w:rsidRPr="005500F5">
        <w:rPr>
          <w:rFonts w:ascii="Verdana" w:hAnsi="Verdana"/>
          <w:b/>
          <w:bCs/>
          <w:color w:val="auto"/>
          <w:sz w:val="22"/>
          <w:szCs w:val="22"/>
          <w:u w:val="single"/>
        </w:rPr>
        <w:t>FUNCIONES DEL RGM</w:t>
      </w:r>
      <w:bookmarkEnd w:id="5"/>
      <w:r w:rsidRPr="005500F5">
        <w:rPr>
          <w:rFonts w:ascii="Verdana" w:hAnsi="Verdana"/>
          <w:b/>
          <w:bCs/>
          <w:color w:val="auto"/>
          <w:sz w:val="22"/>
          <w:szCs w:val="22"/>
          <w:u w:val="single"/>
        </w:rPr>
        <w:t xml:space="preserve"> </w:t>
      </w:r>
    </w:p>
    <w:p w14:paraId="22692C7F" w14:textId="77777777" w:rsidR="00366FD4" w:rsidRPr="005500F5" w:rsidRDefault="00366FD4" w:rsidP="00366FD4">
      <w:pPr>
        <w:pStyle w:val="Default"/>
        <w:jc w:val="both"/>
        <w:rPr>
          <w:rFonts w:ascii="Verdana" w:hAnsi="Verdana"/>
          <w:color w:val="auto"/>
          <w:sz w:val="22"/>
          <w:szCs w:val="22"/>
        </w:rPr>
      </w:pPr>
    </w:p>
    <w:p w14:paraId="37DCC507" w14:textId="77777777" w:rsidR="00366FD4" w:rsidRPr="005500F5" w:rsidRDefault="00366FD4" w:rsidP="00366FD4">
      <w:pPr>
        <w:pStyle w:val="Default"/>
        <w:jc w:val="both"/>
        <w:rPr>
          <w:rFonts w:ascii="Verdana" w:hAnsi="Verdana"/>
          <w:color w:val="auto"/>
          <w:sz w:val="22"/>
          <w:szCs w:val="22"/>
        </w:rPr>
      </w:pPr>
      <w:r w:rsidRPr="005500F5">
        <w:rPr>
          <w:rFonts w:ascii="Verdana" w:hAnsi="Verdana"/>
          <w:color w:val="auto"/>
          <w:sz w:val="22"/>
          <w:szCs w:val="22"/>
        </w:rPr>
        <w:t xml:space="preserve">De acuerdo con lo señalado en el artículo 2.2.2.4.1.3. del Decreto 1074 de 2015, el RGM que lleva Confecámaras debe cumplir con las siguientes funciones: </w:t>
      </w:r>
    </w:p>
    <w:p w14:paraId="2B7F5C8F" w14:textId="77777777" w:rsidR="00366FD4" w:rsidRPr="005500F5" w:rsidRDefault="00366FD4" w:rsidP="00366FD4">
      <w:pPr>
        <w:pStyle w:val="Default"/>
        <w:jc w:val="both"/>
        <w:rPr>
          <w:rFonts w:ascii="Verdana" w:hAnsi="Verdana"/>
          <w:color w:val="auto"/>
          <w:sz w:val="22"/>
          <w:szCs w:val="22"/>
        </w:rPr>
      </w:pPr>
    </w:p>
    <w:p w14:paraId="500EAA92" w14:textId="77777777" w:rsidR="00366FD4" w:rsidRPr="005500F5" w:rsidRDefault="00366FD4" w:rsidP="008E1312">
      <w:pPr>
        <w:pStyle w:val="Default"/>
        <w:numPr>
          <w:ilvl w:val="0"/>
          <w:numId w:val="5"/>
        </w:numPr>
        <w:jc w:val="both"/>
        <w:rPr>
          <w:rFonts w:ascii="Verdana" w:hAnsi="Verdana"/>
          <w:color w:val="auto"/>
          <w:sz w:val="22"/>
          <w:szCs w:val="22"/>
        </w:rPr>
      </w:pPr>
      <w:r w:rsidRPr="005500F5">
        <w:rPr>
          <w:rFonts w:ascii="Verdana" w:hAnsi="Verdana"/>
          <w:color w:val="auto"/>
          <w:sz w:val="22"/>
          <w:szCs w:val="22"/>
        </w:rPr>
        <w:t xml:space="preserve">Disponer para el acceso del público la información vigente de las garantías mobiliarias inscritas en el RGM. </w:t>
      </w:r>
    </w:p>
    <w:p w14:paraId="5DB28DF6" w14:textId="77777777" w:rsidR="00366FD4" w:rsidRPr="005500F5" w:rsidRDefault="00366FD4" w:rsidP="00366FD4">
      <w:pPr>
        <w:pStyle w:val="Default"/>
        <w:ind w:left="720"/>
        <w:jc w:val="both"/>
        <w:rPr>
          <w:rFonts w:ascii="Verdana" w:hAnsi="Verdana"/>
          <w:color w:val="auto"/>
          <w:sz w:val="22"/>
          <w:szCs w:val="22"/>
        </w:rPr>
      </w:pPr>
    </w:p>
    <w:p w14:paraId="25FCF7ED" w14:textId="77777777" w:rsidR="00366FD4" w:rsidRPr="005500F5" w:rsidRDefault="00366FD4" w:rsidP="008E1312">
      <w:pPr>
        <w:pStyle w:val="Default"/>
        <w:numPr>
          <w:ilvl w:val="0"/>
          <w:numId w:val="5"/>
        </w:numPr>
        <w:jc w:val="both"/>
        <w:rPr>
          <w:rFonts w:ascii="Verdana" w:hAnsi="Verdana"/>
          <w:color w:val="auto"/>
          <w:sz w:val="22"/>
          <w:szCs w:val="22"/>
        </w:rPr>
      </w:pPr>
      <w:r w:rsidRPr="005500F5">
        <w:rPr>
          <w:rFonts w:ascii="Verdana" w:hAnsi="Verdana"/>
          <w:color w:val="auto"/>
          <w:sz w:val="22"/>
          <w:szCs w:val="22"/>
        </w:rPr>
        <w:t xml:space="preserve">Ofrecer acceso público de sus servicios a través de internet, así como los servicios de consulta y comunicación con los registros especiales y otros registros. </w:t>
      </w:r>
    </w:p>
    <w:p w14:paraId="74C0059A" w14:textId="77777777" w:rsidR="00366FD4" w:rsidRPr="005500F5" w:rsidRDefault="00366FD4" w:rsidP="00366FD4">
      <w:pPr>
        <w:pStyle w:val="Default"/>
        <w:ind w:left="720"/>
        <w:jc w:val="both"/>
        <w:rPr>
          <w:rFonts w:ascii="Verdana" w:hAnsi="Verdana"/>
          <w:color w:val="auto"/>
          <w:sz w:val="22"/>
          <w:szCs w:val="22"/>
        </w:rPr>
      </w:pPr>
    </w:p>
    <w:p w14:paraId="05A3E23B" w14:textId="77777777" w:rsidR="00366FD4" w:rsidRPr="005500F5" w:rsidRDefault="00366FD4" w:rsidP="008E1312">
      <w:pPr>
        <w:pStyle w:val="Default"/>
        <w:numPr>
          <w:ilvl w:val="0"/>
          <w:numId w:val="5"/>
        </w:numPr>
        <w:jc w:val="both"/>
        <w:rPr>
          <w:rFonts w:ascii="Verdana" w:hAnsi="Verdana"/>
          <w:color w:val="auto"/>
          <w:sz w:val="22"/>
          <w:szCs w:val="22"/>
        </w:rPr>
      </w:pPr>
      <w:r w:rsidRPr="005500F5">
        <w:rPr>
          <w:rFonts w:ascii="Verdana" w:hAnsi="Verdana"/>
          <w:color w:val="auto"/>
          <w:sz w:val="22"/>
          <w:szCs w:val="22"/>
        </w:rPr>
        <w:t xml:space="preserve">Rechazar automáticamente y dar a conocer los motivos del rechazo de la inscripción de alguno de los formularios de registro, de conformidad con lo dispuesto en el artículo 2.2.2.4.1.8. del Decreto 1074 de 2015. </w:t>
      </w:r>
    </w:p>
    <w:p w14:paraId="7B2A9984" w14:textId="77777777" w:rsidR="00366FD4" w:rsidRPr="005500F5" w:rsidRDefault="00366FD4" w:rsidP="00366FD4">
      <w:pPr>
        <w:pStyle w:val="Default"/>
        <w:ind w:left="720"/>
        <w:jc w:val="both"/>
        <w:rPr>
          <w:rFonts w:ascii="Verdana" w:hAnsi="Verdana"/>
          <w:color w:val="auto"/>
          <w:sz w:val="22"/>
          <w:szCs w:val="22"/>
        </w:rPr>
      </w:pPr>
    </w:p>
    <w:p w14:paraId="2C5063FA" w14:textId="77777777" w:rsidR="00366FD4" w:rsidRPr="005500F5" w:rsidRDefault="00366FD4" w:rsidP="008E1312">
      <w:pPr>
        <w:pStyle w:val="Default"/>
        <w:numPr>
          <w:ilvl w:val="0"/>
          <w:numId w:val="5"/>
        </w:numPr>
        <w:jc w:val="both"/>
        <w:rPr>
          <w:rFonts w:ascii="Verdana" w:hAnsi="Verdana"/>
          <w:color w:val="auto"/>
          <w:sz w:val="22"/>
          <w:szCs w:val="22"/>
        </w:rPr>
      </w:pPr>
      <w:r w:rsidRPr="005500F5">
        <w:rPr>
          <w:rFonts w:ascii="Verdana" w:hAnsi="Verdana"/>
          <w:color w:val="auto"/>
          <w:sz w:val="22"/>
          <w:szCs w:val="22"/>
        </w:rPr>
        <w:t xml:space="preserve">Incorporar en el sistema de archivo, la información contenida en los formularios presentados al RGM y consignar la fecha y hora de cada inscripción. El RGM capturará la identidad de la persona que efectúe la inscripción. </w:t>
      </w:r>
    </w:p>
    <w:p w14:paraId="23182D96" w14:textId="77777777" w:rsidR="00366FD4" w:rsidRPr="005500F5" w:rsidRDefault="00366FD4" w:rsidP="00366FD4">
      <w:pPr>
        <w:pStyle w:val="Default"/>
        <w:ind w:left="720"/>
        <w:jc w:val="both"/>
        <w:rPr>
          <w:rFonts w:ascii="Verdana" w:hAnsi="Verdana"/>
          <w:color w:val="auto"/>
          <w:sz w:val="22"/>
          <w:szCs w:val="22"/>
        </w:rPr>
      </w:pPr>
    </w:p>
    <w:p w14:paraId="71999D12" w14:textId="77777777" w:rsidR="00366FD4" w:rsidRPr="005500F5" w:rsidRDefault="00366FD4" w:rsidP="008E1312">
      <w:pPr>
        <w:pStyle w:val="Default"/>
        <w:numPr>
          <w:ilvl w:val="0"/>
          <w:numId w:val="5"/>
        </w:numPr>
        <w:jc w:val="both"/>
        <w:rPr>
          <w:rFonts w:ascii="Verdana" w:hAnsi="Verdana"/>
          <w:color w:val="auto"/>
          <w:sz w:val="22"/>
          <w:szCs w:val="22"/>
        </w:rPr>
      </w:pPr>
      <w:r w:rsidRPr="005500F5">
        <w:rPr>
          <w:rFonts w:ascii="Verdana" w:hAnsi="Verdana"/>
          <w:color w:val="auto"/>
          <w:sz w:val="22"/>
          <w:szCs w:val="22"/>
        </w:rPr>
        <w:t xml:space="preserve">Asignar el número de folio electrónico de inscripción inicial y los números de inscripción relacionados con éste. </w:t>
      </w:r>
    </w:p>
    <w:p w14:paraId="2D2BA39E" w14:textId="77777777" w:rsidR="00366FD4" w:rsidRPr="005500F5" w:rsidRDefault="00366FD4" w:rsidP="00366FD4">
      <w:pPr>
        <w:pStyle w:val="Default"/>
        <w:ind w:left="720"/>
        <w:jc w:val="both"/>
        <w:rPr>
          <w:rFonts w:ascii="Verdana" w:hAnsi="Verdana"/>
          <w:color w:val="auto"/>
          <w:sz w:val="22"/>
          <w:szCs w:val="22"/>
        </w:rPr>
      </w:pPr>
    </w:p>
    <w:p w14:paraId="7E30A369" w14:textId="77777777" w:rsidR="00366FD4" w:rsidRPr="005500F5" w:rsidRDefault="00366FD4" w:rsidP="008E1312">
      <w:pPr>
        <w:pStyle w:val="Default"/>
        <w:numPr>
          <w:ilvl w:val="0"/>
          <w:numId w:val="5"/>
        </w:numPr>
        <w:jc w:val="both"/>
        <w:rPr>
          <w:rFonts w:ascii="Verdana" w:hAnsi="Verdana"/>
          <w:color w:val="auto"/>
          <w:sz w:val="22"/>
          <w:szCs w:val="22"/>
        </w:rPr>
      </w:pPr>
      <w:r w:rsidRPr="005500F5">
        <w:rPr>
          <w:rFonts w:ascii="Verdana" w:hAnsi="Verdana"/>
          <w:color w:val="auto"/>
          <w:sz w:val="22"/>
          <w:szCs w:val="22"/>
        </w:rPr>
        <w:t>Organizar la información consignada en el sistema de archivo, como un registro de naturaleza personal, en función de la identificación del garante.</w:t>
      </w:r>
    </w:p>
    <w:p w14:paraId="2AF9EA22" w14:textId="77777777" w:rsidR="00366FD4" w:rsidRPr="005500F5" w:rsidRDefault="00366FD4" w:rsidP="00366FD4">
      <w:pPr>
        <w:pStyle w:val="Default"/>
        <w:ind w:left="720"/>
        <w:jc w:val="both"/>
        <w:rPr>
          <w:rFonts w:ascii="Verdana" w:hAnsi="Verdana"/>
          <w:color w:val="auto"/>
          <w:sz w:val="22"/>
          <w:szCs w:val="22"/>
        </w:rPr>
      </w:pPr>
    </w:p>
    <w:p w14:paraId="5097DEE9" w14:textId="77777777" w:rsidR="00366FD4" w:rsidRPr="005500F5" w:rsidRDefault="00366FD4" w:rsidP="008E1312">
      <w:pPr>
        <w:pStyle w:val="Default"/>
        <w:numPr>
          <w:ilvl w:val="0"/>
          <w:numId w:val="5"/>
        </w:numPr>
        <w:jc w:val="both"/>
        <w:rPr>
          <w:rFonts w:ascii="Verdana" w:hAnsi="Verdana"/>
          <w:color w:val="auto"/>
          <w:sz w:val="22"/>
          <w:szCs w:val="22"/>
        </w:rPr>
      </w:pPr>
      <w:r w:rsidRPr="005500F5">
        <w:rPr>
          <w:rFonts w:ascii="Verdana" w:hAnsi="Verdana"/>
          <w:color w:val="auto"/>
          <w:sz w:val="22"/>
          <w:szCs w:val="22"/>
        </w:rPr>
        <w:t xml:space="preserve">Garantizar la integridad de la información consignada en el RGM y prevenir cualquier falla en el sistema que afecte sus servicios. </w:t>
      </w:r>
    </w:p>
    <w:p w14:paraId="6D4F7233" w14:textId="77777777" w:rsidR="00366FD4" w:rsidRPr="005500F5" w:rsidRDefault="00366FD4" w:rsidP="00366FD4">
      <w:pPr>
        <w:pStyle w:val="Default"/>
        <w:ind w:left="720"/>
        <w:jc w:val="both"/>
        <w:rPr>
          <w:rFonts w:ascii="Verdana" w:hAnsi="Verdana"/>
          <w:color w:val="auto"/>
          <w:sz w:val="22"/>
          <w:szCs w:val="22"/>
        </w:rPr>
      </w:pPr>
    </w:p>
    <w:p w14:paraId="1BDCFB67" w14:textId="77777777" w:rsidR="00366FD4" w:rsidRPr="005500F5" w:rsidRDefault="00366FD4" w:rsidP="008E1312">
      <w:pPr>
        <w:pStyle w:val="Default"/>
        <w:numPr>
          <w:ilvl w:val="0"/>
          <w:numId w:val="5"/>
        </w:numPr>
        <w:jc w:val="both"/>
        <w:rPr>
          <w:rFonts w:ascii="Verdana" w:hAnsi="Verdana"/>
          <w:color w:val="auto"/>
          <w:sz w:val="22"/>
          <w:szCs w:val="22"/>
        </w:rPr>
      </w:pPr>
      <w:r w:rsidRPr="005500F5">
        <w:rPr>
          <w:rFonts w:ascii="Verdana" w:hAnsi="Verdana"/>
          <w:color w:val="auto"/>
          <w:sz w:val="22"/>
          <w:szCs w:val="22"/>
        </w:rPr>
        <w:t xml:space="preserve">Proveer a través de internet las certificaciones y copias. </w:t>
      </w:r>
    </w:p>
    <w:p w14:paraId="07A54F0D" w14:textId="77777777" w:rsidR="00366FD4" w:rsidRPr="005500F5" w:rsidRDefault="00366FD4" w:rsidP="00366FD4">
      <w:pPr>
        <w:pStyle w:val="Default"/>
        <w:ind w:left="720"/>
        <w:jc w:val="both"/>
        <w:rPr>
          <w:rFonts w:ascii="Verdana" w:hAnsi="Verdana"/>
          <w:color w:val="auto"/>
          <w:sz w:val="22"/>
          <w:szCs w:val="22"/>
        </w:rPr>
      </w:pPr>
    </w:p>
    <w:p w14:paraId="6BD654C6" w14:textId="77777777" w:rsidR="00366FD4" w:rsidRPr="005500F5" w:rsidRDefault="00366FD4" w:rsidP="008E1312">
      <w:pPr>
        <w:pStyle w:val="Default"/>
        <w:numPr>
          <w:ilvl w:val="0"/>
          <w:numId w:val="5"/>
        </w:numPr>
        <w:jc w:val="both"/>
        <w:rPr>
          <w:rFonts w:ascii="Verdana" w:hAnsi="Verdana"/>
          <w:color w:val="auto"/>
          <w:sz w:val="22"/>
          <w:szCs w:val="22"/>
        </w:rPr>
      </w:pPr>
      <w:r w:rsidRPr="005500F5">
        <w:rPr>
          <w:rFonts w:ascii="Verdana" w:hAnsi="Verdana"/>
          <w:color w:val="auto"/>
          <w:sz w:val="22"/>
          <w:szCs w:val="22"/>
        </w:rPr>
        <w:lastRenderedPageBreak/>
        <w:t xml:space="preserve">Conservar toda la información para mantener un registro histórico de las inscripciones de las garantías mobiliarias, que permita su recuperación de conformidad con lo establecido en el artículo 2.2.2.4.1.15 del Decreto 1074 de 2015. </w:t>
      </w:r>
    </w:p>
    <w:p w14:paraId="187F32D5" w14:textId="77777777" w:rsidR="00366FD4" w:rsidRPr="005500F5" w:rsidRDefault="00366FD4" w:rsidP="00366FD4">
      <w:pPr>
        <w:pStyle w:val="Default"/>
        <w:ind w:left="720"/>
        <w:jc w:val="both"/>
        <w:rPr>
          <w:rFonts w:ascii="Verdana" w:hAnsi="Verdana"/>
          <w:color w:val="auto"/>
          <w:sz w:val="22"/>
          <w:szCs w:val="22"/>
        </w:rPr>
      </w:pPr>
    </w:p>
    <w:p w14:paraId="62CDD571" w14:textId="77777777" w:rsidR="00366FD4" w:rsidRPr="005500F5" w:rsidRDefault="00366FD4" w:rsidP="008E1312">
      <w:pPr>
        <w:pStyle w:val="Prrafodelista"/>
        <w:numPr>
          <w:ilvl w:val="0"/>
          <w:numId w:val="5"/>
        </w:numPr>
        <w:contextualSpacing/>
        <w:jc w:val="both"/>
        <w:rPr>
          <w:rFonts w:ascii="Verdana" w:hAnsi="Verdana" w:cs="Arial"/>
          <w:sz w:val="22"/>
          <w:szCs w:val="22"/>
        </w:rPr>
      </w:pPr>
      <w:r w:rsidRPr="005500F5">
        <w:rPr>
          <w:rFonts w:ascii="Verdana" w:hAnsi="Verdana" w:cs="Arial"/>
          <w:sz w:val="22"/>
          <w:szCs w:val="22"/>
        </w:rPr>
        <w:t xml:space="preserve">Disponer de mecanismos de pago por internet de los derechos de registro. </w:t>
      </w:r>
    </w:p>
    <w:p w14:paraId="0D823582" w14:textId="77777777" w:rsidR="00366FD4" w:rsidRPr="005500F5" w:rsidRDefault="00366FD4" w:rsidP="00366FD4">
      <w:pPr>
        <w:pStyle w:val="Default"/>
        <w:ind w:left="360"/>
        <w:jc w:val="both"/>
        <w:rPr>
          <w:rFonts w:ascii="Verdana" w:hAnsi="Verdana"/>
          <w:color w:val="auto"/>
          <w:sz w:val="22"/>
          <w:szCs w:val="22"/>
        </w:rPr>
      </w:pPr>
    </w:p>
    <w:p w14:paraId="574B6D74" w14:textId="77777777" w:rsidR="00366FD4" w:rsidRPr="005500F5" w:rsidRDefault="00366FD4" w:rsidP="008E1312">
      <w:pPr>
        <w:pStyle w:val="Default"/>
        <w:numPr>
          <w:ilvl w:val="0"/>
          <w:numId w:val="5"/>
        </w:numPr>
        <w:jc w:val="both"/>
        <w:rPr>
          <w:rFonts w:ascii="Verdana" w:hAnsi="Verdana"/>
          <w:color w:val="auto"/>
          <w:sz w:val="22"/>
          <w:szCs w:val="22"/>
        </w:rPr>
      </w:pPr>
      <w:r w:rsidRPr="005500F5">
        <w:rPr>
          <w:rFonts w:ascii="Verdana" w:hAnsi="Verdana"/>
          <w:color w:val="auto"/>
          <w:sz w:val="22"/>
          <w:szCs w:val="22"/>
        </w:rPr>
        <w:t xml:space="preserve">Asegurar el cumplimiento de los derechos al hábeas data, estableciendo los mecanismos necesarios para ello. </w:t>
      </w:r>
    </w:p>
    <w:p w14:paraId="03B2E1F2" w14:textId="77777777" w:rsidR="00366FD4" w:rsidRPr="005500F5" w:rsidRDefault="00366FD4" w:rsidP="00366FD4">
      <w:pPr>
        <w:pStyle w:val="Default"/>
        <w:ind w:left="720"/>
        <w:jc w:val="both"/>
        <w:rPr>
          <w:rFonts w:ascii="Verdana" w:hAnsi="Verdana"/>
          <w:color w:val="auto"/>
          <w:sz w:val="22"/>
          <w:szCs w:val="22"/>
        </w:rPr>
      </w:pPr>
    </w:p>
    <w:p w14:paraId="0092BC7C" w14:textId="77777777" w:rsidR="00366FD4" w:rsidRPr="005500F5" w:rsidRDefault="00366FD4" w:rsidP="00366FD4">
      <w:pPr>
        <w:pStyle w:val="Default"/>
        <w:jc w:val="both"/>
        <w:rPr>
          <w:rFonts w:ascii="Verdana" w:hAnsi="Verdana"/>
          <w:color w:val="auto"/>
          <w:sz w:val="22"/>
          <w:szCs w:val="22"/>
        </w:rPr>
      </w:pPr>
      <w:r w:rsidRPr="005500F5">
        <w:rPr>
          <w:rFonts w:ascii="Verdana" w:hAnsi="Verdana"/>
          <w:color w:val="auto"/>
          <w:sz w:val="22"/>
          <w:szCs w:val="22"/>
        </w:rPr>
        <w:t xml:space="preserve">Igualmente, el artículo 2.2.2.4.1.4 del Decreto 1074 de 2015, señala que todas las personas tendrán acceso a los servicios del RGM, en lo relacionado con la inscripción, consulta y/o solicitud de certificaciones y copias, </w:t>
      </w:r>
      <w:proofErr w:type="gramStart"/>
      <w:r w:rsidRPr="005500F5">
        <w:rPr>
          <w:rFonts w:ascii="Verdana" w:hAnsi="Verdana"/>
          <w:color w:val="auto"/>
          <w:sz w:val="22"/>
          <w:szCs w:val="22"/>
        </w:rPr>
        <w:t>de acuerdo a</w:t>
      </w:r>
      <w:proofErr w:type="gramEnd"/>
      <w:r w:rsidRPr="005500F5">
        <w:rPr>
          <w:rFonts w:ascii="Verdana" w:hAnsi="Verdana"/>
          <w:color w:val="auto"/>
          <w:sz w:val="22"/>
          <w:szCs w:val="22"/>
        </w:rPr>
        <w:t xml:space="preserve"> la normatividad vigente y al manual de usuario del RGM. </w:t>
      </w:r>
    </w:p>
    <w:p w14:paraId="1855A409" w14:textId="77777777" w:rsidR="00366FD4" w:rsidRPr="005500F5" w:rsidRDefault="00366FD4" w:rsidP="00366FD4">
      <w:pPr>
        <w:pStyle w:val="Default"/>
        <w:jc w:val="both"/>
        <w:rPr>
          <w:rFonts w:ascii="Verdana" w:hAnsi="Verdana"/>
          <w:color w:val="auto"/>
          <w:sz w:val="22"/>
          <w:szCs w:val="22"/>
        </w:rPr>
      </w:pPr>
    </w:p>
    <w:p w14:paraId="2882AF96" w14:textId="3E5AD4E9" w:rsidR="00366FD4" w:rsidRPr="005500F5" w:rsidRDefault="00366FD4" w:rsidP="00366FD4">
      <w:pPr>
        <w:pStyle w:val="Default"/>
        <w:jc w:val="both"/>
        <w:rPr>
          <w:rFonts w:ascii="Verdana" w:hAnsi="Verdana"/>
          <w:color w:val="auto"/>
          <w:sz w:val="22"/>
          <w:szCs w:val="22"/>
        </w:rPr>
      </w:pPr>
      <w:r w:rsidRPr="005500F5">
        <w:rPr>
          <w:rFonts w:ascii="Verdana" w:hAnsi="Verdana"/>
          <w:color w:val="auto"/>
          <w:sz w:val="22"/>
          <w:szCs w:val="22"/>
        </w:rPr>
        <w:t>Así mismo, la presentación de los formularios de registro deberá ser electrónica y deberá estar disponible las veinticuatro (24) horas del día, todos los días de la semana, incluyendo fines de semana y días festivos</w:t>
      </w:r>
      <w:r w:rsidR="00A044BB" w:rsidRPr="005500F5">
        <w:rPr>
          <w:rFonts w:ascii="Verdana" w:hAnsi="Verdana"/>
          <w:color w:val="auto"/>
          <w:sz w:val="22"/>
          <w:szCs w:val="22"/>
        </w:rPr>
        <w:t>. Esta misma disponibilidad deberá cumplirse para la consulta de la información</w:t>
      </w:r>
      <w:r w:rsidRPr="005500F5">
        <w:rPr>
          <w:rFonts w:ascii="Verdana" w:hAnsi="Verdana"/>
          <w:color w:val="auto"/>
          <w:sz w:val="22"/>
          <w:szCs w:val="22"/>
        </w:rPr>
        <w:t xml:space="preserve">. </w:t>
      </w:r>
    </w:p>
    <w:p w14:paraId="3896C2F4" w14:textId="77777777" w:rsidR="00366FD4" w:rsidRPr="005500F5" w:rsidRDefault="00366FD4" w:rsidP="00366FD4">
      <w:pPr>
        <w:pStyle w:val="Default"/>
        <w:jc w:val="both"/>
        <w:rPr>
          <w:rFonts w:ascii="Verdana" w:hAnsi="Verdana"/>
          <w:color w:val="auto"/>
          <w:sz w:val="22"/>
          <w:szCs w:val="22"/>
        </w:rPr>
      </w:pPr>
    </w:p>
    <w:p w14:paraId="0AC1E858" w14:textId="77777777" w:rsidR="00366FD4" w:rsidRPr="005500F5" w:rsidRDefault="00366FD4" w:rsidP="00366FD4">
      <w:pPr>
        <w:pStyle w:val="Default"/>
        <w:jc w:val="both"/>
        <w:rPr>
          <w:rFonts w:ascii="Verdana" w:hAnsi="Verdana"/>
          <w:color w:val="auto"/>
          <w:sz w:val="22"/>
          <w:szCs w:val="22"/>
        </w:rPr>
      </w:pPr>
      <w:r w:rsidRPr="005500F5">
        <w:rPr>
          <w:rFonts w:ascii="Verdana" w:hAnsi="Verdana"/>
          <w:color w:val="auto"/>
          <w:sz w:val="22"/>
          <w:szCs w:val="22"/>
        </w:rPr>
        <w:t xml:space="preserve">En igual sentido, el RGM deberá prevenir cualquier falla en el sistema que afecte el acceso a sus servicios. </w:t>
      </w:r>
    </w:p>
    <w:p w14:paraId="4BFB1DBB" w14:textId="77777777" w:rsidR="00366FD4" w:rsidRPr="005500F5" w:rsidRDefault="00366FD4" w:rsidP="00366FD4">
      <w:pPr>
        <w:pStyle w:val="Default"/>
        <w:jc w:val="both"/>
        <w:rPr>
          <w:rFonts w:ascii="Verdana" w:hAnsi="Verdana"/>
          <w:color w:val="auto"/>
          <w:sz w:val="22"/>
          <w:szCs w:val="22"/>
        </w:rPr>
      </w:pPr>
    </w:p>
    <w:p w14:paraId="7BB07DC0" w14:textId="19C8CF7D" w:rsidR="00366FD4" w:rsidRPr="005500F5" w:rsidRDefault="00366FD4" w:rsidP="00366FD4">
      <w:pPr>
        <w:pStyle w:val="Default"/>
        <w:jc w:val="both"/>
        <w:outlineLvl w:val="2"/>
        <w:rPr>
          <w:rFonts w:ascii="Verdana" w:hAnsi="Verdana"/>
          <w:b/>
          <w:bCs/>
          <w:color w:val="auto"/>
          <w:sz w:val="22"/>
          <w:szCs w:val="22"/>
        </w:rPr>
      </w:pPr>
      <w:bookmarkStart w:id="6" w:name="_Toc87973684"/>
      <w:r w:rsidRPr="005500F5">
        <w:rPr>
          <w:rFonts w:ascii="Verdana" w:hAnsi="Verdana"/>
          <w:b/>
          <w:bCs/>
          <w:color w:val="auto"/>
          <w:sz w:val="22"/>
          <w:szCs w:val="22"/>
          <w:u w:val="single"/>
        </w:rPr>
        <w:t>COMPETENCIA</w:t>
      </w:r>
      <w:bookmarkEnd w:id="6"/>
      <w:r w:rsidRPr="005500F5">
        <w:rPr>
          <w:rFonts w:ascii="Verdana" w:hAnsi="Verdana"/>
          <w:b/>
          <w:bCs/>
          <w:color w:val="auto"/>
          <w:sz w:val="22"/>
          <w:szCs w:val="22"/>
          <w:u w:val="single"/>
        </w:rPr>
        <w:t xml:space="preserve"> </w:t>
      </w:r>
    </w:p>
    <w:p w14:paraId="3CD52164" w14:textId="77777777" w:rsidR="00366FD4" w:rsidRPr="005500F5" w:rsidRDefault="00366FD4" w:rsidP="00366FD4">
      <w:pPr>
        <w:pStyle w:val="Default"/>
        <w:jc w:val="both"/>
        <w:rPr>
          <w:rFonts w:ascii="Verdana" w:hAnsi="Verdana"/>
          <w:color w:val="auto"/>
          <w:sz w:val="22"/>
          <w:szCs w:val="22"/>
        </w:rPr>
      </w:pPr>
    </w:p>
    <w:p w14:paraId="576ECFDF" w14:textId="47CCB25F" w:rsidR="00366FD4" w:rsidRPr="005500F5" w:rsidRDefault="00366FD4" w:rsidP="00366FD4">
      <w:pPr>
        <w:pStyle w:val="Default"/>
        <w:jc w:val="both"/>
        <w:rPr>
          <w:rFonts w:ascii="Verdana" w:hAnsi="Verdana"/>
          <w:color w:val="auto"/>
          <w:sz w:val="22"/>
          <w:szCs w:val="22"/>
        </w:rPr>
      </w:pPr>
      <w:r w:rsidRPr="005500F5">
        <w:rPr>
          <w:rFonts w:ascii="Verdana" w:hAnsi="Verdana"/>
          <w:color w:val="auto"/>
          <w:sz w:val="22"/>
          <w:szCs w:val="22"/>
        </w:rPr>
        <w:t xml:space="preserve">De acuerdo con lo establecido en el parágrafo del artículo 2.2.2.4.1.40 del Decreto 1074 de 2015, le corresponde a la Superintendencia de Sociedades supervisar el funcionamiento del RGM y el cumplimiento de funciones y las que le corresponden a Confecámaras, como administrador del RGM. </w:t>
      </w:r>
    </w:p>
    <w:p w14:paraId="51296FFC" w14:textId="77777777" w:rsidR="00366FD4" w:rsidRPr="005500F5" w:rsidRDefault="00366FD4" w:rsidP="00366FD4">
      <w:pPr>
        <w:pStyle w:val="Default"/>
        <w:jc w:val="both"/>
        <w:rPr>
          <w:rFonts w:ascii="Verdana" w:hAnsi="Verdana"/>
          <w:color w:val="auto"/>
          <w:sz w:val="22"/>
          <w:szCs w:val="22"/>
        </w:rPr>
      </w:pPr>
    </w:p>
    <w:p w14:paraId="3DB9E572" w14:textId="77777777" w:rsidR="00366FD4" w:rsidRPr="005500F5" w:rsidRDefault="00366FD4" w:rsidP="00366FD4">
      <w:pPr>
        <w:autoSpaceDE w:val="0"/>
        <w:autoSpaceDN w:val="0"/>
        <w:adjustRightInd w:val="0"/>
        <w:jc w:val="both"/>
        <w:rPr>
          <w:rFonts w:ascii="Verdana" w:hAnsi="Verdana" w:cs="Arial"/>
          <w:i/>
          <w:iCs/>
          <w:sz w:val="22"/>
          <w:szCs w:val="22"/>
          <w:lang w:val="es-CO"/>
        </w:rPr>
      </w:pPr>
      <w:r w:rsidRPr="005500F5">
        <w:rPr>
          <w:rFonts w:ascii="Verdana" w:hAnsi="Verdana" w:cs="Arial"/>
          <w:sz w:val="22"/>
          <w:szCs w:val="22"/>
        </w:rPr>
        <w:t xml:space="preserve">Por su parte, </w:t>
      </w:r>
      <w:r w:rsidRPr="005500F5">
        <w:rPr>
          <w:rFonts w:ascii="Verdana" w:hAnsi="Verdana" w:cs="Arial"/>
          <w:sz w:val="22"/>
          <w:szCs w:val="22"/>
          <w:lang w:val="es-CO"/>
        </w:rPr>
        <w:t>el numeral 5 del artículo 17 A del Decreto 1736 de 2020, adicionado por el Decreto 1830 de 2021, dispuso que la Dirección de Supervisión de Cámaras de Comercio y sus Registros Públicos debe “</w:t>
      </w:r>
      <w:r w:rsidRPr="005500F5">
        <w:rPr>
          <w:rFonts w:ascii="Verdana" w:hAnsi="Verdana" w:cs="Arial"/>
          <w:i/>
          <w:iCs/>
          <w:sz w:val="22"/>
          <w:szCs w:val="22"/>
        </w:rPr>
        <w:t xml:space="preserve">Supervisar el cumplimiento y la adecuada organización, funcionamiento y operación del Registro de Garantías Mobiliarias y el cumplimiento de las funciones que corresponden al administrador u operador </w:t>
      </w:r>
      <w:proofErr w:type="gramStart"/>
      <w:r w:rsidRPr="005500F5">
        <w:rPr>
          <w:rFonts w:ascii="Verdana" w:hAnsi="Verdana" w:cs="Arial"/>
          <w:i/>
          <w:iCs/>
          <w:sz w:val="22"/>
          <w:szCs w:val="22"/>
        </w:rPr>
        <w:t>del mismo</w:t>
      </w:r>
      <w:proofErr w:type="gramEnd"/>
      <w:r w:rsidRPr="005500F5">
        <w:rPr>
          <w:rFonts w:ascii="Verdana" w:hAnsi="Verdana" w:cs="Arial"/>
          <w:i/>
          <w:iCs/>
          <w:sz w:val="22"/>
          <w:szCs w:val="22"/>
        </w:rPr>
        <w:t>, conforme a los lineamientos establecidos por el Superintendente de Sociedades</w:t>
      </w:r>
      <w:r w:rsidRPr="005500F5">
        <w:rPr>
          <w:rFonts w:ascii="Verdana" w:hAnsi="Verdana" w:cs="Arial"/>
          <w:i/>
          <w:iCs/>
          <w:sz w:val="22"/>
          <w:szCs w:val="22"/>
          <w:lang w:val="es-CO"/>
        </w:rPr>
        <w:t>”.</w:t>
      </w:r>
    </w:p>
    <w:p w14:paraId="44E43F0D" w14:textId="77777777" w:rsidR="00022BBE" w:rsidRPr="005500F5" w:rsidRDefault="00022BBE" w:rsidP="00366FD4">
      <w:pPr>
        <w:autoSpaceDE w:val="0"/>
        <w:autoSpaceDN w:val="0"/>
        <w:adjustRightInd w:val="0"/>
        <w:jc w:val="both"/>
        <w:rPr>
          <w:rFonts w:ascii="Verdana" w:hAnsi="Verdana" w:cs="Arial"/>
          <w:i/>
          <w:iCs/>
          <w:sz w:val="22"/>
          <w:szCs w:val="22"/>
          <w:lang w:val="es-CO"/>
        </w:rPr>
      </w:pPr>
    </w:p>
    <w:p w14:paraId="1FA42A85" w14:textId="77777777" w:rsidR="00366FD4" w:rsidRPr="005500F5" w:rsidRDefault="00366FD4" w:rsidP="00366FD4">
      <w:pPr>
        <w:pStyle w:val="Default"/>
        <w:jc w:val="both"/>
        <w:rPr>
          <w:rFonts w:ascii="Verdana" w:hAnsi="Verdana"/>
          <w:color w:val="auto"/>
          <w:sz w:val="22"/>
          <w:szCs w:val="22"/>
        </w:rPr>
      </w:pPr>
      <w:r w:rsidRPr="005500F5">
        <w:rPr>
          <w:rFonts w:ascii="Verdana" w:hAnsi="Verdana"/>
          <w:sz w:val="22"/>
          <w:szCs w:val="22"/>
        </w:rPr>
        <w:t xml:space="preserve">Y conforme a la organización interna de esta Superintendencia, al definirse los grupos de trabajo y sus funciones, mediante Resolución </w:t>
      </w:r>
      <w:proofErr w:type="spellStart"/>
      <w:r w:rsidRPr="005500F5">
        <w:rPr>
          <w:rFonts w:ascii="Verdana" w:hAnsi="Verdana"/>
          <w:sz w:val="22"/>
          <w:szCs w:val="22"/>
        </w:rPr>
        <w:t>n.°</w:t>
      </w:r>
      <w:proofErr w:type="spellEnd"/>
      <w:r w:rsidRPr="005500F5">
        <w:rPr>
          <w:rFonts w:ascii="Verdana" w:hAnsi="Verdana"/>
          <w:sz w:val="22"/>
          <w:szCs w:val="22"/>
        </w:rPr>
        <w:t xml:space="preserve"> 100-000040 del 8 de enero de 2021, modificada por la Resolución </w:t>
      </w:r>
      <w:proofErr w:type="spellStart"/>
      <w:r w:rsidRPr="005500F5">
        <w:rPr>
          <w:rFonts w:ascii="Verdana" w:hAnsi="Verdana"/>
          <w:sz w:val="22"/>
          <w:szCs w:val="22"/>
        </w:rPr>
        <w:t>n.°</w:t>
      </w:r>
      <w:proofErr w:type="spellEnd"/>
      <w:r w:rsidRPr="005500F5">
        <w:rPr>
          <w:rFonts w:ascii="Verdana" w:hAnsi="Verdana"/>
          <w:sz w:val="22"/>
          <w:szCs w:val="22"/>
        </w:rPr>
        <w:t xml:space="preserve"> 100-000791 del 14 de febrero de 2024, en el numeral</w:t>
      </w:r>
      <w:r w:rsidRPr="005500F5">
        <w:rPr>
          <w:rFonts w:ascii="Verdana" w:hAnsi="Verdana"/>
          <w:i/>
          <w:iCs/>
          <w:sz w:val="22"/>
          <w:szCs w:val="22"/>
        </w:rPr>
        <w:t xml:space="preserve">  </w:t>
      </w:r>
      <w:r w:rsidRPr="005500F5">
        <w:rPr>
          <w:rFonts w:ascii="Verdana" w:hAnsi="Verdana"/>
          <w:sz w:val="22"/>
          <w:szCs w:val="22"/>
        </w:rPr>
        <w:t>44C.7 del artículo 44C se estableció que le corresponde al Grupo de Registros Públicos adscrito a la Dirección de Supervisión de Cámaras de Comercio y sus Registros Públicos: “</w:t>
      </w:r>
      <w:r w:rsidRPr="005500F5">
        <w:rPr>
          <w:rFonts w:ascii="Verdana" w:hAnsi="Verdana"/>
          <w:i/>
          <w:sz w:val="22"/>
          <w:szCs w:val="22"/>
        </w:rPr>
        <w:t xml:space="preserve">Coordinar la </w:t>
      </w:r>
      <w:proofErr w:type="spellStart"/>
      <w:r w:rsidRPr="005500F5">
        <w:rPr>
          <w:rFonts w:ascii="Verdana" w:hAnsi="Verdana"/>
          <w:i/>
          <w:sz w:val="22"/>
          <w:szCs w:val="22"/>
        </w:rPr>
        <w:t>supervisión</w:t>
      </w:r>
      <w:proofErr w:type="spellEnd"/>
      <w:r w:rsidRPr="005500F5">
        <w:rPr>
          <w:rFonts w:ascii="Verdana" w:hAnsi="Verdana"/>
          <w:i/>
          <w:sz w:val="22"/>
          <w:szCs w:val="22"/>
        </w:rPr>
        <w:t xml:space="preserve"> del cumplimiento y la adecuada </w:t>
      </w:r>
      <w:proofErr w:type="spellStart"/>
      <w:r w:rsidRPr="005500F5">
        <w:rPr>
          <w:rFonts w:ascii="Verdana" w:hAnsi="Verdana"/>
          <w:i/>
          <w:sz w:val="22"/>
          <w:szCs w:val="22"/>
        </w:rPr>
        <w:t>organización</w:t>
      </w:r>
      <w:proofErr w:type="spellEnd"/>
      <w:r w:rsidRPr="005500F5">
        <w:rPr>
          <w:rFonts w:ascii="Verdana" w:hAnsi="Verdana"/>
          <w:i/>
          <w:sz w:val="22"/>
          <w:szCs w:val="22"/>
        </w:rPr>
        <w:t xml:space="preserve">, </w:t>
      </w:r>
      <w:r w:rsidRPr="005500F5">
        <w:rPr>
          <w:rFonts w:ascii="Verdana" w:hAnsi="Verdana"/>
          <w:i/>
          <w:sz w:val="22"/>
          <w:szCs w:val="22"/>
        </w:rPr>
        <w:lastRenderedPageBreak/>
        <w:t xml:space="preserve">funcionamiento y </w:t>
      </w:r>
      <w:proofErr w:type="spellStart"/>
      <w:r w:rsidRPr="005500F5">
        <w:rPr>
          <w:rFonts w:ascii="Verdana" w:hAnsi="Verdana"/>
          <w:i/>
          <w:sz w:val="22"/>
          <w:szCs w:val="22"/>
        </w:rPr>
        <w:t>operación</w:t>
      </w:r>
      <w:proofErr w:type="spellEnd"/>
      <w:r w:rsidRPr="005500F5">
        <w:rPr>
          <w:rFonts w:ascii="Verdana" w:hAnsi="Verdana"/>
          <w:i/>
          <w:sz w:val="22"/>
          <w:szCs w:val="22"/>
        </w:rPr>
        <w:t xml:space="preserve"> del Registro de </w:t>
      </w:r>
      <w:proofErr w:type="spellStart"/>
      <w:r w:rsidRPr="005500F5">
        <w:rPr>
          <w:rFonts w:ascii="Verdana" w:hAnsi="Verdana"/>
          <w:i/>
          <w:sz w:val="22"/>
          <w:szCs w:val="22"/>
        </w:rPr>
        <w:t>Garantías</w:t>
      </w:r>
      <w:proofErr w:type="spellEnd"/>
      <w:r w:rsidRPr="005500F5">
        <w:rPr>
          <w:rFonts w:ascii="Verdana" w:hAnsi="Verdana"/>
          <w:i/>
          <w:sz w:val="22"/>
          <w:szCs w:val="22"/>
        </w:rPr>
        <w:t xml:space="preserve"> Mobiliarias y del cumplimiento de las funciones que corresponden al administrador u operador de </w:t>
      </w:r>
      <w:proofErr w:type="spellStart"/>
      <w:r w:rsidRPr="005500F5">
        <w:rPr>
          <w:rFonts w:ascii="Verdana" w:hAnsi="Verdana"/>
          <w:i/>
          <w:sz w:val="22"/>
          <w:szCs w:val="22"/>
        </w:rPr>
        <w:t>éste</w:t>
      </w:r>
      <w:proofErr w:type="spellEnd"/>
      <w:r w:rsidRPr="005500F5">
        <w:rPr>
          <w:rFonts w:ascii="Verdana" w:hAnsi="Verdana"/>
          <w:i/>
          <w:sz w:val="22"/>
          <w:szCs w:val="22"/>
        </w:rPr>
        <w:t>, conforme a los lineamientos establecidos por el Superintendente de Sociedades.</w:t>
      </w:r>
      <w:r w:rsidRPr="005500F5">
        <w:rPr>
          <w:rFonts w:ascii="Verdana" w:hAnsi="Verdana"/>
          <w:sz w:val="22"/>
          <w:szCs w:val="22"/>
        </w:rPr>
        <w:t>”</w:t>
      </w:r>
    </w:p>
    <w:p w14:paraId="77FFFD90" w14:textId="77777777" w:rsidR="00366FD4" w:rsidRPr="005500F5" w:rsidRDefault="00366FD4" w:rsidP="00366FD4">
      <w:pPr>
        <w:pStyle w:val="Default"/>
        <w:jc w:val="both"/>
        <w:rPr>
          <w:rFonts w:ascii="Verdana" w:hAnsi="Verdana"/>
          <w:color w:val="auto"/>
          <w:sz w:val="22"/>
          <w:szCs w:val="22"/>
        </w:rPr>
      </w:pPr>
    </w:p>
    <w:p w14:paraId="32AF87EE" w14:textId="5FDABAB1" w:rsidR="00366FD4" w:rsidRPr="005500F5" w:rsidRDefault="00366FD4" w:rsidP="00366FD4">
      <w:pPr>
        <w:pStyle w:val="Default"/>
        <w:jc w:val="both"/>
        <w:outlineLvl w:val="2"/>
        <w:rPr>
          <w:rFonts w:ascii="Verdana" w:hAnsi="Verdana"/>
          <w:b/>
          <w:bCs/>
          <w:color w:val="auto"/>
          <w:sz w:val="22"/>
          <w:szCs w:val="22"/>
          <w:u w:val="single"/>
        </w:rPr>
      </w:pPr>
      <w:bookmarkStart w:id="7" w:name="_Toc87973685"/>
      <w:r w:rsidRPr="005500F5">
        <w:rPr>
          <w:rFonts w:ascii="Verdana" w:hAnsi="Verdana"/>
          <w:b/>
          <w:bCs/>
          <w:color w:val="auto"/>
          <w:sz w:val="22"/>
          <w:szCs w:val="22"/>
          <w:u w:val="single"/>
        </w:rPr>
        <w:t>OBJETIVO DE LA SUPERVISIÓN</w:t>
      </w:r>
      <w:bookmarkEnd w:id="7"/>
      <w:r w:rsidRPr="005500F5">
        <w:rPr>
          <w:rFonts w:ascii="Verdana" w:hAnsi="Verdana"/>
          <w:b/>
          <w:bCs/>
          <w:color w:val="auto"/>
          <w:sz w:val="22"/>
          <w:szCs w:val="22"/>
          <w:u w:val="single"/>
        </w:rPr>
        <w:t xml:space="preserve"> </w:t>
      </w:r>
    </w:p>
    <w:p w14:paraId="12FE90CD" w14:textId="77777777" w:rsidR="00366FD4" w:rsidRPr="005500F5" w:rsidRDefault="00366FD4" w:rsidP="00366FD4">
      <w:pPr>
        <w:pStyle w:val="Default"/>
        <w:jc w:val="both"/>
        <w:rPr>
          <w:rFonts w:ascii="Verdana" w:hAnsi="Verdana"/>
          <w:color w:val="auto"/>
          <w:sz w:val="22"/>
          <w:szCs w:val="22"/>
        </w:rPr>
      </w:pPr>
    </w:p>
    <w:p w14:paraId="4B05CC0F" w14:textId="7814AE4A" w:rsidR="00366FD4" w:rsidRPr="005500F5" w:rsidRDefault="00366FD4" w:rsidP="00366FD4">
      <w:pPr>
        <w:pStyle w:val="Default"/>
        <w:jc w:val="both"/>
        <w:rPr>
          <w:rFonts w:ascii="Verdana" w:hAnsi="Verdana"/>
          <w:color w:val="auto"/>
          <w:sz w:val="22"/>
          <w:szCs w:val="22"/>
        </w:rPr>
      </w:pPr>
      <w:r w:rsidRPr="005500F5">
        <w:rPr>
          <w:rFonts w:ascii="Verdana" w:hAnsi="Verdana"/>
          <w:color w:val="auto"/>
          <w:sz w:val="22"/>
          <w:szCs w:val="22"/>
        </w:rPr>
        <w:t xml:space="preserve">En los términos del mencionado artículo 2.2.2.4.1.40 del Decreto 1074 de 2015, el objetivo del encargo a la Superintendencia de Sociedades respecto del RGM es supervisar el funcionamiento del RGM y el cumplimiento de sus funciones, así como </w:t>
      </w:r>
      <w:r w:rsidR="00C17531" w:rsidRPr="005500F5">
        <w:rPr>
          <w:rFonts w:ascii="Verdana" w:hAnsi="Verdana"/>
          <w:color w:val="auto"/>
          <w:sz w:val="22"/>
          <w:szCs w:val="22"/>
        </w:rPr>
        <w:t>lo</w:t>
      </w:r>
      <w:r w:rsidRPr="005500F5">
        <w:rPr>
          <w:rFonts w:ascii="Verdana" w:hAnsi="Verdana"/>
          <w:color w:val="auto"/>
          <w:sz w:val="22"/>
          <w:szCs w:val="22"/>
        </w:rPr>
        <w:t xml:space="preserve"> correspondiente a Confecámaras, como administrador del registro. </w:t>
      </w:r>
    </w:p>
    <w:p w14:paraId="38722F25" w14:textId="77777777" w:rsidR="00366FD4" w:rsidRPr="005500F5" w:rsidRDefault="00366FD4" w:rsidP="00366FD4">
      <w:pPr>
        <w:pStyle w:val="Default"/>
        <w:jc w:val="both"/>
        <w:rPr>
          <w:rFonts w:ascii="Verdana" w:hAnsi="Verdana"/>
          <w:color w:val="auto"/>
          <w:sz w:val="22"/>
          <w:szCs w:val="22"/>
        </w:rPr>
      </w:pPr>
    </w:p>
    <w:p w14:paraId="0F87742A" w14:textId="1737A618" w:rsidR="00366FD4" w:rsidRPr="005500F5" w:rsidRDefault="00366FD4" w:rsidP="00366FD4">
      <w:pPr>
        <w:pStyle w:val="Default"/>
        <w:jc w:val="both"/>
        <w:outlineLvl w:val="2"/>
        <w:rPr>
          <w:rFonts w:ascii="Verdana" w:hAnsi="Verdana"/>
          <w:b/>
          <w:bCs/>
          <w:color w:val="auto"/>
          <w:sz w:val="22"/>
          <w:szCs w:val="22"/>
        </w:rPr>
      </w:pPr>
      <w:bookmarkStart w:id="8" w:name="_Toc87973686"/>
      <w:r w:rsidRPr="005500F5">
        <w:rPr>
          <w:rFonts w:ascii="Verdana" w:hAnsi="Verdana"/>
          <w:b/>
          <w:bCs/>
          <w:color w:val="auto"/>
          <w:sz w:val="22"/>
          <w:szCs w:val="22"/>
          <w:u w:val="single"/>
        </w:rPr>
        <w:t>SUJETO DE SUPERVISIÓN</w:t>
      </w:r>
      <w:bookmarkEnd w:id="8"/>
      <w:r w:rsidRPr="005500F5">
        <w:rPr>
          <w:rFonts w:ascii="Verdana" w:hAnsi="Verdana"/>
          <w:b/>
          <w:bCs/>
          <w:color w:val="auto"/>
          <w:sz w:val="22"/>
          <w:szCs w:val="22"/>
        </w:rPr>
        <w:t xml:space="preserve"> </w:t>
      </w:r>
    </w:p>
    <w:p w14:paraId="5A801AF1" w14:textId="77777777" w:rsidR="00366FD4" w:rsidRPr="005500F5" w:rsidRDefault="00366FD4" w:rsidP="00366FD4">
      <w:pPr>
        <w:pStyle w:val="Default"/>
        <w:jc w:val="both"/>
        <w:rPr>
          <w:rFonts w:ascii="Verdana" w:hAnsi="Verdana"/>
          <w:color w:val="auto"/>
          <w:sz w:val="22"/>
          <w:szCs w:val="22"/>
        </w:rPr>
      </w:pPr>
    </w:p>
    <w:p w14:paraId="7F96656A" w14:textId="2268EF19" w:rsidR="00366FD4" w:rsidRPr="005500F5" w:rsidRDefault="00366FD4" w:rsidP="00366FD4">
      <w:pPr>
        <w:pStyle w:val="Default"/>
        <w:jc w:val="both"/>
        <w:rPr>
          <w:rFonts w:ascii="Verdana" w:hAnsi="Verdana"/>
          <w:color w:val="auto"/>
          <w:sz w:val="22"/>
          <w:szCs w:val="22"/>
        </w:rPr>
      </w:pPr>
      <w:r w:rsidRPr="005500F5">
        <w:rPr>
          <w:rFonts w:ascii="Verdana" w:hAnsi="Verdana"/>
          <w:color w:val="auto"/>
          <w:sz w:val="22"/>
          <w:szCs w:val="22"/>
        </w:rPr>
        <w:t>Confecámaras</w:t>
      </w:r>
      <w:r w:rsidR="005C41BD" w:rsidRPr="005500F5">
        <w:rPr>
          <w:rFonts w:ascii="Verdana" w:hAnsi="Verdana"/>
          <w:color w:val="auto"/>
          <w:sz w:val="22"/>
          <w:szCs w:val="22"/>
        </w:rPr>
        <w:t>,</w:t>
      </w:r>
      <w:r w:rsidRPr="005500F5">
        <w:rPr>
          <w:rFonts w:ascii="Verdana" w:hAnsi="Verdana"/>
          <w:color w:val="auto"/>
          <w:sz w:val="22"/>
          <w:szCs w:val="22"/>
        </w:rPr>
        <w:t xml:space="preserve"> en cuanto al cumplimiento de las funciones que le corresponden como entidad encargada legal y normativamente de la administración del RGM. </w:t>
      </w:r>
    </w:p>
    <w:p w14:paraId="47BD99DB" w14:textId="77777777" w:rsidR="00366FD4" w:rsidRPr="005500F5" w:rsidRDefault="00366FD4" w:rsidP="00366FD4">
      <w:pPr>
        <w:pStyle w:val="Default"/>
        <w:jc w:val="both"/>
        <w:outlineLvl w:val="2"/>
        <w:rPr>
          <w:rFonts w:ascii="Verdana" w:hAnsi="Verdana"/>
          <w:b/>
          <w:bCs/>
          <w:color w:val="auto"/>
          <w:sz w:val="22"/>
          <w:szCs w:val="22"/>
        </w:rPr>
      </w:pPr>
    </w:p>
    <w:p w14:paraId="4FC43442" w14:textId="34A43327" w:rsidR="00366FD4" w:rsidRPr="005500F5" w:rsidRDefault="00366FD4" w:rsidP="00366FD4">
      <w:pPr>
        <w:pStyle w:val="Default"/>
        <w:jc w:val="both"/>
        <w:outlineLvl w:val="2"/>
        <w:rPr>
          <w:rFonts w:ascii="Verdana" w:hAnsi="Verdana"/>
          <w:b/>
          <w:bCs/>
          <w:color w:val="auto"/>
          <w:sz w:val="22"/>
          <w:szCs w:val="22"/>
        </w:rPr>
      </w:pPr>
      <w:bookmarkStart w:id="9" w:name="_Toc87973687"/>
      <w:r w:rsidRPr="005500F5">
        <w:rPr>
          <w:rFonts w:ascii="Verdana" w:hAnsi="Verdana"/>
          <w:b/>
          <w:bCs/>
          <w:color w:val="auto"/>
          <w:sz w:val="22"/>
          <w:szCs w:val="22"/>
          <w:u w:val="single"/>
        </w:rPr>
        <w:t>NORMATIVIDAD APLICABLE</w:t>
      </w:r>
      <w:bookmarkEnd w:id="9"/>
      <w:r w:rsidRPr="005500F5">
        <w:rPr>
          <w:rFonts w:ascii="Verdana" w:hAnsi="Verdana"/>
          <w:b/>
          <w:bCs/>
          <w:color w:val="auto"/>
          <w:sz w:val="22"/>
          <w:szCs w:val="22"/>
          <w:u w:val="single"/>
        </w:rPr>
        <w:t xml:space="preserve"> </w:t>
      </w:r>
    </w:p>
    <w:p w14:paraId="3515AFAE" w14:textId="77777777" w:rsidR="00366FD4" w:rsidRPr="005500F5" w:rsidRDefault="00366FD4" w:rsidP="00366FD4">
      <w:pPr>
        <w:pStyle w:val="Default"/>
        <w:jc w:val="both"/>
        <w:rPr>
          <w:rFonts w:ascii="Verdana" w:hAnsi="Verdana"/>
          <w:color w:val="auto"/>
          <w:sz w:val="22"/>
          <w:szCs w:val="22"/>
        </w:rPr>
      </w:pPr>
    </w:p>
    <w:p w14:paraId="1C0168AD" w14:textId="77777777" w:rsidR="00366FD4" w:rsidRPr="005500F5" w:rsidRDefault="00366FD4" w:rsidP="008E1312">
      <w:pPr>
        <w:pStyle w:val="Default"/>
        <w:numPr>
          <w:ilvl w:val="0"/>
          <w:numId w:val="3"/>
        </w:numPr>
        <w:spacing w:after="17"/>
        <w:jc w:val="both"/>
        <w:rPr>
          <w:rFonts w:ascii="Verdana" w:hAnsi="Verdana"/>
          <w:color w:val="auto"/>
          <w:sz w:val="22"/>
          <w:szCs w:val="22"/>
        </w:rPr>
      </w:pPr>
      <w:r w:rsidRPr="005500F5">
        <w:rPr>
          <w:rFonts w:ascii="Verdana" w:hAnsi="Verdana"/>
          <w:color w:val="auto"/>
          <w:sz w:val="22"/>
          <w:szCs w:val="22"/>
        </w:rPr>
        <w:t xml:space="preserve">Ley 1676 de 2013. </w:t>
      </w:r>
    </w:p>
    <w:p w14:paraId="7D196CBE" w14:textId="77777777" w:rsidR="00366FD4" w:rsidRPr="005500F5" w:rsidRDefault="00366FD4" w:rsidP="008E1312">
      <w:pPr>
        <w:pStyle w:val="Default"/>
        <w:numPr>
          <w:ilvl w:val="0"/>
          <w:numId w:val="3"/>
        </w:numPr>
        <w:spacing w:after="17"/>
        <w:jc w:val="both"/>
        <w:rPr>
          <w:rFonts w:ascii="Verdana" w:hAnsi="Verdana"/>
          <w:color w:val="auto"/>
          <w:sz w:val="22"/>
          <w:szCs w:val="22"/>
        </w:rPr>
      </w:pPr>
      <w:r w:rsidRPr="005500F5">
        <w:rPr>
          <w:rFonts w:ascii="Verdana" w:hAnsi="Verdana"/>
          <w:color w:val="auto"/>
          <w:sz w:val="22"/>
          <w:szCs w:val="22"/>
        </w:rPr>
        <w:t>Decreto 400 del 24 de febrero de 2014.</w:t>
      </w:r>
    </w:p>
    <w:p w14:paraId="536DA231" w14:textId="77777777" w:rsidR="00366FD4" w:rsidRPr="005500F5" w:rsidRDefault="00366FD4" w:rsidP="008E1312">
      <w:pPr>
        <w:pStyle w:val="Default"/>
        <w:numPr>
          <w:ilvl w:val="0"/>
          <w:numId w:val="3"/>
        </w:numPr>
        <w:spacing w:after="17"/>
        <w:jc w:val="both"/>
        <w:rPr>
          <w:rFonts w:ascii="Verdana" w:hAnsi="Verdana"/>
          <w:color w:val="auto"/>
          <w:sz w:val="22"/>
          <w:szCs w:val="22"/>
        </w:rPr>
      </w:pPr>
      <w:r w:rsidRPr="005500F5">
        <w:rPr>
          <w:rFonts w:ascii="Verdana" w:hAnsi="Verdana"/>
          <w:color w:val="auto"/>
          <w:sz w:val="22"/>
          <w:szCs w:val="22"/>
        </w:rPr>
        <w:t xml:space="preserve">Decreto 1074 del 26 de mayo de 2015, modificado y adicionado en materia de garantías mobiliarias por el Decreto 1835 del 16 de septiembre de 2015. </w:t>
      </w:r>
    </w:p>
    <w:p w14:paraId="2FF424AB" w14:textId="77777777" w:rsidR="00366FD4" w:rsidRPr="005500F5" w:rsidRDefault="00366FD4" w:rsidP="008E1312">
      <w:pPr>
        <w:pStyle w:val="Default"/>
        <w:numPr>
          <w:ilvl w:val="0"/>
          <w:numId w:val="3"/>
        </w:numPr>
        <w:spacing w:after="17"/>
        <w:jc w:val="both"/>
        <w:rPr>
          <w:rFonts w:ascii="Verdana" w:hAnsi="Verdana"/>
          <w:color w:val="auto"/>
          <w:sz w:val="22"/>
          <w:szCs w:val="22"/>
        </w:rPr>
      </w:pPr>
      <w:r w:rsidRPr="005500F5">
        <w:rPr>
          <w:rFonts w:ascii="Verdana" w:hAnsi="Verdana"/>
          <w:color w:val="auto"/>
          <w:sz w:val="22"/>
          <w:szCs w:val="22"/>
        </w:rPr>
        <w:t xml:space="preserve">Resolución 0834 de 2014 del Ministerio de Comercio, Industria y Turismo. </w:t>
      </w:r>
    </w:p>
    <w:p w14:paraId="442F790E" w14:textId="77777777" w:rsidR="00366FD4" w:rsidRPr="005500F5" w:rsidRDefault="00366FD4" w:rsidP="008E1312">
      <w:pPr>
        <w:pStyle w:val="Default"/>
        <w:numPr>
          <w:ilvl w:val="0"/>
          <w:numId w:val="3"/>
        </w:numPr>
        <w:jc w:val="both"/>
        <w:rPr>
          <w:rFonts w:ascii="Verdana" w:hAnsi="Verdana"/>
          <w:color w:val="auto"/>
          <w:sz w:val="22"/>
          <w:szCs w:val="22"/>
        </w:rPr>
      </w:pPr>
      <w:r w:rsidRPr="005500F5">
        <w:rPr>
          <w:rFonts w:ascii="Verdana" w:hAnsi="Verdana"/>
          <w:color w:val="auto"/>
          <w:sz w:val="22"/>
          <w:szCs w:val="22"/>
        </w:rPr>
        <w:t xml:space="preserve">Resolución 356 del 9 de febrero de 2015 del Ministerio de Comercio, Industria y Turismo. </w:t>
      </w:r>
    </w:p>
    <w:p w14:paraId="6C43EC1E" w14:textId="77777777" w:rsidR="00366FD4" w:rsidRPr="005500F5" w:rsidRDefault="00366FD4" w:rsidP="008E1312">
      <w:pPr>
        <w:pStyle w:val="Default"/>
        <w:numPr>
          <w:ilvl w:val="0"/>
          <w:numId w:val="3"/>
        </w:numPr>
        <w:jc w:val="both"/>
        <w:rPr>
          <w:rFonts w:ascii="Verdana" w:hAnsi="Verdana"/>
          <w:color w:val="auto"/>
          <w:sz w:val="22"/>
          <w:szCs w:val="22"/>
        </w:rPr>
      </w:pPr>
      <w:r w:rsidRPr="005500F5">
        <w:rPr>
          <w:rFonts w:ascii="Verdana" w:hAnsi="Verdana"/>
          <w:color w:val="auto"/>
          <w:sz w:val="22"/>
          <w:szCs w:val="22"/>
        </w:rPr>
        <w:t xml:space="preserve">Resolución 001 del 5 de octubre de 2015 del Ministerio de Comercio, Industria y Turismo. </w:t>
      </w:r>
    </w:p>
    <w:p w14:paraId="04C63988" w14:textId="77777777" w:rsidR="00366FD4" w:rsidRPr="005500F5" w:rsidRDefault="00366FD4" w:rsidP="008E1312">
      <w:pPr>
        <w:pStyle w:val="Default"/>
        <w:numPr>
          <w:ilvl w:val="0"/>
          <w:numId w:val="3"/>
        </w:numPr>
        <w:jc w:val="both"/>
        <w:rPr>
          <w:rFonts w:ascii="Verdana" w:hAnsi="Verdana"/>
          <w:color w:val="auto"/>
          <w:sz w:val="22"/>
          <w:szCs w:val="22"/>
        </w:rPr>
      </w:pPr>
      <w:r w:rsidRPr="005500F5">
        <w:rPr>
          <w:rFonts w:ascii="Verdana" w:hAnsi="Verdana"/>
          <w:color w:val="auto"/>
          <w:sz w:val="22"/>
          <w:szCs w:val="22"/>
        </w:rPr>
        <w:t>Resolución 103590 del 30 de diciembre de 2015 de la Superintendencia de Industria y Comercio.</w:t>
      </w:r>
    </w:p>
    <w:p w14:paraId="4399C8FC" w14:textId="77777777" w:rsidR="00366FD4" w:rsidRPr="005500F5" w:rsidRDefault="00366FD4" w:rsidP="008E1312">
      <w:pPr>
        <w:pStyle w:val="Default"/>
        <w:numPr>
          <w:ilvl w:val="0"/>
          <w:numId w:val="3"/>
        </w:numPr>
        <w:jc w:val="both"/>
        <w:rPr>
          <w:rFonts w:ascii="Verdana" w:hAnsi="Verdana"/>
          <w:color w:val="auto"/>
          <w:sz w:val="22"/>
          <w:szCs w:val="22"/>
        </w:rPr>
      </w:pPr>
      <w:r w:rsidRPr="005500F5">
        <w:rPr>
          <w:rFonts w:ascii="Verdana" w:hAnsi="Verdana"/>
          <w:color w:val="auto"/>
          <w:sz w:val="22"/>
          <w:szCs w:val="22"/>
        </w:rPr>
        <w:t>Resolución 1196 del 27 de junio de 2016 del Ministerio de Comercio, Industria y Turismo.</w:t>
      </w:r>
    </w:p>
    <w:p w14:paraId="7DC03652" w14:textId="77777777" w:rsidR="00366FD4" w:rsidRPr="005500F5" w:rsidRDefault="00366FD4" w:rsidP="008E1312">
      <w:pPr>
        <w:pStyle w:val="Default"/>
        <w:numPr>
          <w:ilvl w:val="0"/>
          <w:numId w:val="3"/>
        </w:numPr>
        <w:jc w:val="both"/>
        <w:rPr>
          <w:rFonts w:ascii="Verdana" w:hAnsi="Verdana"/>
          <w:color w:val="auto"/>
          <w:sz w:val="22"/>
          <w:szCs w:val="22"/>
        </w:rPr>
      </w:pPr>
      <w:r w:rsidRPr="005500F5">
        <w:rPr>
          <w:rFonts w:ascii="Verdana" w:hAnsi="Verdana"/>
          <w:color w:val="auto"/>
          <w:sz w:val="22"/>
          <w:szCs w:val="22"/>
        </w:rPr>
        <w:t>Resolución 215 del 14 de febrero de 2017 del Ministerio de Transporte.</w:t>
      </w:r>
    </w:p>
    <w:p w14:paraId="51F0F2A1" w14:textId="77777777" w:rsidR="00366FD4" w:rsidRPr="005500F5" w:rsidRDefault="00366FD4" w:rsidP="008E1312">
      <w:pPr>
        <w:pStyle w:val="Default"/>
        <w:numPr>
          <w:ilvl w:val="0"/>
          <w:numId w:val="3"/>
        </w:numPr>
        <w:jc w:val="both"/>
        <w:rPr>
          <w:rFonts w:ascii="Verdana" w:hAnsi="Verdana"/>
          <w:color w:val="auto"/>
          <w:sz w:val="22"/>
          <w:szCs w:val="22"/>
        </w:rPr>
      </w:pPr>
      <w:r w:rsidRPr="005500F5">
        <w:rPr>
          <w:rFonts w:ascii="Verdana" w:hAnsi="Verdana"/>
          <w:color w:val="auto"/>
          <w:sz w:val="22"/>
          <w:szCs w:val="22"/>
        </w:rPr>
        <w:t xml:space="preserve">Resolución 100-001920 del 16 de mayo de 2017 de la Superintendencia de Sociedades. </w:t>
      </w:r>
    </w:p>
    <w:p w14:paraId="2398FAA8" w14:textId="77777777" w:rsidR="00366FD4" w:rsidRPr="005500F5" w:rsidRDefault="00366FD4" w:rsidP="008E1312">
      <w:pPr>
        <w:pStyle w:val="Default"/>
        <w:numPr>
          <w:ilvl w:val="0"/>
          <w:numId w:val="3"/>
        </w:numPr>
        <w:jc w:val="both"/>
        <w:rPr>
          <w:rFonts w:ascii="Verdana" w:hAnsi="Verdana"/>
          <w:color w:val="auto"/>
          <w:sz w:val="22"/>
          <w:szCs w:val="22"/>
        </w:rPr>
      </w:pPr>
      <w:r w:rsidRPr="005500F5">
        <w:rPr>
          <w:rFonts w:ascii="Verdana" w:hAnsi="Verdana"/>
          <w:color w:val="auto"/>
          <w:sz w:val="22"/>
          <w:szCs w:val="22"/>
        </w:rPr>
        <w:t>Resolución 1320 del 16 de diciembre de 2020 del Ministerio de Comercio, Industria y Turismo.</w:t>
      </w:r>
    </w:p>
    <w:p w14:paraId="3ED4D5A6" w14:textId="77777777" w:rsidR="00366FD4" w:rsidRPr="005500F5" w:rsidRDefault="00366FD4" w:rsidP="008E1312">
      <w:pPr>
        <w:pStyle w:val="Default"/>
        <w:numPr>
          <w:ilvl w:val="0"/>
          <w:numId w:val="3"/>
        </w:numPr>
        <w:jc w:val="both"/>
        <w:rPr>
          <w:rFonts w:ascii="Verdana" w:hAnsi="Verdana"/>
          <w:color w:val="auto"/>
          <w:sz w:val="22"/>
          <w:szCs w:val="22"/>
        </w:rPr>
      </w:pPr>
      <w:r w:rsidRPr="005500F5">
        <w:rPr>
          <w:rFonts w:ascii="Verdana" w:hAnsi="Verdana"/>
          <w:color w:val="auto"/>
          <w:sz w:val="22"/>
          <w:szCs w:val="22"/>
        </w:rPr>
        <w:t>Resolución 1362 del 21 de diciembre de 2020 del Ministerio de Comercio, Industria y Turismo.</w:t>
      </w:r>
    </w:p>
    <w:p w14:paraId="06151A40" w14:textId="77777777" w:rsidR="00366FD4" w:rsidRPr="005500F5" w:rsidRDefault="00366FD4" w:rsidP="008E1312">
      <w:pPr>
        <w:pStyle w:val="Default"/>
        <w:numPr>
          <w:ilvl w:val="0"/>
          <w:numId w:val="3"/>
        </w:numPr>
        <w:jc w:val="both"/>
        <w:rPr>
          <w:rFonts w:ascii="Verdana" w:hAnsi="Verdana"/>
          <w:color w:val="auto"/>
          <w:sz w:val="22"/>
          <w:szCs w:val="22"/>
        </w:rPr>
      </w:pPr>
      <w:r w:rsidRPr="005500F5">
        <w:rPr>
          <w:rFonts w:ascii="Verdana" w:hAnsi="Verdana"/>
          <w:color w:val="auto"/>
          <w:sz w:val="22"/>
          <w:szCs w:val="22"/>
        </w:rPr>
        <w:t>Resolución 1520 del 24 de diciembre de 2021 del Ministerio de Comercio, Industria y Turismo.</w:t>
      </w:r>
    </w:p>
    <w:p w14:paraId="729CADAA" w14:textId="77777777" w:rsidR="00366FD4" w:rsidRPr="005500F5" w:rsidRDefault="00366FD4" w:rsidP="008E1312">
      <w:pPr>
        <w:pStyle w:val="Default"/>
        <w:numPr>
          <w:ilvl w:val="0"/>
          <w:numId w:val="3"/>
        </w:numPr>
        <w:jc w:val="both"/>
        <w:rPr>
          <w:rFonts w:ascii="Verdana" w:hAnsi="Verdana"/>
          <w:color w:val="auto"/>
          <w:sz w:val="22"/>
          <w:szCs w:val="22"/>
        </w:rPr>
      </w:pPr>
      <w:r w:rsidRPr="005500F5">
        <w:rPr>
          <w:rFonts w:ascii="Verdana" w:hAnsi="Verdana"/>
          <w:color w:val="auto"/>
          <w:sz w:val="22"/>
          <w:szCs w:val="22"/>
        </w:rPr>
        <w:t>Resolución 0862 del 26 de julio de 2023 del Ministerio de Comercio, Industria y Turismo.</w:t>
      </w:r>
    </w:p>
    <w:p w14:paraId="64030D1A" w14:textId="76FCFB28" w:rsidR="003124CB" w:rsidRPr="005500F5" w:rsidRDefault="003F3C71" w:rsidP="008E1312">
      <w:pPr>
        <w:pStyle w:val="Default"/>
        <w:numPr>
          <w:ilvl w:val="0"/>
          <w:numId w:val="3"/>
        </w:numPr>
        <w:jc w:val="both"/>
        <w:rPr>
          <w:rFonts w:ascii="Verdana" w:hAnsi="Verdana"/>
          <w:color w:val="auto"/>
          <w:sz w:val="22"/>
          <w:szCs w:val="22"/>
        </w:rPr>
      </w:pPr>
      <w:r w:rsidRPr="005500F5">
        <w:rPr>
          <w:rFonts w:ascii="Verdana" w:hAnsi="Verdana"/>
          <w:color w:val="auto"/>
          <w:sz w:val="22"/>
          <w:szCs w:val="22"/>
        </w:rPr>
        <w:t>Circular Externa 100-000008 del 12 de julio de 2022</w:t>
      </w:r>
    </w:p>
    <w:p w14:paraId="7FBF373C" w14:textId="77777777" w:rsidR="00366FD4" w:rsidRPr="005500F5" w:rsidRDefault="00366FD4" w:rsidP="00366FD4">
      <w:pPr>
        <w:pStyle w:val="Default"/>
        <w:ind w:left="720"/>
        <w:jc w:val="both"/>
        <w:rPr>
          <w:rFonts w:ascii="Verdana" w:hAnsi="Verdana"/>
          <w:color w:val="auto"/>
          <w:sz w:val="22"/>
          <w:szCs w:val="22"/>
        </w:rPr>
      </w:pPr>
    </w:p>
    <w:p w14:paraId="65B6E8F6" w14:textId="576C3B7A" w:rsidR="00366FD4" w:rsidRPr="005500F5" w:rsidRDefault="00366FD4" w:rsidP="00366FD4">
      <w:pPr>
        <w:pStyle w:val="Default"/>
        <w:jc w:val="both"/>
        <w:outlineLvl w:val="2"/>
        <w:rPr>
          <w:rFonts w:ascii="Verdana" w:hAnsi="Verdana"/>
          <w:b/>
          <w:bCs/>
          <w:color w:val="auto"/>
          <w:sz w:val="22"/>
          <w:szCs w:val="22"/>
          <w:u w:val="single"/>
        </w:rPr>
      </w:pPr>
      <w:bookmarkStart w:id="10" w:name="_Toc87973688"/>
      <w:r w:rsidRPr="005500F5">
        <w:rPr>
          <w:rFonts w:ascii="Verdana" w:hAnsi="Verdana"/>
          <w:b/>
          <w:bCs/>
          <w:color w:val="auto"/>
          <w:sz w:val="22"/>
          <w:szCs w:val="22"/>
          <w:u w:val="single"/>
        </w:rPr>
        <w:lastRenderedPageBreak/>
        <w:t>ACTIVIDADES DE SUPERVISIÓN</w:t>
      </w:r>
      <w:bookmarkEnd w:id="10"/>
      <w:r w:rsidRPr="005500F5">
        <w:rPr>
          <w:rFonts w:ascii="Verdana" w:hAnsi="Verdana"/>
          <w:b/>
          <w:bCs/>
          <w:color w:val="auto"/>
          <w:sz w:val="22"/>
          <w:szCs w:val="22"/>
          <w:u w:val="single"/>
        </w:rPr>
        <w:t xml:space="preserve"> </w:t>
      </w:r>
    </w:p>
    <w:p w14:paraId="3514226C" w14:textId="77777777" w:rsidR="00366FD4" w:rsidRPr="005500F5" w:rsidRDefault="00366FD4" w:rsidP="00366FD4">
      <w:pPr>
        <w:pStyle w:val="Default"/>
        <w:jc w:val="both"/>
        <w:rPr>
          <w:rFonts w:ascii="Verdana" w:hAnsi="Verdana"/>
          <w:color w:val="auto"/>
          <w:sz w:val="22"/>
          <w:szCs w:val="22"/>
        </w:rPr>
      </w:pPr>
    </w:p>
    <w:p w14:paraId="60796924" w14:textId="644D8F4F" w:rsidR="00366FD4" w:rsidRPr="005500F5" w:rsidRDefault="00366FD4" w:rsidP="00366FD4">
      <w:pPr>
        <w:pStyle w:val="Default"/>
        <w:jc w:val="both"/>
        <w:rPr>
          <w:rFonts w:ascii="Verdana" w:hAnsi="Verdana"/>
          <w:color w:val="auto"/>
          <w:sz w:val="22"/>
          <w:szCs w:val="22"/>
        </w:rPr>
      </w:pPr>
      <w:r w:rsidRPr="005500F5">
        <w:rPr>
          <w:rFonts w:ascii="Verdana" w:hAnsi="Verdana"/>
          <w:color w:val="auto"/>
          <w:sz w:val="22"/>
          <w:szCs w:val="22"/>
        </w:rPr>
        <w:t xml:space="preserve">Para efectos de supervisar las actividades desplegadas por Confecámaras como administradora del RGM, en el ejercicio de sus funciones orientadas a velar por su correcto funcionamiento e identificar, gestionar, monitorear y mitigar los distintos tipos de riesgos asociados a la administración y funcionamiento </w:t>
      </w:r>
      <w:proofErr w:type="gramStart"/>
      <w:r w:rsidRPr="005500F5">
        <w:rPr>
          <w:rFonts w:ascii="Verdana" w:hAnsi="Verdana"/>
          <w:color w:val="auto"/>
          <w:sz w:val="22"/>
          <w:szCs w:val="22"/>
        </w:rPr>
        <w:t>del mismo</w:t>
      </w:r>
      <w:proofErr w:type="gramEnd"/>
      <w:r w:rsidRPr="005500F5">
        <w:rPr>
          <w:rFonts w:ascii="Verdana" w:hAnsi="Verdana"/>
          <w:color w:val="auto"/>
          <w:sz w:val="22"/>
          <w:szCs w:val="22"/>
        </w:rPr>
        <w:t>, se establecen las siguientes actividades de supervisión</w:t>
      </w:r>
      <w:r w:rsidR="003F1B70" w:rsidRPr="005500F5">
        <w:rPr>
          <w:rFonts w:ascii="Verdana" w:hAnsi="Verdana"/>
          <w:color w:val="auto"/>
          <w:sz w:val="22"/>
          <w:szCs w:val="22"/>
        </w:rPr>
        <w:t xml:space="preserve"> por parte de la Superintendencia de Sociedade</w:t>
      </w:r>
      <w:r w:rsidR="003B5780" w:rsidRPr="005500F5">
        <w:rPr>
          <w:rFonts w:ascii="Verdana" w:hAnsi="Verdana"/>
          <w:color w:val="auto"/>
          <w:sz w:val="22"/>
          <w:szCs w:val="22"/>
        </w:rPr>
        <w:t>s</w:t>
      </w:r>
      <w:r w:rsidRPr="005500F5">
        <w:rPr>
          <w:rFonts w:ascii="Verdana" w:hAnsi="Verdana"/>
          <w:color w:val="auto"/>
          <w:sz w:val="22"/>
          <w:szCs w:val="22"/>
        </w:rPr>
        <w:t xml:space="preserve">: </w:t>
      </w:r>
    </w:p>
    <w:p w14:paraId="2CC3771A" w14:textId="77777777" w:rsidR="00366FD4" w:rsidRPr="005500F5" w:rsidRDefault="00366FD4" w:rsidP="00366FD4">
      <w:pPr>
        <w:pStyle w:val="Default"/>
        <w:jc w:val="both"/>
        <w:rPr>
          <w:rFonts w:ascii="Verdana" w:hAnsi="Verdana"/>
          <w:color w:val="auto"/>
          <w:sz w:val="22"/>
          <w:szCs w:val="22"/>
        </w:rPr>
      </w:pPr>
    </w:p>
    <w:p w14:paraId="61BCDEEF" w14:textId="03A38FA5" w:rsidR="00366FD4" w:rsidRPr="005500F5" w:rsidRDefault="00366FD4" w:rsidP="008E1312">
      <w:pPr>
        <w:pStyle w:val="Default"/>
        <w:numPr>
          <w:ilvl w:val="0"/>
          <w:numId w:val="4"/>
        </w:numPr>
        <w:jc w:val="both"/>
        <w:rPr>
          <w:rFonts w:ascii="Verdana" w:hAnsi="Verdana"/>
          <w:color w:val="auto"/>
          <w:sz w:val="22"/>
          <w:szCs w:val="22"/>
        </w:rPr>
      </w:pPr>
      <w:r w:rsidRPr="005500F5">
        <w:rPr>
          <w:rFonts w:ascii="Verdana" w:hAnsi="Verdana"/>
          <w:color w:val="auto"/>
          <w:sz w:val="22"/>
          <w:szCs w:val="22"/>
        </w:rPr>
        <w:t>Requerir a Confecámaras para que remita de manera trimestral reportes de información que permitan verificar el funcionamiento del RGM y el cumplimiento de sus funciones, así como las que le corresponden a Confecámaras</w:t>
      </w:r>
      <w:r w:rsidR="00CC2ECA" w:rsidRPr="005500F5">
        <w:rPr>
          <w:rFonts w:ascii="Verdana" w:hAnsi="Verdana"/>
          <w:color w:val="auto"/>
          <w:sz w:val="22"/>
          <w:szCs w:val="22"/>
        </w:rPr>
        <w:t xml:space="preserve"> como administrador d</w:t>
      </w:r>
      <w:r w:rsidRPr="005500F5">
        <w:rPr>
          <w:rFonts w:ascii="Verdana" w:hAnsi="Verdana"/>
          <w:color w:val="auto"/>
          <w:sz w:val="22"/>
          <w:szCs w:val="22"/>
        </w:rPr>
        <w:t>el RGM, para lo cual podrá solicita</w:t>
      </w:r>
      <w:r w:rsidR="00022BBE" w:rsidRPr="005500F5">
        <w:rPr>
          <w:rFonts w:ascii="Verdana" w:hAnsi="Verdana"/>
          <w:color w:val="auto"/>
          <w:sz w:val="22"/>
          <w:szCs w:val="22"/>
        </w:rPr>
        <w:t>rse</w:t>
      </w:r>
      <w:r w:rsidR="00C62153" w:rsidRPr="005500F5">
        <w:rPr>
          <w:rFonts w:ascii="Verdana" w:hAnsi="Verdana"/>
          <w:color w:val="auto"/>
          <w:sz w:val="22"/>
          <w:szCs w:val="22"/>
        </w:rPr>
        <w:t xml:space="preserve"> (entre otros)</w:t>
      </w:r>
      <w:r w:rsidR="005567C6" w:rsidRPr="005500F5">
        <w:rPr>
          <w:rFonts w:ascii="Verdana" w:hAnsi="Verdana"/>
          <w:color w:val="auto"/>
          <w:sz w:val="22"/>
          <w:szCs w:val="22"/>
        </w:rPr>
        <w:t xml:space="preserve"> </w:t>
      </w:r>
      <w:r w:rsidR="00022BBE" w:rsidRPr="005500F5">
        <w:rPr>
          <w:rFonts w:ascii="Verdana" w:hAnsi="Verdana"/>
          <w:color w:val="auto"/>
          <w:sz w:val="22"/>
          <w:szCs w:val="22"/>
        </w:rPr>
        <w:t xml:space="preserve">información </w:t>
      </w:r>
      <w:r w:rsidR="00C62153" w:rsidRPr="005500F5">
        <w:rPr>
          <w:rFonts w:ascii="Verdana" w:hAnsi="Verdana"/>
          <w:color w:val="auto"/>
          <w:sz w:val="22"/>
          <w:szCs w:val="22"/>
        </w:rPr>
        <w:t xml:space="preserve">y soportes </w:t>
      </w:r>
      <w:r w:rsidR="00022BBE" w:rsidRPr="005500F5">
        <w:rPr>
          <w:rFonts w:ascii="Verdana" w:hAnsi="Verdana"/>
          <w:color w:val="auto"/>
          <w:sz w:val="22"/>
          <w:szCs w:val="22"/>
        </w:rPr>
        <w:t>referente</w:t>
      </w:r>
      <w:r w:rsidR="00EE1797" w:rsidRPr="005500F5">
        <w:rPr>
          <w:rFonts w:ascii="Verdana" w:hAnsi="Verdana"/>
          <w:color w:val="auto"/>
          <w:sz w:val="22"/>
          <w:szCs w:val="22"/>
        </w:rPr>
        <w:t>s</w:t>
      </w:r>
      <w:r w:rsidR="00022BBE" w:rsidRPr="005500F5">
        <w:rPr>
          <w:rFonts w:ascii="Verdana" w:hAnsi="Verdana"/>
          <w:color w:val="auto"/>
          <w:sz w:val="22"/>
          <w:szCs w:val="22"/>
        </w:rPr>
        <w:t xml:space="preserve"> a</w:t>
      </w:r>
      <w:r w:rsidRPr="005500F5">
        <w:rPr>
          <w:rFonts w:ascii="Verdana" w:hAnsi="Verdana"/>
          <w:color w:val="auto"/>
          <w:sz w:val="22"/>
          <w:szCs w:val="22"/>
        </w:rPr>
        <w:t>:</w:t>
      </w:r>
    </w:p>
    <w:p w14:paraId="25C16366" w14:textId="77777777" w:rsidR="00366FD4" w:rsidRPr="005500F5" w:rsidRDefault="00366FD4" w:rsidP="00366FD4">
      <w:pPr>
        <w:pStyle w:val="Default"/>
        <w:ind w:left="720"/>
        <w:jc w:val="both"/>
        <w:rPr>
          <w:rFonts w:ascii="Verdana" w:hAnsi="Verdana"/>
          <w:color w:val="auto"/>
          <w:sz w:val="22"/>
          <w:szCs w:val="22"/>
        </w:rPr>
      </w:pPr>
    </w:p>
    <w:p w14:paraId="070EFB1A" w14:textId="654BF265" w:rsidR="00366FD4" w:rsidRPr="005500F5" w:rsidRDefault="00366FD4" w:rsidP="008E1312">
      <w:pPr>
        <w:pStyle w:val="Default"/>
        <w:numPr>
          <w:ilvl w:val="0"/>
          <w:numId w:val="6"/>
        </w:numPr>
        <w:jc w:val="both"/>
        <w:rPr>
          <w:rFonts w:ascii="Verdana" w:hAnsi="Verdana"/>
          <w:color w:val="auto"/>
          <w:sz w:val="22"/>
          <w:szCs w:val="22"/>
        </w:rPr>
      </w:pPr>
      <w:r w:rsidRPr="005500F5">
        <w:rPr>
          <w:rFonts w:ascii="Verdana" w:hAnsi="Verdana"/>
          <w:color w:val="auto"/>
          <w:sz w:val="22"/>
          <w:szCs w:val="22"/>
        </w:rPr>
        <w:t xml:space="preserve">Datos estadísticos relacionados con el </w:t>
      </w:r>
      <w:r w:rsidR="00C17531" w:rsidRPr="005500F5">
        <w:rPr>
          <w:rFonts w:ascii="Verdana" w:hAnsi="Verdana"/>
          <w:color w:val="auto"/>
          <w:sz w:val="22"/>
          <w:szCs w:val="22"/>
        </w:rPr>
        <w:t>RGM.</w:t>
      </w:r>
    </w:p>
    <w:p w14:paraId="6FB9440A" w14:textId="77777777" w:rsidR="004F06CF" w:rsidRPr="005500F5" w:rsidRDefault="004F06CF" w:rsidP="004F06CF">
      <w:pPr>
        <w:pStyle w:val="Default"/>
        <w:ind w:left="720"/>
        <w:jc w:val="both"/>
        <w:rPr>
          <w:rFonts w:ascii="Verdana" w:hAnsi="Verdana"/>
          <w:color w:val="auto"/>
          <w:sz w:val="22"/>
          <w:szCs w:val="22"/>
        </w:rPr>
      </w:pPr>
    </w:p>
    <w:p w14:paraId="3C9B06F9" w14:textId="08DE7455" w:rsidR="004F06CF" w:rsidRPr="005500F5" w:rsidRDefault="004F06CF" w:rsidP="008E1312">
      <w:pPr>
        <w:pStyle w:val="Default"/>
        <w:numPr>
          <w:ilvl w:val="0"/>
          <w:numId w:val="6"/>
        </w:numPr>
        <w:jc w:val="both"/>
        <w:rPr>
          <w:rFonts w:ascii="Verdana" w:hAnsi="Verdana"/>
          <w:color w:val="auto"/>
          <w:sz w:val="22"/>
          <w:szCs w:val="22"/>
        </w:rPr>
      </w:pPr>
      <w:r w:rsidRPr="005500F5">
        <w:rPr>
          <w:rFonts w:ascii="Verdana" w:hAnsi="Verdana"/>
          <w:color w:val="auto"/>
          <w:sz w:val="22"/>
          <w:szCs w:val="22"/>
        </w:rPr>
        <w:t xml:space="preserve">Informe sobre el funcionamiento del sistema </w:t>
      </w:r>
      <w:r w:rsidR="005567C6" w:rsidRPr="005500F5">
        <w:rPr>
          <w:rFonts w:ascii="Verdana" w:hAnsi="Verdana"/>
          <w:color w:val="auto"/>
          <w:sz w:val="22"/>
          <w:szCs w:val="22"/>
        </w:rPr>
        <w:t>del RGM</w:t>
      </w:r>
      <w:r w:rsidR="00F57613" w:rsidRPr="005500F5">
        <w:rPr>
          <w:rFonts w:ascii="Verdana" w:hAnsi="Verdana"/>
          <w:color w:val="auto"/>
          <w:sz w:val="22"/>
          <w:szCs w:val="22"/>
        </w:rPr>
        <w:t>,</w:t>
      </w:r>
      <w:r w:rsidR="005567C6" w:rsidRPr="005500F5">
        <w:rPr>
          <w:rFonts w:ascii="Verdana" w:hAnsi="Verdana"/>
          <w:color w:val="auto"/>
          <w:sz w:val="22"/>
          <w:szCs w:val="22"/>
        </w:rPr>
        <w:t xml:space="preserve"> </w:t>
      </w:r>
      <w:r w:rsidR="00F57613" w:rsidRPr="005500F5">
        <w:rPr>
          <w:rFonts w:ascii="Verdana" w:hAnsi="Verdana"/>
          <w:color w:val="auto"/>
          <w:sz w:val="22"/>
          <w:szCs w:val="22"/>
        </w:rPr>
        <w:t xml:space="preserve">la gestión del riesgo </w:t>
      </w:r>
      <w:r w:rsidRPr="005500F5">
        <w:rPr>
          <w:rFonts w:ascii="Verdana" w:hAnsi="Verdana"/>
          <w:color w:val="auto"/>
          <w:sz w:val="22"/>
          <w:szCs w:val="22"/>
        </w:rPr>
        <w:t>y el cumplimiento de las funciones asignadas a</w:t>
      </w:r>
      <w:r w:rsidR="005567C6" w:rsidRPr="005500F5">
        <w:rPr>
          <w:rFonts w:ascii="Verdana" w:hAnsi="Verdana"/>
          <w:color w:val="auto"/>
          <w:sz w:val="22"/>
          <w:szCs w:val="22"/>
        </w:rPr>
        <w:t xml:space="preserve"> este</w:t>
      </w:r>
      <w:r w:rsidR="00EF54D1" w:rsidRPr="005500F5">
        <w:rPr>
          <w:rFonts w:ascii="Verdana" w:hAnsi="Verdana"/>
          <w:color w:val="auto"/>
          <w:sz w:val="22"/>
          <w:szCs w:val="22"/>
        </w:rPr>
        <w:t xml:space="preserve"> registro </w:t>
      </w:r>
      <w:r w:rsidRPr="005500F5">
        <w:rPr>
          <w:rFonts w:ascii="Verdana" w:hAnsi="Verdana"/>
          <w:color w:val="auto"/>
          <w:sz w:val="22"/>
          <w:szCs w:val="22"/>
        </w:rPr>
        <w:t>y las de Confecámaras</w:t>
      </w:r>
      <w:r w:rsidR="005567C6" w:rsidRPr="005500F5">
        <w:rPr>
          <w:rFonts w:ascii="Verdana" w:hAnsi="Verdana"/>
          <w:color w:val="auto"/>
          <w:sz w:val="22"/>
          <w:szCs w:val="22"/>
        </w:rPr>
        <w:t xml:space="preserve"> como administrador</w:t>
      </w:r>
      <w:r w:rsidRPr="005500F5">
        <w:rPr>
          <w:rFonts w:ascii="Verdana" w:hAnsi="Verdana"/>
          <w:color w:val="auto"/>
          <w:sz w:val="22"/>
          <w:szCs w:val="22"/>
        </w:rPr>
        <w:t>.</w:t>
      </w:r>
    </w:p>
    <w:p w14:paraId="4FE97147" w14:textId="77777777" w:rsidR="005567C6" w:rsidRPr="005500F5" w:rsidRDefault="005567C6" w:rsidP="005567C6">
      <w:pPr>
        <w:pStyle w:val="Default"/>
        <w:jc w:val="both"/>
        <w:rPr>
          <w:rFonts w:ascii="Verdana" w:hAnsi="Verdana"/>
          <w:color w:val="auto"/>
          <w:sz w:val="22"/>
          <w:szCs w:val="22"/>
        </w:rPr>
      </w:pPr>
    </w:p>
    <w:p w14:paraId="34A07D64" w14:textId="77777777" w:rsidR="00433A85" w:rsidRPr="005500F5" w:rsidRDefault="005567C6" w:rsidP="008E1312">
      <w:pPr>
        <w:pStyle w:val="Default"/>
        <w:numPr>
          <w:ilvl w:val="0"/>
          <w:numId w:val="6"/>
        </w:numPr>
        <w:jc w:val="both"/>
        <w:rPr>
          <w:rFonts w:ascii="Verdana" w:hAnsi="Verdana"/>
          <w:color w:val="auto"/>
          <w:sz w:val="22"/>
          <w:szCs w:val="22"/>
        </w:rPr>
      </w:pPr>
      <w:r w:rsidRPr="005500F5">
        <w:rPr>
          <w:rFonts w:ascii="Verdana" w:hAnsi="Verdana"/>
          <w:color w:val="auto"/>
          <w:sz w:val="22"/>
          <w:szCs w:val="22"/>
        </w:rPr>
        <w:t>Informe sobre el componente tecnológico y de seguridad de la información del RGM, a fin de solicitar las evidencias sobre las medidas adoptadas por el administrador ante los riesgos y situaciones detectadas.</w:t>
      </w:r>
    </w:p>
    <w:p w14:paraId="0BF72F70" w14:textId="77777777" w:rsidR="00433A85" w:rsidRPr="005500F5" w:rsidRDefault="00433A85" w:rsidP="00433A85">
      <w:pPr>
        <w:pStyle w:val="Prrafodelista"/>
        <w:rPr>
          <w:rFonts w:ascii="Verdana" w:hAnsi="Verdana"/>
          <w:sz w:val="22"/>
          <w:szCs w:val="22"/>
        </w:rPr>
      </w:pPr>
    </w:p>
    <w:p w14:paraId="7C48EA7D" w14:textId="04DD30A9" w:rsidR="00433A85" w:rsidRPr="005500F5" w:rsidRDefault="005567C6" w:rsidP="008E1312">
      <w:pPr>
        <w:pStyle w:val="Default"/>
        <w:numPr>
          <w:ilvl w:val="0"/>
          <w:numId w:val="6"/>
        </w:numPr>
        <w:jc w:val="both"/>
        <w:rPr>
          <w:rFonts w:ascii="Verdana" w:hAnsi="Verdana"/>
          <w:color w:val="auto"/>
          <w:sz w:val="22"/>
          <w:szCs w:val="22"/>
        </w:rPr>
      </w:pPr>
      <w:r w:rsidRPr="005500F5">
        <w:rPr>
          <w:rFonts w:ascii="Verdana" w:hAnsi="Verdana"/>
          <w:color w:val="auto"/>
          <w:sz w:val="22"/>
          <w:szCs w:val="22"/>
        </w:rPr>
        <w:t>Informe del proveedor externo especializado, en relación con el cumplimiento d</w:t>
      </w:r>
      <w:proofErr w:type="spellStart"/>
      <w:r w:rsidRPr="005500F5">
        <w:rPr>
          <w:rFonts w:ascii="Verdana" w:hAnsi="Verdana"/>
          <w:color w:val="auto"/>
          <w:sz w:val="22"/>
          <w:szCs w:val="22"/>
          <w:lang w:val="es-MX"/>
        </w:rPr>
        <w:t>e</w:t>
      </w:r>
      <w:proofErr w:type="spellEnd"/>
      <w:r w:rsidRPr="005500F5">
        <w:rPr>
          <w:rFonts w:ascii="Verdana" w:hAnsi="Verdana"/>
          <w:color w:val="auto"/>
          <w:sz w:val="22"/>
          <w:szCs w:val="22"/>
          <w:lang w:val="es-MX"/>
        </w:rPr>
        <w:t xml:space="preserve"> la gestión de seguridad, integridad, disposición y recuperación de la información del RGM, activos de información, plan de vulnerabilidades, disponibilidad de la plataforma y del sistema, plan de contingencia, políticas de </w:t>
      </w:r>
      <w:proofErr w:type="spellStart"/>
      <w:r w:rsidRPr="005500F5">
        <w:rPr>
          <w:rFonts w:ascii="Verdana" w:hAnsi="Verdana"/>
          <w:i/>
          <w:iCs/>
          <w:color w:val="auto"/>
          <w:sz w:val="22"/>
          <w:szCs w:val="22"/>
          <w:lang w:val="es-MX"/>
        </w:rPr>
        <w:t>backups</w:t>
      </w:r>
      <w:proofErr w:type="spellEnd"/>
      <w:r w:rsidRPr="005500F5">
        <w:rPr>
          <w:rFonts w:ascii="Verdana" w:hAnsi="Verdana"/>
          <w:i/>
          <w:iCs/>
          <w:color w:val="auto"/>
          <w:sz w:val="22"/>
          <w:szCs w:val="22"/>
          <w:lang w:val="es-MX"/>
        </w:rPr>
        <w:t> </w:t>
      </w:r>
      <w:r w:rsidRPr="005500F5">
        <w:rPr>
          <w:rFonts w:ascii="Verdana" w:hAnsi="Verdana"/>
          <w:color w:val="auto"/>
          <w:sz w:val="22"/>
          <w:szCs w:val="22"/>
          <w:lang w:val="es-MX"/>
        </w:rPr>
        <w:t>y de recuperación de la información del RGM,</w:t>
      </w:r>
      <w:r w:rsidR="00A17752" w:rsidRPr="005500F5">
        <w:rPr>
          <w:rFonts w:ascii="Verdana" w:hAnsi="Verdana"/>
          <w:color w:val="auto"/>
          <w:sz w:val="22"/>
          <w:szCs w:val="22"/>
          <w:lang w:val="es-MX"/>
        </w:rPr>
        <w:t xml:space="preserve"> políticas sobre el tratamiento de datos,</w:t>
      </w:r>
      <w:r w:rsidRPr="005500F5">
        <w:rPr>
          <w:rFonts w:ascii="Verdana" w:hAnsi="Verdana"/>
          <w:color w:val="auto"/>
          <w:sz w:val="22"/>
          <w:szCs w:val="22"/>
          <w:lang w:val="es-MX"/>
        </w:rPr>
        <w:t xml:space="preserve"> entre otros; así como las estadísticas de estas.</w:t>
      </w:r>
      <w:r w:rsidRPr="005500F5">
        <w:rPr>
          <w:rFonts w:ascii="Verdana" w:hAnsi="Verdana"/>
          <w:color w:val="auto"/>
          <w:sz w:val="22"/>
          <w:szCs w:val="22"/>
        </w:rPr>
        <w:t xml:space="preserve"> </w:t>
      </w:r>
    </w:p>
    <w:p w14:paraId="52A93404" w14:textId="77777777" w:rsidR="00433A85" w:rsidRPr="005500F5" w:rsidRDefault="00433A85" w:rsidP="00433A85">
      <w:pPr>
        <w:pStyle w:val="Default"/>
        <w:jc w:val="both"/>
        <w:rPr>
          <w:rFonts w:ascii="Verdana" w:hAnsi="Verdana"/>
          <w:color w:val="auto"/>
          <w:sz w:val="22"/>
          <w:szCs w:val="22"/>
        </w:rPr>
      </w:pPr>
    </w:p>
    <w:p w14:paraId="20F2CD06" w14:textId="2FA96666" w:rsidR="00433A85" w:rsidRPr="005500F5" w:rsidRDefault="00433A85" w:rsidP="00433A85">
      <w:pPr>
        <w:pStyle w:val="Default"/>
        <w:ind w:left="720"/>
        <w:jc w:val="both"/>
        <w:rPr>
          <w:rFonts w:ascii="Verdana" w:hAnsi="Verdana"/>
          <w:color w:val="auto"/>
          <w:sz w:val="22"/>
          <w:szCs w:val="22"/>
        </w:rPr>
      </w:pPr>
      <w:r w:rsidRPr="005500F5">
        <w:rPr>
          <w:rFonts w:ascii="Verdana" w:hAnsi="Verdana"/>
        </w:rPr>
        <w:t xml:space="preserve">- </w:t>
      </w:r>
      <w:r w:rsidR="00366FD4" w:rsidRPr="005500F5">
        <w:rPr>
          <w:rFonts w:ascii="Verdana" w:hAnsi="Verdana"/>
        </w:rPr>
        <w:t>Relación de las peticiones, quejas</w:t>
      </w:r>
      <w:r w:rsidR="00CC2ECA" w:rsidRPr="005500F5">
        <w:rPr>
          <w:rFonts w:ascii="Verdana" w:hAnsi="Verdana"/>
        </w:rPr>
        <w:t xml:space="preserve">, </w:t>
      </w:r>
      <w:r w:rsidR="00366FD4" w:rsidRPr="005500F5">
        <w:rPr>
          <w:rFonts w:ascii="Verdana" w:hAnsi="Verdana"/>
        </w:rPr>
        <w:t>reclamos</w:t>
      </w:r>
      <w:r w:rsidR="00CC2ECA" w:rsidRPr="005500F5">
        <w:rPr>
          <w:rFonts w:ascii="Verdana" w:hAnsi="Verdana"/>
        </w:rPr>
        <w:t xml:space="preserve"> y solicitudes</w:t>
      </w:r>
      <w:r w:rsidR="00366FD4" w:rsidRPr="005500F5">
        <w:rPr>
          <w:rFonts w:ascii="Verdana" w:hAnsi="Verdana"/>
        </w:rPr>
        <w:t xml:space="preserve"> remitidas por los</w:t>
      </w:r>
      <w:r w:rsidR="00ED56A0" w:rsidRPr="005500F5">
        <w:rPr>
          <w:rFonts w:ascii="Verdana" w:hAnsi="Verdana"/>
        </w:rPr>
        <w:t xml:space="preserve"> </w:t>
      </w:r>
      <w:r w:rsidR="00366FD4" w:rsidRPr="005500F5">
        <w:rPr>
          <w:rFonts w:ascii="Verdana" w:hAnsi="Verdana"/>
        </w:rPr>
        <w:t>usuarios del RGM, a través de su mesa de ayuda especializada y los canales dispuestos por la misma, con el fin de evaluar</w:t>
      </w:r>
      <w:r w:rsidR="00CC2ECA" w:rsidRPr="005500F5">
        <w:rPr>
          <w:rFonts w:ascii="Verdana" w:hAnsi="Verdana"/>
        </w:rPr>
        <w:t>,</w:t>
      </w:r>
      <w:r w:rsidR="00366FD4" w:rsidRPr="005500F5">
        <w:rPr>
          <w:rFonts w:ascii="Verdana" w:hAnsi="Verdana"/>
        </w:rPr>
        <w:t xml:space="preserve"> </w:t>
      </w:r>
      <w:r w:rsidR="00CC2ECA" w:rsidRPr="005500F5">
        <w:rPr>
          <w:rFonts w:ascii="Verdana" w:hAnsi="Verdana"/>
        </w:rPr>
        <w:t xml:space="preserve">tanto </w:t>
      </w:r>
      <w:r w:rsidR="00366FD4" w:rsidRPr="005500F5">
        <w:rPr>
          <w:rFonts w:ascii="Verdana" w:hAnsi="Verdana"/>
        </w:rPr>
        <w:t xml:space="preserve">las manifestaciones de los usuarios con respecto al funcionamiento </w:t>
      </w:r>
      <w:r w:rsidR="00CC2ECA" w:rsidRPr="005500F5">
        <w:rPr>
          <w:rFonts w:ascii="Verdana" w:hAnsi="Verdana"/>
        </w:rPr>
        <w:t xml:space="preserve">del RGM y el servicio prestado por este registro, como también </w:t>
      </w:r>
      <w:r w:rsidR="00ED56A0" w:rsidRPr="005500F5">
        <w:rPr>
          <w:rFonts w:ascii="Verdana" w:hAnsi="Verdana"/>
        </w:rPr>
        <w:t>la atención</w:t>
      </w:r>
      <w:r w:rsidR="002B6CC5" w:rsidRPr="005500F5">
        <w:rPr>
          <w:rFonts w:ascii="Verdana" w:hAnsi="Verdana"/>
        </w:rPr>
        <w:t xml:space="preserve"> </w:t>
      </w:r>
      <w:r w:rsidR="00741959" w:rsidRPr="005500F5">
        <w:rPr>
          <w:rFonts w:ascii="Verdana" w:hAnsi="Verdana"/>
        </w:rPr>
        <w:t>y tiempos de respuesta de la mesa de ayuda.</w:t>
      </w:r>
    </w:p>
    <w:p w14:paraId="36343089" w14:textId="77777777" w:rsidR="00433A85" w:rsidRPr="005500F5" w:rsidRDefault="00433A85" w:rsidP="00433A85">
      <w:pPr>
        <w:pStyle w:val="Default"/>
        <w:jc w:val="both"/>
        <w:rPr>
          <w:rFonts w:ascii="Verdana" w:hAnsi="Verdana"/>
          <w:color w:val="auto"/>
          <w:sz w:val="22"/>
          <w:szCs w:val="22"/>
        </w:rPr>
      </w:pPr>
    </w:p>
    <w:p w14:paraId="79F9D0FF" w14:textId="10CA279B" w:rsidR="00366FD4" w:rsidRPr="005500F5" w:rsidRDefault="00366FD4" w:rsidP="008E1312">
      <w:pPr>
        <w:pStyle w:val="Default"/>
        <w:numPr>
          <w:ilvl w:val="0"/>
          <w:numId w:val="6"/>
        </w:numPr>
        <w:jc w:val="both"/>
        <w:rPr>
          <w:rFonts w:ascii="Verdana" w:hAnsi="Verdana"/>
          <w:color w:val="auto"/>
          <w:sz w:val="22"/>
          <w:szCs w:val="22"/>
        </w:rPr>
      </w:pPr>
      <w:r w:rsidRPr="005500F5">
        <w:rPr>
          <w:rFonts w:ascii="Verdana" w:hAnsi="Verdana"/>
          <w:color w:val="auto"/>
          <w:sz w:val="22"/>
          <w:szCs w:val="22"/>
        </w:rPr>
        <w:t>Resultados de las encuestas de experiencias del usuari</w:t>
      </w:r>
      <w:r w:rsidR="00DC5F2F" w:rsidRPr="005500F5">
        <w:rPr>
          <w:rFonts w:ascii="Verdana" w:hAnsi="Verdana"/>
          <w:color w:val="auto"/>
          <w:sz w:val="22"/>
          <w:szCs w:val="22"/>
        </w:rPr>
        <w:t>o.</w:t>
      </w:r>
      <w:r w:rsidR="0048569C" w:rsidRPr="005500F5">
        <w:rPr>
          <w:rFonts w:ascii="Verdana" w:hAnsi="Verdana"/>
          <w:color w:val="auto"/>
          <w:sz w:val="22"/>
          <w:szCs w:val="22"/>
        </w:rPr>
        <w:t xml:space="preserve"> </w:t>
      </w:r>
    </w:p>
    <w:p w14:paraId="2BCC5D9B" w14:textId="77777777" w:rsidR="00366FD4" w:rsidRPr="005500F5" w:rsidRDefault="00366FD4" w:rsidP="00366FD4">
      <w:pPr>
        <w:pStyle w:val="Default"/>
        <w:ind w:left="720"/>
        <w:jc w:val="both"/>
        <w:rPr>
          <w:rFonts w:ascii="Verdana" w:hAnsi="Verdana"/>
          <w:color w:val="auto"/>
          <w:sz w:val="22"/>
          <w:szCs w:val="22"/>
        </w:rPr>
      </w:pPr>
    </w:p>
    <w:p w14:paraId="7B7486E4" w14:textId="5FC77AB7" w:rsidR="00C32B8C" w:rsidRPr="005500F5" w:rsidRDefault="00366FD4" w:rsidP="008E1312">
      <w:pPr>
        <w:pStyle w:val="Default"/>
        <w:numPr>
          <w:ilvl w:val="0"/>
          <w:numId w:val="6"/>
        </w:numPr>
        <w:jc w:val="both"/>
        <w:rPr>
          <w:rFonts w:ascii="Verdana" w:hAnsi="Verdana"/>
          <w:color w:val="auto"/>
          <w:sz w:val="22"/>
          <w:szCs w:val="22"/>
        </w:rPr>
      </w:pPr>
      <w:r w:rsidRPr="005500F5">
        <w:rPr>
          <w:rFonts w:ascii="Verdana" w:hAnsi="Verdana"/>
          <w:color w:val="auto"/>
          <w:sz w:val="22"/>
          <w:szCs w:val="22"/>
        </w:rPr>
        <w:t>Capacitaciones realizadas a sus usuarios.</w:t>
      </w:r>
    </w:p>
    <w:p w14:paraId="0FFF8269" w14:textId="77777777" w:rsidR="00366FD4" w:rsidRPr="005500F5" w:rsidRDefault="00366FD4" w:rsidP="00366FD4">
      <w:pPr>
        <w:pStyle w:val="Default"/>
        <w:ind w:left="720"/>
        <w:jc w:val="both"/>
        <w:rPr>
          <w:rFonts w:ascii="Verdana" w:hAnsi="Verdana"/>
          <w:color w:val="auto"/>
          <w:sz w:val="22"/>
          <w:szCs w:val="22"/>
        </w:rPr>
      </w:pPr>
    </w:p>
    <w:p w14:paraId="583AAAD1" w14:textId="4AB62C60" w:rsidR="00366FD4" w:rsidRPr="005500F5" w:rsidRDefault="00366FD4" w:rsidP="008E1312">
      <w:pPr>
        <w:pStyle w:val="Default"/>
        <w:numPr>
          <w:ilvl w:val="0"/>
          <w:numId w:val="4"/>
        </w:numPr>
        <w:jc w:val="both"/>
        <w:rPr>
          <w:rFonts w:ascii="Verdana" w:hAnsi="Verdana"/>
          <w:color w:val="auto"/>
          <w:sz w:val="22"/>
          <w:szCs w:val="22"/>
        </w:rPr>
      </w:pPr>
      <w:r w:rsidRPr="005500F5">
        <w:rPr>
          <w:rFonts w:ascii="Verdana" w:hAnsi="Verdana"/>
          <w:color w:val="auto"/>
          <w:sz w:val="22"/>
          <w:szCs w:val="22"/>
        </w:rPr>
        <w:lastRenderedPageBreak/>
        <w:t>Realizar visitas administrativas para verificar el funcionamiento y cumplimiento de las funciones</w:t>
      </w:r>
      <w:r w:rsidR="005567C6" w:rsidRPr="005500F5">
        <w:rPr>
          <w:rFonts w:ascii="Verdana" w:hAnsi="Verdana"/>
          <w:color w:val="auto"/>
          <w:sz w:val="22"/>
          <w:szCs w:val="22"/>
        </w:rPr>
        <w:t xml:space="preserve"> del RGM</w:t>
      </w:r>
      <w:r w:rsidRPr="005500F5">
        <w:rPr>
          <w:rFonts w:ascii="Verdana" w:hAnsi="Verdana"/>
          <w:color w:val="auto"/>
          <w:sz w:val="22"/>
          <w:szCs w:val="22"/>
        </w:rPr>
        <w:t>, para l</w:t>
      </w:r>
      <w:r w:rsidR="00022BBE" w:rsidRPr="005500F5">
        <w:rPr>
          <w:rFonts w:ascii="Verdana" w:hAnsi="Verdana"/>
          <w:color w:val="auto"/>
          <w:sz w:val="22"/>
          <w:szCs w:val="22"/>
        </w:rPr>
        <w:t>o</w:t>
      </w:r>
      <w:r w:rsidRPr="005500F5">
        <w:rPr>
          <w:rFonts w:ascii="Verdana" w:hAnsi="Verdana"/>
          <w:color w:val="auto"/>
          <w:sz w:val="22"/>
          <w:szCs w:val="22"/>
        </w:rPr>
        <w:t xml:space="preserve"> cual se realizará previamente un plan de visita, incluyendo cuestionarios de visita a partir del análisis de la situación del RGM. Una vez se realice la visita, se firmará acta de la diligencia y posteriormente, se </w:t>
      </w:r>
      <w:r w:rsidR="00CB7968" w:rsidRPr="005500F5">
        <w:rPr>
          <w:rFonts w:ascii="Verdana" w:hAnsi="Verdana"/>
          <w:color w:val="auto"/>
          <w:sz w:val="22"/>
          <w:szCs w:val="22"/>
        </w:rPr>
        <w:t xml:space="preserve">presentará el respectivo informe en el que se </w:t>
      </w:r>
      <w:r w:rsidRPr="005500F5">
        <w:rPr>
          <w:rFonts w:ascii="Verdana" w:hAnsi="Verdana"/>
          <w:color w:val="auto"/>
          <w:sz w:val="22"/>
          <w:szCs w:val="22"/>
        </w:rPr>
        <w:t>evaluarán y señalarán las órdenes o medidas que correspondan para el correcto funcionamiento del RGM</w:t>
      </w:r>
      <w:r w:rsidR="005567C6" w:rsidRPr="005500F5">
        <w:rPr>
          <w:rFonts w:ascii="Verdana" w:hAnsi="Verdana"/>
          <w:color w:val="auto"/>
          <w:sz w:val="22"/>
          <w:szCs w:val="22"/>
        </w:rPr>
        <w:t>, el cabal cumplimiento de las funciones asignadas</w:t>
      </w:r>
      <w:r w:rsidR="00C62153" w:rsidRPr="005500F5">
        <w:rPr>
          <w:rFonts w:ascii="Verdana" w:hAnsi="Verdana"/>
          <w:color w:val="auto"/>
          <w:sz w:val="22"/>
          <w:szCs w:val="22"/>
        </w:rPr>
        <w:t xml:space="preserve"> a este registro y las que le corresponden a su administrador,</w:t>
      </w:r>
      <w:r w:rsidRPr="005500F5">
        <w:rPr>
          <w:rFonts w:ascii="Verdana" w:hAnsi="Verdana"/>
          <w:color w:val="auto"/>
          <w:sz w:val="22"/>
          <w:szCs w:val="22"/>
        </w:rPr>
        <w:t xml:space="preserve"> y para mitigar los riesgos asociados a la opera</w:t>
      </w:r>
      <w:r w:rsidR="00C62153" w:rsidRPr="005500F5">
        <w:rPr>
          <w:rFonts w:ascii="Verdana" w:hAnsi="Verdana"/>
          <w:color w:val="auto"/>
          <w:sz w:val="22"/>
          <w:szCs w:val="22"/>
        </w:rPr>
        <w:t>ción y administración</w:t>
      </w:r>
      <w:r w:rsidRPr="005500F5">
        <w:rPr>
          <w:rFonts w:ascii="Verdana" w:hAnsi="Verdana"/>
          <w:color w:val="auto"/>
          <w:sz w:val="22"/>
          <w:szCs w:val="22"/>
        </w:rPr>
        <w:t xml:space="preserve"> del </w:t>
      </w:r>
      <w:r w:rsidR="00C62153" w:rsidRPr="005500F5">
        <w:rPr>
          <w:rFonts w:ascii="Verdana" w:hAnsi="Verdana"/>
          <w:color w:val="auto"/>
          <w:sz w:val="22"/>
          <w:szCs w:val="22"/>
        </w:rPr>
        <w:t>RGM</w:t>
      </w:r>
      <w:r w:rsidR="00CB7968" w:rsidRPr="005500F5">
        <w:rPr>
          <w:rFonts w:ascii="Verdana" w:hAnsi="Verdana"/>
          <w:color w:val="auto"/>
          <w:sz w:val="22"/>
          <w:szCs w:val="22"/>
        </w:rPr>
        <w:t>, en un plazo de treinta (30) días hábiles.</w:t>
      </w:r>
      <w:r w:rsidRPr="005500F5">
        <w:rPr>
          <w:rFonts w:ascii="Verdana" w:hAnsi="Verdana"/>
          <w:color w:val="auto"/>
          <w:sz w:val="22"/>
          <w:szCs w:val="22"/>
        </w:rPr>
        <w:t xml:space="preserve"> </w:t>
      </w:r>
    </w:p>
    <w:p w14:paraId="5DB8085D" w14:textId="77777777" w:rsidR="00366FD4" w:rsidRPr="005500F5" w:rsidRDefault="00366FD4" w:rsidP="00366FD4">
      <w:pPr>
        <w:pStyle w:val="Default"/>
        <w:ind w:left="720"/>
        <w:jc w:val="both"/>
        <w:rPr>
          <w:rFonts w:ascii="Verdana" w:hAnsi="Verdana"/>
          <w:color w:val="auto"/>
          <w:sz w:val="22"/>
          <w:szCs w:val="22"/>
        </w:rPr>
      </w:pPr>
    </w:p>
    <w:p w14:paraId="52FE05EF" w14:textId="326C309C" w:rsidR="00A33A72" w:rsidRPr="005500F5" w:rsidRDefault="00A33A72" w:rsidP="008E1312">
      <w:pPr>
        <w:pStyle w:val="Default"/>
        <w:numPr>
          <w:ilvl w:val="0"/>
          <w:numId w:val="4"/>
        </w:numPr>
        <w:jc w:val="both"/>
        <w:rPr>
          <w:rFonts w:ascii="Verdana" w:hAnsi="Verdana"/>
          <w:color w:val="auto"/>
          <w:sz w:val="22"/>
          <w:szCs w:val="22"/>
        </w:rPr>
      </w:pPr>
      <w:r w:rsidRPr="005500F5">
        <w:rPr>
          <w:rFonts w:ascii="Verdana" w:hAnsi="Verdana"/>
          <w:color w:val="auto"/>
          <w:sz w:val="22"/>
          <w:szCs w:val="22"/>
        </w:rPr>
        <w:t xml:space="preserve">La Superintendencia verificará con una periodicidad mínima anual o cuando se expidan nuevas resoluciones tarifarias </w:t>
      </w:r>
      <w:r w:rsidR="00AC466F" w:rsidRPr="005500F5">
        <w:rPr>
          <w:rFonts w:ascii="Verdana" w:hAnsi="Verdana"/>
          <w:color w:val="auto"/>
          <w:sz w:val="22"/>
          <w:szCs w:val="22"/>
        </w:rPr>
        <w:t xml:space="preserve">por los derechos de registro </w:t>
      </w:r>
      <w:r w:rsidRPr="005500F5">
        <w:rPr>
          <w:rFonts w:ascii="Verdana" w:hAnsi="Verdana"/>
          <w:color w:val="auto"/>
          <w:sz w:val="22"/>
          <w:szCs w:val="22"/>
        </w:rPr>
        <w:t xml:space="preserve">por parte del Ministerio de Comercio, Industria y Turismo, que </w:t>
      </w:r>
      <w:r w:rsidR="00D867A7" w:rsidRPr="005500F5">
        <w:rPr>
          <w:rFonts w:ascii="Verdana" w:hAnsi="Verdana"/>
          <w:color w:val="auto"/>
          <w:sz w:val="22"/>
          <w:szCs w:val="22"/>
        </w:rPr>
        <w:t>la información tarifaria</w:t>
      </w:r>
      <w:r w:rsidR="0064520D" w:rsidRPr="005500F5">
        <w:rPr>
          <w:rFonts w:ascii="Verdana" w:hAnsi="Verdana"/>
          <w:color w:val="auto"/>
          <w:sz w:val="22"/>
          <w:szCs w:val="22"/>
        </w:rPr>
        <w:t xml:space="preserve"> se encuentre </w:t>
      </w:r>
      <w:r w:rsidR="00D867A7" w:rsidRPr="005500F5">
        <w:rPr>
          <w:rFonts w:ascii="Verdana" w:hAnsi="Verdana"/>
          <w:color w:val="auto"/>
          <w:sz w:val="22"/>
          <w:szCs w:val="22"/>
        </w:rPr>
        <w:t>publicada</w:t>
      </w:r>
      <w:r w:rsidR="0064520D" w:rsidRPr="005500F5">
        <w:rPr>
          <w:rFonts w:ascii="Verdana" w:hAnsi="Verdana"/>
          <w:color w:val="auto"/>
          <w:sz w:val="22"/>
          <w:szCs w:val="22"/>
        </w:rPr>
        <w:t xml:space="preserve"> en la página web por parte de Confecámaras y la misma</w:t>
      </w:r>
      <w:r w:rsidR="00D867A7" w:rsidRPr="005500F5">
        <w:rPr>
          <w:rFonts w:ascii="Verdana" w:hAnsi="Verdana"/>
          <w:color w:val="auto"/>
          <w:sz w:val="22"/>
          <w:szCs w:val="22"/>
        </w:rPr>
        <w:t xml:space="preserve"> </w:t>
      </w:r>
      <w:r w:rsidR="00E4767C" w:rsidRPr="005500F5">
        <w:rPr>
          <w:rFonts w:ascii="Verdana" w:hAnsi="Verdana"/>
          <w:color w:val="auto"/>
          <w:sz w:val="22"/>
          <w:szCs w:val="22"/>
        </w:rPr>
        <w:t xml:space="preserve">se encuentre </w:t>
      </w:r>
      <w:r w:rsidR="000430A2" w:rsidRPr="005500F5">
        <w:rPr>
          <w:rFonts w:ascii="Verdana" w:hAnsi="Verdana"/>
          <w:color w:val="auto"/>
          <w:sz w:val="22"/>
          <w:szCs w:val="22"/>
        </w:rPr>
        <w:t>fundamentada en las disposiciones normativas aplicables</w:t>
      </w:r>
      <w:r w:rsidR="004D0DEE" w:rsidRPr="005500F5">
        <w:rPr>
          <w:rFonts w:ascii="Verdana" w:hAnsi="Verdana"/>
          <w:color w:val="auto"/>
          <w:sz w:val="22"/>
          <w:szCs w:val="22"/>
        </w:rPr>
        <w:t xml:space="preserve">. </w:t>
      </w:r>
    </w:p>
    <w:p w14:paraId="763671EB" w14:textId="77777777" w:rsidR="00A33A72" w:rsidRPr="005500F5" w:rsidRDefault="00A33A72" w:rsidP="008E1312">
      <w:pPr>
        <w:pStyle w:val="Prrafodelista"/>
        <w:rPr>
          <w:rFonts w:ascii="Verdana" w:hAnsi="Verdana"/>
          <w:sz w:val="22"/>
          <w:szCs w:val="22"/>
        </w:rPr>
      </w:pPr>
    </w:p>
    <w:p w14:paraId="7825BBF6" w14:textId="18C3F930" w:rsidR="00366FD4" w:rsidRPr="005500F5" w:rsidRDefault="000075BA" w:rsidP="008E1312">
      <w:pPr>
        <w:pStyle w:val="Default"/>
        <w:numPr>
          <w:ilvl w:val="0"/>
          <w:numId w:val="4"/>
        </w:numPr>
        <w:jc w:val="both"/>
        <w:rPr>
          <w:rFonts w:ascii="Verdana" w:hAnsi="Verdana"/>
          <w:color w:val="auto"/>
          <w:sz w:val="22"/>
          <w:szCs w:val="22"/>
        </w:rPr>
      </w:pPr>
      <w:r w:rsidRPr="005500F5">
        <w:rPr>
          <w:rFonts w:ascii="Verdana" w:hAnsi="Verdana"/>
          <w:color w:val="auto"/>
          <w:sz w:val="22"/>
          <w:szCs w:val="22"/>
        </w:rPr>
        <w:t xml:space="preserve">En el mes febrero, </w:t>
      </w:r>
      <w:r w:rsidR="003C34B8" w:rsidRPr="005500F5">
        <w:rPr>
          <w:rFonts w:ascii="Verdana" w:hAnsi="Verdana"/>
          <w:color w:val="auto"/>
          <w:sz w:val="22"/>
          <w:szCs w:val="22"/>
        </w:rPr>
        <w:t xml:space="preserve">se </w:t>
      </w:r>
      <w:r w:rsidRPr="005500F5">
        <w:rPr>
          <w:rFonts w:ascii="Verdana" w:hAnsi="Verdana"/>
          <w:color w:val="auto"/>
          <w:sz w:val="22"/>
          <w:szCs w:val="22"/>
        </w:rPr>
        <w:t>e</w:t>
      </w:r>
      <w:r w:rsidR="00366FD4" w:rsidRPr="005500F5">
        <w:rPr>
          <w:rFonts w:ascii="Verdana" w:hAnsi="Verdana"/>
          <w:color w:val="auto"/>
          <w:sz w:val="22"/>
          <w:szCs w:val="22"/>
        </w:rPr>
        <w:t>laborar</w:t>
      </w:r>
      <w:r w:rsidR="003C34B8" w:rsidRPr="005500F5">
        <w:rPr>
          <w:rFonts w:ascii="Verdana" w:hAnsi="Verdana"/>
          <w:color w:val="auto"/>
          <w:sz w:val="22"/>
          <w:szCs w:val="22"/>
        </w:rPr>
        <w:t>á</w:t>
      </w:r>
      <w:r w:rsidR="00366FD4" w:rsidRPr="005500F5">
        <w:rPr>
          <w:rFonts w:ascii="Verdana" w:hAnsi="Verdana"/>
          <w:color w:val="auto"/>
          <w:sz w:val="22"/>
          <w:szCs w:val="22"/>
        </w:rPr>
        <w:t xml:space="preserve"> y presentar</w:t>
      </w:r>
      <w:r w:rsidR="003C34B8" w:rsidRPr="005500F5">
        <w:rPr>
          <w:rFonts w:ascii="Verdana" w:hAnsi="Verdana"/>
          <w:color w:val="auto"/>
          <w:sz w:val="22"/>
          <w:szCs w:val="22"/>
        </w:rPr>
        <w:t>á</w:t>
      </w:r>
      <w:r w:rsidR="00366FD4" w:rsidRPr="005500F5">
        <w:rPr>
          <w:rFonts w:ascii="Verdana" w:hAnsi="Verdana"/>
          <w:color w:val="auto"/>
          <w:sz w:val="22"/>
          <w:szCs w:val="22"/>
        </w:rPr>
        <w:t xml:space="preserve"> a la Delegatura de Supervisión Societaria </w:t>
      </w:r>
      <w:r w:rsidR="00C259F3" w:rsidRPr="005500F5">
        <w:rPr>
          <w:rFonts w:ascii="Verdana" w:hAnsi="Verdana"/>
          <w:color w:val="auto"/>
          <w:sz w:val="22"/>
          <w:szCs w:val="22"/>
        </w:rPr>
        <w:t>el</w:t>
      </w:r>
      <w:r w:rsidR="00366FD4" w:rsidRPr="005500F5">
        <w:rPr>
          <w:rFonts w:ascii="Verdana" w:hAnsi="Verdana"/>
          <w:color w:val="auto"/>
          <w:sz w:val="22"/>
          <w:szCs w:val="22"/>
        </w:rPr>
        <w:t xml:space="preserve"> informe anual de supervisión del RGM</w:t>
      </w:r>
      <w:r w:rsidRPr="005500F5">
        <w:rPr>
          <w:rFonts w:ascii="Verdana" w:hAnsi="Verdana"/>
          <w:color w:val="auto"/>
          <w:sz w:val="22"/>
          <w:szCs w:val="22"/>
        </w:rPr>
        <w:t xml:space="preserve"> de la vigencia anterior</w:t>
      </w:r>
      <w:r w:rsidR="00366FD4" w:rsidRPr="005500F5">
        <w:rPr>
          <w:rFonts w:ascii="Verdana" w:hAnsi="Verdana"/>
          <w:color w:val="auto"/>
          <w:sz w:val="22"/>
          <w:szCs w:val="22"/>
        </w:rPr>
        <w:t>, con base en la información y resultados obtenidos del análisis, estudio y soportes de la documentación proporcionada, a efectos de determinar</w:t>
      </w:r>
      <w:r w:rsidR="008E1312" w:rsidRPr="005500F5">
        <w:rPr>
          <w:rFonts w:ascii="Verdana" w:hAnsi="Verdana"/>
          <w:color w:val="auto"/>
          <w:sz w:val="22"/>
          <w:szCs w:val="22"/>
        </w:rPr>
        <w:t xml:space="preserve"> </w:t>
      </w:r>
      <w:r w:rsidR="004E5BD9" w:rsidRPr="005500F5">
        <w:rPr>
          <w:rFonts w:ascii="Verdana" w:hAnsi="Verdana"/>
          <w:color w:val="auto"/>
          <w:sz w:val="22"/>
          <w:szCs w:val="22"/>
        </w:rPr>
        <w:t>si se requiere adelantar alguna actuación sobre el particular</w:t>
      </w:r>
      <w:r w:rsidR="00536D34" w:rsidRPr="005500F5">
        <w:rPr>
          <w:rFonts w:ascii="Verdana" w:hAnsi="Verdana"/>
          <w:color w:val="auto"/>
          <w:sz w:val="22"/>
          <w:szCs w:val="22"/>
        </w:rPr>
        <w:t xml:space="preserve">, ya sea, a través de una instrucción, </w:t>
      </w:r>
      <w:r w:rsidR="00366FD4" w:rsidRPr="005500F5">
        <w:rPr>
          <w:rFonts w:ascii="Verdana" w:hAnsi="Verdana"/>
          <w:color w:val="auto"/>
          <w:sz w:val="22"/>
          <w:szCs w:val="22"/>
        </w:rPr>
        <w:t>plan de mejora</w:t>
      </w:r>
      <w:r w:rsidR="004E5BD9" w:rsidRPr="005500F5">
        <w:rPr>
          <w:rFonts w:ascii="Verdana" w:hAnsi="Verdana"/>
          <w:color w:val="auto"/>
          <w:sz w:val="22"/>
          <w:szCs w:val="22"/>
        </w:rPr>
        <w:t>,</w:t>
      </w:r>
      <w:r w:rsidR="00366FD4" w:rsidRPr="005500F5">
        <w:rPr>
          <w:rFonts w:ascii="Verdana" w:hAnsi="Verdana"/>
          <w:color w:val="auto"/>
          <w:sz w:val="22"/>
          <w:szCs w:val="22"/>
        </w:rPr>
        <w:t xml:space="preserve"> la realización de una visita administrativa</w:t>
      </w:r>
      <w:r w:rsidR="00536D34" w:rsidRPr="005500F5">
        <w:rPr>
          <w:rFonts w:ascii="Verdana" w:hAnsi="Verdana"/>
          <w:color w:val="auto"/>
          <w:sz w:val="22"/>
          <w:szCs w:val="22"/>
        </w:rPr>
        <w:t xml:space="preserve"> o planificar la supervisión de</w:t>
      </w:r>
      <w:r w:rsidR="005E0CE0" w:rsidRPr="005500F5">
        <w:rPr>
          <w:rFonts w:ascii="Verdana" w:hAnsi="Verdana"/>
          <w:color w:val="auto"/>
          <w:sz w:val="22"/>
          <w:szCs w:val="22"/>
        </w:rPr>
        <w:t>l respectivo año</w:t>
      </w:r>
      <w:r w:rsidR="00366FD4" w:rsidRPr="005500F5">
        <w:rPr>
          <w:rFonts w:ascii="Verdana" w:hAnsi="Verdana"/>
          <w:color w:val="auto"/>
          <w:sz w:val="22"/>
          <w:szCs w:val="22"/>
        </w:rPr>
        <w:t xml:space="preserve">. </w:t>
      </w:r>
    </w:p>
    <w:p w14:paraId="3F95788F" w14:textId="77777777" w:rsidR="00477ACE" w:rsidRPr="005500F5" w:rsidRDefault="00477ACE" w:rsidP="008E1312">
      <w:pPr>
        <w:pStyle w:val="Prrafodelista"/>
        <w:rPr>
          <w:rFonts w:ascii="Verdana" w:hAnsi="Verdana"/>
          <w:sz w:val="22"/>
          <w:szCs w:val="22"/>
        </w:rPr>
      </w:pPr>
    </w:p>
    <w:p w14:paraId="6401C397" w14:textId="77777777" w:rsidR="00672E48" w:rsidRPr="005500F5" w:rsidRDefault="00672E48" w:rsidP="008E6C8A">
      <w:pPr>
        <w:rPr>
          <w:rFonts w:ascii="Verdana" w:hAnsi="Verdana" w:cs="Arial"/>
          <w:sz w:val="22"/>
          <w:szCs w:val="22"/>
        </w:rPr>
      </w:pPr>
    </w:p>
    <w:p w14:paraId="0B86084D" w14:textId="339FA5C7" w:rsidR="001348FC" w:rsidRPr="005500F5" w:rsidRDefault="00516269" w:rsidP="008E6C8A">
      <w:pPr>
        <w:rPr>
          <w:rFonts w:ascii="Verdana" w:hAnsi="Verdana" w:cs="Arial"/>
          <w:b/>
          <w:sz w:val="22"/>
          <w:szCs w:val="22"/>
          <w:lang w:val="es-MX"/>
        </w:rPr>
      </w:pPr>
      <w:r w:rsidRPr="005500F5">
        <w:rPr>
          <w:rFonts w:ascii="Verdana" w:hAnsi="Verdana" w:cs="Arial"/>
          <w:b/>
          <w:bCs/>
          <w:sz w:val="22"/>
          <w:szCs w:val="22"/>
        </w:rPr>
        <w:t>6</w:t>
      </w:r>
      <w:r w:rsidR="008E6C8A" w:rsidRPr="005500F5">
        <w:rPr>
          <w:rFonts w:ascii="Verdana" w:hAnsi="Verdana" w:cs="Arial"/>
          <w:sz w:val="22"/>
          <w:szCs w:val="22"/>
        </w:rPr>
        <w:t xml:space="preserve">. </w:t>
      </w:r>
      <w:r w:rsidR="001348FC" w:rsidRPr="005500F5">
        <w:rPr>
          <w:rFonts w:ascii="Verdana" w:hAnsi="Verdana" w:cs="Arial"/>
          <w:b/>
          <w:sz w:val="22"/>
          <w:szCs w:val="22"/>
          <w:lang w:val="es-MX"/>
        </w:rPr>
        <w:t xml:space="preserve">CONTROL DE CAMBIOS </w:t>
      </w:r>
    </w:p>
    <w:p w14:paraId="3D8D57FD" w14:textId="77777777" w:rsidR="00C061BE" w:rsidRPr="005500F5" w:rsidRDefault="00C061BE" w:rsidP="00C061BE">
      <w:pPr>
        <w:rPr>
          <w:rFonts w:ascii="Verdana" w:hAnsi="Verdana"/>
          <w:sz w:val="22"/>
          <w:szCs w:val="22"/>
        </w:rPr>
      </w:pPr>
    </w:p>
    <w:tbl>
      <w:tblPr>
        <w:tblStyle w:val="Tablaconcuadrcula"/>
        <w:tblW w:w="0" w:type="auto"/>
        <w:jc w:val="center"/>
        <w:tblLook w:val="04A0" w:firstRow="1" w:lastRow="0" w:firstColumn="1" w:lastColumn="0" w:noHBand="0" w:noVBand="1"/>
      </w:tblPr>
      <w:tblGrid>
        <w:gridCol w:w="1270"/>
        <w:gridCol w:w="1415"/>
        <w:gridCol w:w="6944"/>
      </w:tblGrid>
      <w:tr w:rsidR="00C061BE" w:rsidRPr="009A7CD4" w14:paraId="555CE43E" w14:textId="77777777" w:rsidTr="005168A6">
        <w:trPr>
          <w:trHeight w:val="345"/>
          <w:jc w:val="center"/>
        </w:trPr>
        <w:tc>
          <w:tcPr>
            <w:tcW w:w="1271" w:type="dxa"/>
            <w:shd w:val="clear" w:color="auto" w:fill="F2DCDB"/>
            <w:vAlign w:val="center"/>
          </w:tcPr>
          <w:p w14:paraId="72756A36" w14:textId="77777777" w:rsidR="00C061BE" w:rsidRPr="009A7CD4" w:rsidRDefault="00C061BE" w:rsidP="005168A6">
            <w:pPr>
              <w:jc w:val="center"/>
              <w:rPr>
                <w:rFonts w:ascii="Verdana" w:hAnsi="Verdana"/>
                <w:b/>
                <w:bCs/>
                <w:sz w:val="20"/>
                <w:szCs w:val="20"/>
              </w:rPr>
            </w:pPr>
            <w:r w:rsidRPr="009A7CD4">
              <w:rPr>
                <w:rFonts w:ascii="Verdana" w:hAnsi="Verdana"/>
                <w:b/>
                <w:bCs/>
                <w:sz w:val="20"/>
                <w:szCs w:val="20"/>
              </w:rPr>
              <w:t>Versión</w:t>
            </w:r>
          </w:p>
        </w:tc>
        <w:tc>
          <w:tcPr>
            <w:tcW w:w="1379" w:type="dxa"/>
            <w:shd w:val="clear" w:color="auto" w:fill="F2DCDB"/>
            <w:vAlign w:val="center"/>
          </w:tcPr>
          <w:p w14:paraId="1D7889A3" w14:textId="77777777" w:rsidR="00C061BE" w:rsidRPr="009A7CD4" w:rsidRDefault="00C061BE" w:rsidP="005168A6">
            <w:pPr>
              <w:jc w:val="center"/>
              <w:rPr>
                <w:rFonts w:ascii="Verdana" w:hAnsi="Verdana"/>
                <w:b/>
                <w:bCs/>
                <w:sz w:val="20"/>
                <w:szCs w:val="20"/>
              </w:rPr>
            </w:pPr>
            <w:r w:rsidRPr="009A7CD4">
              <w:rPr>
                <w:rFonts w:ascii="Verdana" w:hAnsi="Verdana"/>
                <w:b/>
                <w:bCs/>
                <w:sz w:val="20"/>
                <w:szCs w:val="20"/>
              </w:rPr>
              <w:t>Fecha</w:t>
            </w:r>
          </w:p>
        </w:tc>
        <w:tc>
          <w:tcPr>
            <w:tcW w:w="6979" w:type="dxa"/>
            <w:shd w:val="clear" w:color="auto" w:fill="F2DCDB"/>
            <w:vAlign w:val="center"/>
          </w:tcPr>
          <w:p w14:paraId="3444FAF9" w14:textId="77777777" w:rsidR="00C061BE" w:rsidRPr="009A7CD4" w:rsidRDefault="00C061BE" w:rsidP="005168A6">
            <w:pPr>
              <w:jc w:val="center"/>
              <w:rPr>
                <w:rFonts w:ascii="Verdana" w:hAnsi="Verdana"/>
                <w:b/>
                <w:bCs/>
                <w:sz w:val="20"/>
                <w:szCs w:val="20"/>
              </w:rPr>
            </w:pPr>
            <w:r w:rsidRPr="009A7CD4">
              <w:rPr>
                <w:rFonts w:ascii="Verdana" w:hAnsi="Verdana"/>
                <w:b/>
                <w:bCs/>
                <w:sz w:val="20"/>
                <w:szCs w:val="20"/>
              </w:rPr>
              <w:t xml:space="preserve">Descripción del Cambio </w:t>
            </w:r>
          </w:p>
        </w:tc>
      </w:tr>
      <w:tr w:rsidR="00C061BE" w:rsidRPr="009A7CD4" w14:paraId="2D2A5245" w14:textId="77777777" w:rsidTr="003C1BC3">
        <w:trPr>
          <w:trHeight w:val="365"/>
          <w:jc w:val="center"/>
        </w:trPr>
        <w:tc>
          <w:tcPr>
            <w:tcW w:w="1271" w:type="dxa"/>
            <w:vAlign w:val="center"/>
          </w:tcPr>
          <w:p w14:paraId="67AD0ACB" w14:textId="09496401" w:rsidR="00C061BE" w:rsidRPr="009A7CD4" w:rsidRDefault="00022BBE" w:rsidP="003C1BC3">
            <w:pPr>
              <w:jc w:val="center"/>
              <w:rPr>
                <w:rFonts w:ascii="Verdana" w:hAnsi="Verdana"/>
                <w:sz w:val="20"/>
                <w:szCs w:val="20"/>
              </w:rPr>
            </w:pPr>
            <w:r w:rsidRPr="009A7CD4">
              <w:rPr>
                <w:rFonts w:ascii="Verdana" w:hAnsi="Verdana" w:cs="Arial"/>
                <w:sz w:val="20"/>
                <w:szCs w:val="20"/>
              </w:rPr>
              <w:t>00</w:t>
            </w:r>
            <w:r w:rsidR="00446B0E" w:rsidRPr="009A7CD4">
              <w:rPr>
                <w:rFonts w:ascii="Verdana" w:hAnsi="Verdana" w:cs="Arial"/>
                <w:sz w:val="20"/>
                <w:szCs w:val="20"/>
              </w:rPr>
              <w:t>1</w:t>
            </w:r>
          </w:p>
        </w:tc>
        <w:tc>
          <w:tcPr>
            <w:tcW w:w="1379" w:type="dxa"/>
            <w:vAlign w:val="center"/>
          </w:tcPr>
          <w:p w14:paraId="7483F9A4" w14:textId="616F0314" w:rsidR="00C061BE" w:rsidRPr="009A7CD4" w:rsidRDefault="00D760FB" w:rsidP="003C1BC3">
            <w:pPr>
              <w:jc w:val="center"/>
              <w:rPr>
                <w:rFonts w:ascii="Verdana" w:hAnsi="Verdana"/>
                <w:sz w:val="20"/>
                <w:szCs w:val="20"/>
              </w:rPr>
            </w:pPr>
            <w:r w:rsidRPr="009A7CD4">
              <w:rPr>
                <w:rFonts w:ascii="Verdana" w:hAnsi="Verdana"/>
                <w:sz w:val="20"/>
                <w:szCs w:val="20"/>
              </w:rPr>
              <w:t>16/08/2023</w:t>
            </w:r>
          </w:p>
        </w:tc>
        <w:tc>
          <w:tcPr>
            <w:tcW w:w="6979" w:type="dxa"/>
            <w:vAlign w:val="center"/>
          </w:tcPr>
          <w:p w14:paraId="3A92CF5F" w14:textId="0A53DED7" w:rsidR="00C061BE" w:rsidRPr="009A7CD4" w:rsidRDefault="003E6051" w:rsidP="003E6051">
            <w:pPr>
              <w:rPr>
                <w:rFonts w:ascii="Verdana" w:hAnsi="Verdana"/>
                <w:sz w:val="20"/>
                <w:szCs w:val="20"/>
              </w:rPr>
            </w:pPr>
            <w:r w:rsidRPr="009A7CD4">
              <w:rPr>
                <w:rFonts w:ascii="Verdana" w:hAnsi="Verdana" w:cs="Arial"/>
                <w:sz w:val="20"/>
                <w:szCs w:val="20"/>
                <w:lang w:val="es-CO"/>
              </w:rPr>
              <w:t>Documento trasladado del proceso Análisis Económico y de Riesgos.</w:t>
            </w:r>
          </w:p>
        </w:tc>
      </w:tr>
      <w:tr w:rsidR="003C1BC3" w:rsidRPr="009A7CD4" w14:paraId="2DC5971F" w14:textId="77777777" w:rsidTr="003C1BC3">
        <w:trPr>
          <w:trHeight w:val="365"/>
          <w:jc w:val="center"/>
        </w:trPr>
        <w:tc>
          <w:tcPr>
            <w:tcW w:w="1271" w:type="dxa"/>
            <w:vAlign w:val="center"/>
          </w:tcPr>
          <w:p w14:paraId="51C63E63" w14:textId="6C7E82E7" w:rsidR="003C1BC3" w:rsidRPr="009A7CD4" w:rsidRDefault="003C1BC3" w:rsidP="003C1BC3">
            <w:pPr>
              <w:jc w:val="center"/>
              <w:rPr>
                <w:rFonts w:ascii="Verdana" w:hAnsi="Verdana" w:cs="Arial"/>
                <w:sz w:val="20"/>
                <w:szCs w:val="20"/>
              </w:rPr>
            </w:pPr>
            <w:r w:rsidRPr="009A7CD4">
              <w:rPr>
                <w:rFonts w:ascii="Verdana" w:hAnsi="Verdana" w:cs="Arial"/>
                <w:sz w:val="20"/>
                <w:szCs w:val="20"/>
              </w:rPr>
              <w:t>00</w:t>
            </w:r>
            <w:r w:rsidR="00446B0E" w:rsidRPr="009A7CD4">
              <w:rPr>
                <w:rFonts w:ascii="Verdana" w:hAnsi="Verdana" w:cs="Arial"/>
                <w:sz w:val="20"/>
                <w:szCs w:val="20"/>
              </w:rPr>
              <w:t>2</w:t>
            </w:r>
          </w:p>
        </w:tc>
        <w:tc>
          <w:tcPr>
            <w:tcW w:w="1379" w:type="dxa"/>
            <w:vAlign w:val="center"/>
          </w:tcPr>
          <w:p w14:paraId="3D543CFF" w14:textId="25F52F9F" w:rsidR="003C1BC3" w:rsidRPr="009A7CD4" w:rsidRDefault="005439CA" w:rsidP="003C1BC3">
            <w:pPr>
              <w:jc w:val="center"/>
              <w:rPr>
                <w:rFonts w:ascii="Verdana" w:hAnsi="Verdana"/>
                <w:sz w:val="20"/>
                <w:szCs w:val="20"/>
              </w:rPr>
            </w:pPr>
            <w:r>
              <w:rPr>
                <w:rFonts w:ascii="Verdana" w:hAnsi="Verdana"/>
                <w:sz w:val="20"/>
                <w:szCs w:val="20"/>
              </w:rPr>
              <w:t>24/02/2026</w:t>
            </w:r>
          </w:p>
        </w:tc>
        <w:tc>
          <w:tcPr>
            <w:tcW w:w="6979" w:type="dxa"/>
            <w:vAlign w:val="center"/>
          </w:tcPr>
          <w:p w14:paraId="63B4E517" w14:textId="595E5576" w:rsidR="003C1BC3" w:rsidRPr="009A7CD4" w:rsidRDefault="00953C9C" w:rsidP="007E4E49">
            <w:pPr>
              <w:rPr>
                <w:rFonts w:ascii="Verdana" w:hAnsi="Verdana" w:cs="Arial"/>
                <w:sz w:val="20"/>
                <w:szCs w:val="20"/>
                <w:lang w:val="es-CO"/>
              </w:rPr>
            </w:pPr>
            <w:r w:rsidRPr="009A7CD4">
              <w:rPr>
                <w:rFonts w:ascii="Verdana" w:hAnsi="Verdana" w:cs="Arial"/>
                <w:sz w:val="20"/>
                <w:szCs w:val="20"/>
                <w:lang w:val="es-CO"/>
              </w:rPr>
              <w:t>Se reformulan y concretan las actividades de supervisión que la Superintendencia de Sociedades adelantará para verificar el correcto funcionamiento de este registro y el cumplimiento de las funciones que se le asignaron legal y normativamente, así como las que le corresponden a su administrador CONFECÁMARAS.</w:t>
            </w:r>
          </w:p>
        </w:tc>
      </w:tr>
    </w:tbl>
    <w:p w14:paraId="4BA2E3FA" w14:textId="77777777" w:rsidR="00C061BE" w:rsidRPr="005500F5" w:rsidRDefault="00C061BE" w:rsidP="00C061BE">
      <w:pPr>
        <w:rPr>
          <w:rFonts w:ascii="Verdana" w:hAnsi="Verdana"/>
          <w:sz w:val="22"/>
          <w:szCs w:val="22"/>
        </w:rPr>
      </w:pPr>
    </w:p>
    <w:p w14:paraId="4310CF87" w14:textId="77777777" w:rsidR="00C061BE" w:rsidRPr="005500F5" w:rsidRDefault="00C061BE" w:rsidP="00C061BE">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C061BE" w:rsidRPr="00D760FB" w14:paraId="7AFA6427" w14:textId="77777777" w:rsidTr="005168A6">
        <w:trPr>
          <w:trHeight w:val="270"/>
          <w:jc w:val="center"/>
        </w:trPr>
        <w:tc>
          <w:tcPr>
            <w:tcW w:w="3114" w:type="dxa"/>
            <w:shd w:val="clear" w:color="auto" w:fill="F2DCDB"/>
            <w:vAlign w:val="center"/>
          </w:tcPr>
          <w:p w14:paraId="76F6427C" w14:textId="77777777" w:rsidR="00C061BE" w:rsidRPr="00D760FB" w:rsidRDefault="00C061BE" w:rsidP="005168A6">
            <w:pPr>
              <w:jc w:val="center"/>
              <w:rPr>
                <w:rFonts w:ascii="Verdana" w:hAnsi="Verdana"/>
                <w:b/>
                <w:bCs/>
                <w:sz w:val="18"/>
                <w:szCs w:val="18"/>
              </w:rPr>
            </w:pPr>
            <w:r w:rsidRPr="00D760FB">
              <w:rPr>
                <w:rFonts w:ascii="Verdana" w:hAnsi="Verdana"/>
                <w:b/>
                <w:bCs/>
                <w:sz w:val="18"/>
                <w:szCs w:val="18"/>
              </w:rPr>
              <w:t>Elaboró</w:t>
            </w:r>
          </w:p>
        </w:tc>
        <w:tc>
          <w:tcPr>
            <w:tcW w:w="3260" w:type="dxa"/>
            <w:shd w:val="clear" w:color="auto" w:fill="F2DCDB"/>
            <w:vAlign w:val="center"/>
          </w:tcPr>
          <w:p w14:paraId="60618415" w14:textId="77777777" w:rsidR="00C061BE" w:rsidRPr="00D760FB" w:rsidRDefault="00C061BE" w:rsidP="005168A6">
            <w:pPr>
              <w:jc w:val="center"/>
              <w:rPr>
                <w:rFonts w:ascii="Verdana" w:hAnsi="Verdana"/>
                <w:b/>
                <w:bCs/>
                <w:sz w:val="18"/>
                <w:szCs w:val="18"/>
              </w:rPr>
            </w:pPr>
            <w:r w:rsidRPr="00D760FB">
              <w:rPr>
                <w:rFonts w:ascii="Verdana" w:hAnsi="Verdana"/>
                <w:b/>
                <w:bCs/>
                <w:sz w:val="18"/>
                <w:szCs w:val="18"/>
              </w:rPr>
              <w:t>Revisó</w:t>
            </w:r>
          </w:p>
        </w:tc>
        <w:tc>
          <w:tcPr>
            <w:tcW w:w="3266" w:type="dxa"/>
            <w:shd w:val="clear" w:color="auto" w:fill="F2DCDB"/>
            <w:vAlign w:val="center"/>
          </w:tcPr>
          <w:p w14:paraId="18150F58" w14:textId="3CE749A3" w:rsidR="00C061BE" w:rsidRPr="00D760FB" w:rsidRDefault="00C061BE" w:rsidP="005168A6">
            <w:pPr>
              <w:jc w:val="center"/>
              <w:rPr>
                <w:rFonts w:ascii="Verdana" w:hAnsi="Verdana"/>
                <w:b/>
                <w:bCs/>
                <w:sz w:val="18"/>
                <w:szCs w:val="18"/>
              </w:rPr>
            </w:pPr>
            <w:r w:rsidRPr="00D760FB">
              <w:rPr>
                <w:rFonts w:ascii="Verdana" w:hAnsi="Verdana"/>
                <w:b/>
                <w:bCs/>
                <w:sz w:val="18"/>
                <w:szCs w:val="18"/>
              </w:rPr>
              <w:t xml:space="preserve">Aprobó </w:t>
            </w:r>
          </w:p>
        </w:tc>
      </w:tr>
      <w:tr w:rsidR="00C061BE" w:rsidRPr="00D760FB" w14:paraId="2EC8C8D9" w14:textId="77777777" w:rsidTr="005168A6">
        <w:trPr>
          <w:trHeight w:val="270"/>
          <w:jc w:val="center"/>
        </w:trPr>
        <w:tc>
          <w:tcPr>
            <w:tcW w:w="3114" w:type="dxa"/>
          </w:tcPr>
          <w:p w14:paraId="72E12D6B" w14:textId="4EB486FB" w:rsidR="00C061BE" w:rsidRPr="00D760FB" w:rsidRDefault="00C061BE" w:rsidP="005168A6">
            <w:pPr>
              <w:tabs>
                <w:tab w:val="left" w:pos="1620"/>
              </w:tabs>
              <w:ind w:right="141"/>
              <w:rPr>
                <w:rFonts w:ascii="Verdana" w:hAnsi="Verdana" w:cs="Arial"/>
                <w:sz w:val="18"/>
                <w:szCs w:val="18"/>
              </w:rPr>
            </w:pPr>
            <w:r w:rsidRPr="00D760FB">
              <w:rPr>
                <w:rFonts w:ascii="Verdana" w:hAnsi="Verdana" w:cs="Arial"/>
                <w:sz w:val="18"/>
                <w:szCs w:val="18"/>
              </w:rPr>
              <w:t>Nombre:</w:t>
            </w:r>
            <w:r w:rsidR="00022BBE" w:rsidRPr="00D760FB">
              <w:rPr>
                <w:rFonts w:ascii="Verdana" w:hAnsi="Verdana" w:cs="Arial"/>
                <w:sz w:val="18"/>
                <w:szCs w:val="18"/>
              </w:rPr>
              <w:t xml:space="preserve"> Liliana Durán Janet</w:t>
            </w:r>
          </w:p>
          <w:p w14:paraId="43984873" w14:textId="2C9117CA" w:rsidR="00C061BE" w:rsidRPr="00D760FB" w:rsidRDefault="00C061BE" w:rsidP="005168A6">
            <w:pPr>
              <w:tabs>
                <w:tab w:val="left" w:pos="1620"/>
              </w:tabs>
              <w:ind w:right="141"/>
              <w:rPr>
                <w:rFonts w:ascii="Verdana" w:hAnsi="Verdana" w:cs="Arial"/>
                <w:sz w:val="18"/>
                <w:szCs w:val="18"/>
              </w:rPr>
            </w:pPr>
            <w:r w:rsidRPr="00D760FB">
              <w:rPr>
                <w:rFonts w:ascii="Verdana" w:hAnsi="Verdana" w:cs="Arial"/>
                <w:sz w:val="18"/>
                <w:szCs w:val="18"/>
              </w:rPr>
              <w:t xml:space="preserve">Cargo: </w:t>
            </w:r>
            <w:r w:rsidR="00022BBE" w:rsidRPr="00D760FB">
              <w:rPr>
                <w:rFonts w:ascii="Verdana" w:hAnsi="Verdana" w:cs="Arial"/>
                <w:sz w:val="18"/>
                <w:szCs w:val="18"/>
              </w:rPr>
              <w:t>Coordinadora Grupo de Registros Públicos</w:t>
            </w:r>
          </w:p>
          <w:p w14:paraId="442030E1" w14:textId="3D2483F6" w:rsidR="00C061BE" w:rsidRPr="00D760FB" w:rsidRDefault="00C061BE" w:rsidP="005168A6">
            <w:pPr>
              <w:tabs>
                <w:tab w:val="left" w:pos="1620"/>
              </w:tabs>
              <w:ind w:right="141"/>
              <w:rPr>
                <w:rFonts w:ascii="Verdana" w:hAnsi="Verdana" w:cs="Arial"/>
                <w:sz w:val="18"/>
                <w:szCs w:val="18"/>
              </w:rPr>
            </w:pPr>
            <w:r w:rsidRPr="00D760FB">
              <w:rPr>
                <w:rFonts w:ascii="Verdana" w:hAnsi="Verdana" w:cs="Arial"/>
                <w:sz w:val="18"/>
                <w:szCs w:val="18"/>
              </w:rPr>
              <w:t xml:space="preserve">Fecha: </w:t>
            </w:r>
            <w:r w:rsidR="00022BBE" w:rsidRPr="00D760FB">
              <w:rPr>
                <w:rFonts w:ascii="Verdana" w:hAnsi="Verdana" w:cs="Arial"/>
                <w:sz w:val="18"/>
                <w:szCs w:val="18"/>
              </w:rPr>
              <w:t>29/12/2025</w:t>
            </w:r>
          </w:p>
        </w:tc>
        <w:tc>
          <w:tcPr>
            <w:tcW w:w="3260" w:type="dxa"/>
          </w:tcPr>
          <w:p w14:paraId="21FFFE0F" w14:textId="075B1D01" w:rsidR="00C061BE" w:rsidRPr="00D760FB" w:rsidRDefault="00C061BE" w:rsidP="005168A6">
            <w:pPr>
              <w:tabs>
                <w:tab w:val="left" w:pos="1620"/>
              </w:tabs>
              <w:ind w:right="141"/>
              <w:rPr>
                <w:rFonts w:ascii="Verdana" w:hAnsi="Verdana" w:cs="Arial"/>
                <w:sz w:val="18"/>
                <w:szCs w:val="18"/>
              </w:rPr>
            </w:pPr>
            <w:r w:rsidRPr="00D760FB">
              <w:rPr>
                <w:rFonts w:ascii="Verdana" w:hAnsi="Verdana" w:cs="Arial"/>
                <w:sz w:val="18"/>
                <w:szCs w:val="18"/>
              </w:rPr>
              <w:t>Nombre:</w:t>
            </w:r>
            <w:r w:rsidR="00022BBE" w:rsidRPr="00D760FB">
              <w:rPr>
                <w:rFonts w:ascii="Verdana" w:hAnsi="Verdana" w:cs="Arial"/>
                <w:sz w:val="18"/>
                <w:szCs w:val="18"/>
              </w:rPr>
              <w:t xml:space="preserve"> Ana María Morales</w:t>
            </w:r>
          </w:p>
          <w:p w14:paraId="74C24283" w14:textId="031E9F28" w:rsidR="00C061BE" w:rsidRPr="00D760FB" w:rsidRDefault="00C061BE" w:rsidP="005168A6">
            <w:pPr>
              <w:tabs>
                <w:tab w:val="left" w:pos="1620"/>
              </w:tabs>
              <w:ind w:right="141"/>
              <w:rPr>
                <w:rFonts w:ascii="Verdana" w:hAnsi="Verdana" w:cs="Arial"/>
                <w:sz w:val="18"/>
                <w:szCs w:val="18"/>
              </w:rPr>
            </w:pPr>
            <w:r w:rsidRPr="00D760FB">
              <w:rPr>
                <w:rFonts w:ascii="Verdana" w:hAnsi="Verdana" w:cs="Arial"/>
                <w:sz w:val="18"/>
                <w:szCs w:val="18"/>
              </w:rPr>
              <w:t xml:space="preserve">Cargo: </w:t>
            </w:r>
            <w:proofErr w:type="gramStart"/>
            <w:r w:rsidR="00022BBE" w:rsidRPr="00D760FB">
              <w:rPr>
                <w:rFonts w:ascii="Verdana" w:hAnsi="Verdana" w:cs="Arial"/>
                <w:sz w:val="18"/>
                <w:szCs w:val="18"/>
              </w:rPr>
              <w:t>Directora</w:t>
            </w:r>
            <w:proofErr w:type="gramEnd"/>
            <w:r w:rsidR="00022BBE" w:rsidRPr="00D760FB">
              <w:rPr>
                <w:rFonts w:ascii="Verdana" w:hAnsi="Verdana" w:cs="Arial"/>
                <w:sz w:val="18"/>
                <w:szCs w:val="18"/>
              </w:rPr>
              <w:t xml:space="preserve"> de Supervisión </w:t>
            </w:r>
            <w:r w:rsidR="00E32EC1" w:rsidRPr="00D760FB">
              <w:rPr>
                <w:rFonts w:ascii="Verdana" w:hAnsi="Verdana" w:cs="Arial"/>
                <w:sz w:val="18"/>
                <w:szCs w:val="18"/>
              </w:rPr>
              <w:t>de</w:t>
            </w:r>
            <w:r w:rsidR="00022BBE" w:rsidRPr="00D760FB">
              <w:rPr>
                <w:rFonts w:ascii="Verdana" w:hAnsi="Verdana" w:cs="Arial"/>
                <w:sz w:val="18"/>
                <w:szCs w:val="18"/>
              </w:rPr>
              <w:t xml:space="preserve"> Cámaras de C</w:t>
            </w:r>
            <w:r w:rsidR="00E32EC1" w:rsidRPr="00D760FB">
              <w:rPr>
                <w:rFonts w:ascii="Verdana" w:hAnsi="Verdana" w:cs="Arial"/>
                <w:sz w:val="18"/>
                <w:szCs w:val="18"/>
              </w:rPr>
              <w:t>omercio y sus Registros Públicos</w:t>
            </w:r>
          </w:p>
          <w:p w14:paraId="5B7E9D37" w14:textId="0600493B" w:rsidR="00C061BE" w:rsidRPr="00D760FB" w:rsidRDefault="00C061BE" w:rsidP="005168A6">
            <w:pPr>
              <w:tabs>
                <w:tab w:val="left" w:pos="1620"/>
              </w:tabs>
              <w:ind w:right="141"/>
              <w:rPr>
                <w:rFonts w:ascii="Verdana" w:hAnsi="Verdana" w:cs="Arial"/>
                <w:sz w:val="18"/>
                <w:szCs w:val="18"/>
              </w:rPr>
            </w:pPr>
            <w:r w:rsidRPr="00D760FB">
              <w:rPr>
                <w:rFonts w:ascii="Verdana" w:hAnsi="Verdana" w:cs="Arial"/>
                <w:sz w:val="18"/>
                <w:szCs w:val="18"/>
              </w:rPr>
              <w:t>Fecha:</w:t>
            </w:r>
            <w:r w:rsidR="00192F39" w:rsidRPr="00D760FB">
              <w:rPr>
                <w:rFonts w:ascii="Verdana" w:hAnsi="Verdana" w:cs="Arial"/>
                <w:sz w:val="18"/>
                <w:szCs w:val="18"/>
              </w:rPr>
              <w:t xml:space="preserve"> 08/01/2026</w:t>
            </w:r>
          </w:p>
        </w:tc>
        <w:tc>
          <w:tcPr>
            <w:tcW w:w="3266" w:type="dxa"/>
          </w:tcPr>
          <w:p w14:paraId="23622A1D" w14:textId="6807FD9C" w:rsidR="00C061BE" w:rsidRPr="00D760FB" w:rsidRDefault="00C061BE" w:rsidP="005168A6">
            <w:pPr>
              <w:tabs>
                <w:tab w:val="left" w:pos="1620"/>
              </w:tabs>
              <w:ind w:right="141"/>
              <w:rPr>
                <w:rFonts w:ascii="Verdana" w:hAnsi="Verdana" w:cs="Arial"/>
                <w:sz w:val="18"/>
                <w:szCs w:val="18"/>
              </w:rPr>
            </w:pPr>
            <w:r w:rsidRPr="00D760FB">
              <w:rPr>
                <w:rFonts w:ascii="Verdana" w:hAnsi="Verdana" w:cs="Arial"/>
                <w:sz w:val="18"/>
                <w:szCs w:val="18"/>
              </w:rPr>
              <w:t>Nombre:</w:t>
            </w:r>
            <w:r w:rsidR="00022BBE" w:rsidRPr="00D760FB">
              <w:rPr>
                <w:rFonts w:ascii="Verdana" w:hAnsi="Verdana" w:cs="Arial"/>
                <w:sz w:val="18"/>
                <w:szCs w:val="18"/>
              </w:rPr>
              <w:t xml:space="preserve"> Elsa María López Roca</w:t>
            </w:r>
          </w:p>
          <w:p w14:paraId="07F659EE" w14:textId="522F7507" w:rsidR="00C061BE" w:rsidRPr="00D760FB" w:rsidRDefault="00C061BE" w:rsidP="005168A6">
            <w:pPr>
              <w:tabs>
                <w:tab w:val="left" w:pos="1620"/>
              </w:tabs>
              <w:ind w:right="141"/>
              <w:rPr>
                <w:rFonts w:ascii="Verdana" w:hAnsi="Verdana" w:cs="Arial"/>
                <w:sz w:val="18"/>
                <w:szCs w:val="18"/>
              </w:rPr>
            </w:pPr>
            <w:r w:rsidRPr="00D760FB">
              <w:rPr>
                <w:rFonts w:ascii="Verdana" w:hAnsi="Verdana" w:cs="Arial"/>
                <w:sz w:val="18"/>
                <w:szCs w:val="18"/>
              </w:rPr>
              <w:t xml:space="preserve">Cargo: </w:t>
            </w:r>
            <w:proofErr w:type="gramStart"/>
            <w:r w:rsidR="00022BBE" w:rsidRPr="00D760FB">
              <w:rPr>
                <w:rFonts w:ascii="Verdana" w:hAnsi="Verdana" w:cs="Arial"/>
                <w:sz w:val="18"/>
                <w:szCs w:val="18"/>
              </w:rPr>
              <w:t>Delegada</w:t>
            </w:r>
            <w:proofErr w:type="gramEnd"/>
            <w:r w:rsidR="00022BBE" w:rsidRPr="00D760FB">
              <w:rPr>
                <w:rFonts w:ascii="Verdana" w:hAnsi="Verdana" w:cs="Arial"/>
                <w:sz w:val="18"/>
                <w:szCs w:val="18"/>
              </w:rPr>
              <w:t xml:space="preserve"> de Supervisión Societaria</w:t>
            </w:r>
          </w:p>
          <w:p w14:paraId="10E4A634" w14:textId="54060797" w:rsidR="00C061BE" w:rsidRPr="00D760FB" w:rsidRDefault="00C061BE" w:rsidP="005168A6">
            <w:pPr>
              <w:tabs>
                <w:tab w:val="left" w:pos="1620"/>
              </w:tabs>
              <w:ind w:right="141"/>
              <w:rPr>
                <w:rFonts w:ascii="Verdana" w:hAnsi="Verdana" w:cs="Arial"/>
                <w:sz w:val="18"/>
                <w:szCs w:val="18"/>
              </w:rPr>
            </w:pPr>
            <w:r w:rsidRPr="00D760FB">
              <w:rPr>
                <w:rFonts w:ascii="Verdana" w:hAnsi="Verdana" w:cs="Arial"/>
                <w:sz w:val="18"/>
                <w:szCs w:val="18"/>
              </w:rPr>
              <w:t>Fecha:</w:t>
            </w:r>
            <w:r w:rsidR="00192F39" w:rsidRPr="00D760FB">
              <w:rPr>
                <w:rFonts w:ascii="Verdana" w:hAnsi="Verdana" w:cs="Arial"/>
                <w:sz w:val="18"/>
                <w:szCs w:val="18"/>
              </w:rPr>
              <w:t xml:space="preserve"> </w:t>
            </w:r>
          </w:p>
        </w:tc>
      </w:tr>
    </w:tbl>
    <w:p w14:paraId="67CDE9E6" w14:textId="77777777" w:rsidR="00C061BE" w:rsidRPr="005500F5" w:rsidRDefault="00C061BE" w:rsidP="00C061BE">
      <w:pPr>
        <w:rPr>
          <w:rFonts w:ascii="Verdana" w:hAnsi="Verdana" w:cs="Arial"/>
          <w:b/>
          <w:sz w:val="22"/>
          <w:szCs w:val="22"/>
        </w:rPr>
      </w:pPr>
    </w:p>
    <w:sectPr w:rsidR="00C061BE" w:rsidRPr="005500F5" w:rsidSect="005D3B14">
      <w:headerReference w:type="default" r:id="rId12"/>
      <w:footerReference w:type="default" r:id="rId13"/>
      <w:pgSz w:w="12242" w:h="15842" w:code="119"/>
      <w:pgMar w:top="1418"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EA0E5" w14:textId="77777777" w:rsidR="000668E9" w:rsidRDefault="000668E9">
      <w:r>
        <w:separator/>
      </w:r>
    </w:p>
  </w:endnote>
  <w:endnote w:type="continuationSeparator" w:id="0">
    <w:p w14:paraId="6BB184DE" w14:textId="77777777" w:rsidR="000668E9" w:rsidRDefault="0006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p w14:paraId="7480005A" w14:textId="7B8498DF" w:rsidR="00854835" w:rsidRPr="00854835" w:rsidRDefault="00854835" w:rsidP="00E32EC1">
            <w:pPr>
              <w:pStyle w:val="Piedepgina"/>
              <w:jc w:val="center"/>
              <w:rPr>
                <w:rFonts w:ascii="Verdana" w:hAnsi="Verdana"/>
                <w:sz w:val="16"/>
                <w:szCs w:val="16"/>
              </w:rPr>
            </w:pPr>
          </w:p>
          <w:p w14:paraId="6D9A84B0" w14:textId="77777777"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 xml:space="preserve">Página </w:t>
            </w:r>
            <w:r w:rsidRPr="00854835">
              <w:rPr>
                <w:rFonts w:ascii="Verdana" w:hAnsi="Verdana"/>
                <w:sz w:val="16"/>
                <w:szCs w:val="16"/>
              </w:rPr>
              <w:fldChar w:fldCharType="begin"/>
            </w:r>
            <w:r w:rsidRPr="00854835">
              <w:rPr>
                <w:rFonts w:ascii="Verdana" w:hAnsi="Verdana"/>
                <w:sz w:val="16"/>
                <w:szCs w:val="16"/>
              </w:rPr>
              <w:instrText>PAGE</w:instrText>
            </w:r>
            <w:r w:rsidRPr="00854835">
              <w:rPr>
                <w:rFonts w:ascii="Verdana" w:hAnsi="Verdana"/>
                <w:sz w:val="16"/>
                <w:szCs w:val="16"/>
              </w:rPr>
              <w:fldChar w:fldCharType="separate"/>
            </w:r>
            <w:r w:rsidRPr="00854835">
              <w:rPr>
                <w:rFonts w:ascii="Verdana" w:hAnsi="Verdana"/>
                <w:sz w:val="16"/>
                <w:szCs w:val="16"/>
              </w:rPr>
              <w:t>2</w:t>
            </w:r>
            <w:r w:rsidRPr="00854835">
              <w:rPr>
                <w:rFonts w:ascii="Verdana" w:hAnsi="Verdana"/>
                <w:sz w:val="16"/>
                <w:szCs w:val="16"/>
              </w:rPr>
              <w:fldChar w:fldCharType="end"/>
            </w:r>
            <w:r w:rsidRPr="00854835">
              <w:rPr>
                <w:rFonts w:ascii="Verdana" w:hAnsi="Verdana"/>
                <w:sz w:val="16"/>
                <w:szCs w:val="16"/>
              </w:rPr>
              <w:t xml:space="preserve"> de </w:t>
            </w:r>
            <w:r w:rsidRPr="00854835">
              <w:rPr>
                <w:rFonts w:ascii="Verdana" w:hAnsi="Verdana"/>
                <w:sz w:val="16"/>
                <w:szCs w:val="16"/>
              </w:rPr>
              <w:fldChar w:fldCharType="begin"/>
            </w:r>
            <w:r w:rsidRPr="00854835">
              <w:rPr>
                <w:rFonts w:ascii="Verdana" w:hAnsi="Verdana"/>
                <w:sz w:val="16"/>
                <w:szCs w:val="16"/>
              </w:rPr>
              <w:instrText>NUMPAGES</w:instrText>
            </w:r>
            <w:r w:rsidRPr="00854835">
              <w:rPr>
                <w:rFonts w:ascii="Verdana" w:hAnsi="Verdana"/>
                <w:sz w:val="16"/>
                <w:szCs w:val="16"/>
              </w:rPr>
              <w:fldChar w:fldCharType="separate"/>
            </w:r>
            <w:r w:rsidRPr="00854835">
              <w:rPr>
                <w:rFonts w:ascii="Verdana" w:hAnsi="Verdana"/>
                <w:sz w:val="16"/>
                <w:szCs w:val="16"/>
              </w:rPr>
              <w:t>3</w:t>
            </w:r>
            <w:r w:rsidRPr="00854835">
              <w:rPr>
                <w:rFonts w:ascii="Verdana" w:hAnsi="Verdana"/>
                <w:sz w:val="16"/>
                <w:szCs w:val="16"/>
              </w:rPr>
              <w:fldChar w:fldCharType="end"/>
            </w:r>
          </w:p>
        </w:sdtContent>
      </w:sdt>
    </w:sdtContent>
  </w:sdt>
  <w:p w14:paraId="69057638" w14:textId="77777777" w:rsidR="0027060C" w:rsidRPr="00A5164F" w:rsidRDefault="0027060C">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8E87E" w14:textId="77777777" w:rsidR="000668E9" w:rsidRDefault="000668E9">
      <w:r>
        <w:separator/>
      </w:r>
    </w:p>
  </w:footnote>
  <w:footnote w:type="continuationSeparator" w:id="0">
    <w:p w14:paraId="76DFB3EF" w14:textId="77777777" w:rsidR="000668E9" w:rsidRDefault="00066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C061BE" w:rsidRPr="00E833B8" w14:paraId="00842311" w14:textId="77777777" w:rsidTr="00563A16">
      <w:trPr>
        <w:cantSplit/>
        <w:trHeight w:val="397"/>
        <w:jc w:val="center"/>
      </w:trPr>
      <w:tc>
        <w:tcPr>
          <w:tcW w:w="2405" w:type="dxa"/>
          <w:vMerge w:val="restart"/>
        </w:tcPr>
        <w:p w14:paraId="64BAE4A6" w14:textId="77777777" w:rsidR="00C061BE" w:rsidRPr="00E833B8" w:rsidRDefault="00C061BE" w:rsidP="00C061BE">
          <w:pPr>
            <w:ind w:right="360"/>
            <w:jc w:val="center"/>
            <w:rPr>
              <w:rFonts w:cs="Arial"/>
              <w:sz w:val="18"/>
              <w:szCs w:val="18"/>
              <w:lang w:val="es-MX"/>
            </w:rPr>
          </w:pPr>
          <w:r w:rsidRPr="00E833B8">
            <w:rPr>
              <w:noProof/>
              <w:sz w:val="18"/>
              <w:szCs w:val="18"/>
              <w:lang w:eastAsia="es-CO"/>
            </w:rPr>
            <w:drawing>
              <wp:anchor distT="0" distB="0" distL="114300" distR="114300" simplePos="0" relativeHeight="251668480" behindDoc="1" locked="0" layoutInCell="1" allowOverlap="1" wp14:anchorId="457B574B" wp14:editId="51214260">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0E29748" w14:textId="79BEEC90" w:rsidR="00C061BE" w:rsidRPr="00E833B8" w:rsidRDefault="00C061BE" w:rsidP="00C061B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366FD4">
            <w:rPr>
              <w:rFonts w:ascii="Verdana" w:hAnsi="Verdana" w:cs="Arial"/>
              <w:b/>
              <w:sz w:val="20"/>
              <w:szCs w:val="18"/>
            </w:rPr>
            <w:t>INVESTIGACIONES ADMINISTRATIVAS</w:t>
          </w:r>
        </w:p>
      </w:tc>
      <w:tc>
        <w:tcPr>
          <w:tcW w:w="1560" w:type="dxa"/>
          <w:vAlign w:val="center"/>
        </w:tcPr>
        <w:p w14:paraId="3FD2A356" w14:textId="77777777" w:rsidR="00C061BE" w:rsidRPr="00E833B8" w:rsidRDefault="00C061BE" w:rsidP="00C061BE">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0ED0EF97" w14:textId="5D4B858F" w:rsidR="00C061BE" w:rsidRPr="00F30170" w:rsidRDefault="00366FD4" w:rsidP="00C061BE">
          <w:pPr>
            <w:jc w:val="center"/>
            <w:rPr>
              <w:rFonts w:ascii="Verdana" w:hAnsi="Verdana" w:cs="Arial"/>
              <w:sz w:val="18"/>
              <w:szCs w:val="18"/>
              <w:lang w:val="es-MX"/>
            </w:rPr>
          </w:pPr>
          <w:r w:rsidRPr="00F30170">
            <w:rPr>
              <w:rFonts w:ascii="Verdana" w:hAnsi="Verdana" w:cs="Arial"/>
              <w:sz w:val="20"/>
              <w:szCs w:val="18"/>
            </w:rPr>
            <w:t>IA-PT-001</w:t>
          </w:r>
        </w:p>
      </w:tc>
    </w:tr>
    <w:tr w:rsidR="00C061BE" w:rsidRPr="00E833B8" w14:paraId="7EAD2E4C" w14:textId="77777777" w:rsidTr="00563A16">
      <w:trPr>
        <w:cantSplit/>
        <w:trHeight w:val="397"/>
        <w:jc w:val="center"/>
      </w:trPr>
      <w:tc>
        <w:tcPr>
          <w:tcW w:w="2405" w:type="dxa"/>
          <w:vMerge/>
        </w:tcPr>
        <w:p w14:paraId="6841E0EC" w14:textId="77777777" w:rsidR="00C061BE" w:rsidRPr="00E833B8" w:rsidRDefault="00C061BE" w:rsidP="00C061BE">
          <w:pPr>
            <w:ind w:right="360"/>
            <w:jc w:val="center"/>
            <w:rPr>
              <w:noProof/>
              <w:sz w:val="18"/>
              <w:szCs w:val="18"/>
            </w:rPr>
          </w:pPr>
        </w:p>
      </w:tc>
      <w:tc>
        <w:tcPr>
          <w:tcW w:w="3827" w:type="dxa"/>
          <w:vMerge/>
          <w:vAlign w:val="center"/>
        </w:tcPr>
        <w:p w14:paraId="425E9BD8" w14:textId="77777777" w:rsidR="00C061BE" w:rsidRPr="00E833B8" w:rsidRDefault="00C061BE" w:rsidP="00C061BE">
          <w:pPr>
            <w:jc w:val="center"/>
            <w:rPr>
              <w:rFonts w:ascii="Verdana" w:hAnsi="Verdana" w:cs="Arial"/>
              <w:sz w:val="18"/>
              <w:szCs w:val="18"/>
              <w:lang w:val="es-MX"/>
            </w:rPr>
          </w:pPr>
        </w:p>
      </w:tc>
      <w:tc>
        <w:tcPr>
          <w:tcW w:w="1560" w:type="dxa"/>
          <w:tcBorders>
            <w:bottom w:val="single" w:sz="4" w:space="0" w:color="auto"/>
          </w:tcBorders>
          <w:vAlign w:val="center"/>
        </w:tcPr>
        <w:p w14:paraId="428D982B" w14:textId="77777777" w:rsidR="00C061BE" w:rsidRPr="00E833B8" w:rsidRDefault="00C061BE" w:rsidP="00C061BE">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4D137646" w14:textId="2BBA207C" w:rsidR="00C061BE" w:rsidRPr="00F30170" w:rsidRDefault="00366FD4" w:rsidP="00C061BE">
          <w:pPr>
            <w:jc w:val="center"/>
            <w:rPr>
              <w:rFonts w:ascii="Verdana" w:hAnsi="Verdana" w:cs="Arial"/>
              <w:sz w:val="18"/>
              <w:szCs w:val="18"/>
              <w:lang w:val="es-MX"/>
            </w:rPr>
          </w:pPr>
          <w:r w:rsidRPr="00F30170">
            <w:rPr>
              <w:rFonts w:ascii="Verdana" w:hAnsi="Verdana" w:cs="Arial"/>
              <w:sz w:val="18"/>
              <w:szCs w:val="18"/>
              <w:lang w:val="es-MX"/>
            </w:rPr>
            <w:t>002</w:t>
          </w:r>
        </w:p>
      </w:tc>
    </w:tr>
    <w:tr w:rsidR="00C061BE" w:rsidRPr="00E833B8" w14:paraId="46E0F3CA" w14:textId="77777777" w:rsidTr="00563A16">
      <w:trPr>
        <w:cantSplit/>
        <w:trHeight w:val="397"/>
        <w:jc w:val="center"/>
      </w:trPr>
      <w:tc>
        <w:tcPr>
          <w:tcW w:w="2405" w:type="dxa"/>
          <w:vMerge/>
        </w:tcPr>
        <w:p w14:paraId="54D615C4" w14:textId="77777777" w:rsidR="00C061BE" w:rsidRPr="00E833B8" w:rsidRDefault="00C061BE" w:rsidP="00C061BE">
          <w:pPr>
            <w:rPr>
              <w:rFonts w:ascii="Arial Narrow" w:hAnsi="Arial Narrow"/>
              <w:sz w:val="18"/>
              <w:szCs w:val="18"/>
              <w:lang w:val="es-MX"/>
            </w:rPr>
          </w:pPr>
        </w:p>
      </w:tc>
      <w:tc>
        <w:tcPr>
          <w:tcW w:w="3827" w:type="dxa"/>
          <w:vMerge w:val="restart"/>
          <w:vAlign w:val="center"/>
        </w:tcPr>
        <w:p w14:paraId="340DD94B" w14:textId="1D2B1EF9" w:rsidR="00C061BE" w:rsidRPr="00E833B8" w:rsidRDefault="00366FD4" w:rsidP="00C061BE">
          <w:pPr>
            <w:jc w:val="center"/>
            <w:rPr>
              <w:rFonts w:ascii="Verdana" w:hAnsi="Verdana" w:cs="Arial"/>
              <w:b/>
              <w:bCs/>
              <w:sz w:val="18"/>
              <w:szCs w:val="18"/>
              <w:lang w:val="es-MX"/>
            </w:rPr>
          </w:pPr>
          <w:r w:rsidRPr="004E1741">
            <w:rPr>
              <w:rFonts w:ascii="Verdana" w:hAnsi="Verdana" w:cs="Arial"/>
              <w:b/>
              <w:sz w:val="20"/>
              <w:szCs w:val="18"/>
            </w:rPr>
            <w:t>PROTOCOLO DE SUPERVISIÓN REGISTRO DE GARANTÍAS MOBILIARIAS</w:t>
          </w:r>
        </w:p>
      </w:tc>
      <w:tc>
        <w:tcPr>
          <w:tcW w:w="1560" w:type="dxa"/>
          <w:vAlign w:val="center"/>
        </w:tcPr>
        <w:p w14:paraId="1255EAF7" w14:textId="77777777" w:rsidR="00C061BE" w:rsidRPr="00E833B8" w:rsidRDefault="00C061BE" w:rsidP="00C061BE">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0523BB9C" w14:textId="063820E3" w:rsidR="00C061BE" w:rsidRPr="00F30170" w:rsidRDefault="00FB5F54" w:rsidP="00C061BE">
          <w:pPr>
            <w:jc w:val="center"/>
            <w:rPr>
              <w:rFonts w:ascii="Verdana" w:hAnsi="Verdana" w:cs="Arial"/>
              <w:sz w:val="18"/>
              <w:szCs w:val="18"/>
              <w:lang w:val="es-MX"/>
            </w:rPr>
          </w:pPr>
          <w:r>
            <w:rPr>
              <w:rFonts w:ascii="Verdana" w:hAnsi="Verdana" w:cs="Arial"/>
              <w:sz w:val="18"/>
              <w:szCs w:val="18"/>
              <w:lang w:val="es-MX"/>
            </w:rPr>
            <w:t>24/02/2026</w:t>
          </w:r>
        </w:p>
      </w:tc>
    </w:tr>
    <w:tr w:rsidR="00C061BE" w:rsidRPr="00E833B8" w14:paraId="09EC335E" w14:textId="77777777" w:rsidTr="00563A16">
      <w:trPr>
        <w:cantSplit/>
        <w:trHeight w:val="397"/>
        <w:jc w:val="center"/>
      </w:trPr>
      <w:tc>
        <w:tcPr>
          <w:tcW w:w="2405" w:type="dxa"/>
          <w:vMerge/>
        </w:tcPr>
        <w:p w14:paraId="3EF554FD" w14:textId="77777777" w:rsidR="00C061BE" w:rsidRPr="00E833B8" w:rsidRDefault="00C061BE" w:rsidP="00C061BE">
          <w:pPr>
            <w:rPr>
              <w:rFonts w:ascii="Arial Narrow" w:hAnsi="Arial Narrow"/>
              <w:sz w:val="18"/>
              <w:szCs w:val="18"/>
              <w:lang w:val="es-MX"/>
            </w:rPr>
          </w:pPr>
        </w:p>
      </w:tc>
      <w:tc>
        <w:tcPr>
          <w:tcW w:w="3827" w:type="dxa"/>
          <w:vMerge/>
          <w:vAlign w:val="center"/>
        </w:tcPr>
        <w:p w14:paraId="64CA481F" w14:textId="77777777" w:rsidR="00C061BE" w:rsidRPr="00E833B8" w:rsidRDefault="00C061BE" w:rsidP="00C061BE">
          <w:pPr>
            <w:jc w:val="center"/>
            <w:rPr>
              <w:rFonts w:ascii="Verdana" w:hAnsi="Verdana" w:cs="Arial"/>
              <w:b/>
              <w:bCs/>
              <w:sz w:val="18"/>
              <w:szCs w:val="18"/>
              <w:lang w:val="es-MX"/>
            </w:rPr>
          </w:pPr>
        </w:p>
      </w:tc>
      <w:tc>
        <w:tcPr>
          <w:tcW w:w="1560" w:type="dxa"/>
          <w:vAlign w:val="center"/>
        </w:tcPr>
        <w:p w14:paraId="3F3DC1C7" w14:textId="77777777" w:rsidR="00C061BE" w:rsidRPr="00E833B8" w:rsidRDefault="00C061BE" w:rsidP="00C061BE">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3F3FB414" w14:textId="168EC250" w:rsidR="00C061BE" w:rsidRPr="00F30170" w:rsidRDefault="00C061BE" w:rsidP="00C061BE">
          <w:pPr>
            <w:jc w:val="center"/>
            <w:rPr>
              <w:rFonts w:ascii="Verdana" w:hAnsi="Verdana" w:cs="Arial"/>
              <w:sz w:val="18"/>
              <w:szCs w:val="18"/>
              <w:lang w:val="es-MX"/>
            </w:rPr>
          </w:pPr>
          <w:r w:rsidRPr="00F30170">
            <w:rPr>
              <w:rFonts w:ascii="Verdana" w:hAnsi="Verdana" w:cs="Arial"/>
              <w:sz w:val="18"/>
              <w:szCs w:val="18"/>
              <w:lang w:val="es-MX"/>
            </w:rPr>
            <w:t>Pública</w:t>
          </w:r>
        </w:p>
      </w:tc>
    </w:tr>
  </w:tbl>
  <w:p w14:paraId="1AAC72C0" w14:textId="77777777" w:rsidR="00C061BE" w:rsidRPr="00087EB8" w:rsidRDefault="00C061BE"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219D"/>
    <w:multiLevelType w:val="hybridMultilevel"/>
    <w:tmpl w:val="52E20F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90174B"/>
    <w:multiLevelType w:val="hybridMultilevel"/>
    <w:tmpl w:val="B6FC7D54"/>
    <w:lvl w:ilvl="0" w:tplc="2E90A6B6">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28B5F77"/>
    <w:multiLevelType w:val="hybridMultilevel"/>
    <w:tmpl w:val="4ABEAD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B577EA"/>
    <w:multiLevelType w:val="hybridMultilevel"/>
    <w:tmpl w:val="E6EC836E"/>
    <w:lvl w:ilvl="0" w:tplc="EA0C8BB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D211E40"/>
    <w:multiLevelType w:val="hybridMultilevel"/>
    <w:tmpl w:val="E3DC2F0C"/>
    <w:lvl w:ilvl="0" w:tplc="0F40626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27113174">
    <w:abstractNumId w:val="1"/>
  </w:num>
  <w:num w:numId="2" w16cid:durableId="323094274">
    <w:abstractNumId w:val="5"/>
  </w:num>
  <w:num w:numId="3" w16cid:durableId="236280610">
    <w:abstractNumId w:val="4"/>
  </w:num>
  <w:num w:numId="4" w16cid:durableId="1507406703">
    <w:abstractNumId w:val="3"/>
  </w:num>
  <w:num w:numId="5" w16cid:durableId="88359126">
    <w:abstractNumId w:val="0"/>
  </w:num>
  <w:num w:numId="6" w16cid:durableId="160072074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5BA"/>
    <w:rsid w:val="00007BA7"/>
    <w:rsid w:val="00010343"/>
    <w:rsid w:val="00010876"/>
    <w:rsid w:val="00012B69"/>
    <w:rsid w:val="000203CA"/>
    <w:rsid w:val="00021EEA"/>
    <w:rsid w:val="00022BBE"/>
    <w:rsid w:val="000278E6"/>
    <w:rsid w:val="000317CF"/>
    <w:rsid w:val="0003339A"/>
    <w:rsid w:val="00036CE2"/>
    <w:rsid w:val="000430A2"/>
    <w:rsid w:val="00044B02"/>
    <w:rsid w:val="00045949"/>
    <w:rsid w:val="00052039"/>
    <w:rsid w:val="000560E2"/>
    <w:rsid w:val="000570DE"/>
    <w:rsid w:val="000571BC"/>
    <w:rsid w:val="000573B5"/>
    <w:rsid w:val="00061C60"/>
    <w:rsid w:val="0006314B"/>
    <w:rsid w:val="0006382B"/>
    <w:rsid w:val="000668E9"/>
    <w:rsid w:val="00066B1C"/>
    <w:rsid w:val="00073CC6"/>
    <w:rsid w:val="00082257"/>
    <w:rsid w:val="00082929"/>
    <w:rsid w:val="00084472"/>
    <w:rsid w:val="00086DE6"/>
    <w:rsid w:val="00087EB8"/>
    <w:rsid w:val="0009115C"/>
    <w:rsid w:val="0009123A"/>
    <w:rsid w:val="00096A8A"/>
    <w:rsid w:val="000A055E"/>
    <w:rsid w:val="000A080D"/>
    <w:rsid w:val="000A322E"/>
    <w:rsid w:val="000A3DF8"/>
    <w:rsid w:val="000A7F43"/>
    <w:rsid w:val="000B18C5"/>
    <w:rsid w:val="000B209B"/>
    <w:rsid w:val="000B3528"/>
    <w:rsid w:val="000B441F"/>
    <w:rsid w:val="000C0DD9"/>
    <w:rsid w:val="000C1CF8"/>
    <w:rsid w:val="000C2DA6"/>
    <w:rsid w:val="000C7687"/>
    <w:rsid w:val="000D0B46"/>
    <w:rsid w:val="000E2AD3"/>
    <w:rsid w:val="000E50ED"/>
    <w:rsid w:val="000F3D44"/>
    <w:rsid w:val="000F705F"/>
    <w:rsid w:val="001002A6"/>
    <w:rsid w:val="00111B31"/>
    <w:rsid w:val="00113437"/>
    <w:rsid w:val="001170DB"/>
    <w:rsid w:val="0012086F"/>
    <w:rsid w:val="001210BA"/>
    <w:rsid w:val="0012309F"/>
    <w:rsid w:val="0012395D"/>
    <w:rsid w:val="0012786E"/>
    <w:rsid w:val="00127D5F"/>
    <w:rsid w:val="00131EA7"/>
    <w:rsid w:val="001348FC"/>
    <w:rsid w:val="00137D9E"/>
    <w:rsid w:val="001408BF"/>
    <w:rsid w:val="00141A06"/>
    <w:rsid w:val="00141CC9"/>
    <w:rsid w:val="00145E74"/>
    <w:rsid w:val="00150980"/>
    <w:rsid w:val="001604F1"/>
    <w:rsid w:val="00163037"/>
    <w:rsid w:val="00166EAB"/>
    <w:rsid w:val="0017192E"/>
    <w:rsid w:val="00171A22"/>
    <w:rsid w:val="00176BD5"/>
    <w:rsid w:val="001776C0"/>
    <w:rsid w:val="001832D8"/>
    <w:rsid w:val="00183763"/>
    <w:rsid w:val="0019071E"/>
    <w:rsid w:val="00192F39"/>
    <w:rsid w:val="00195034"/>
    <w:rsid w:val="001953E4"/>
    <w:rsid w:val="00195504"/>
    <w:rsid w:val="001963B5"/>
    <w:rsid w:val="001A1543"/>
    <w:rsid w:val="001A4A18"/>
    <w:rsid w:val="001B2F1B"/>
    <w:rsid w:val="001C2F04"/>
    <w:rsid w:val="001C4EEA"/>
    <w:rsid w:val="001C77C1"/>
    <w:rsid w:val="001D49C2"/>
    <w:rsid w:val="001D74CD"/>
    <w:rsid w:val="001E0280"/>
    <w:rsid w:val="001F0C15"/>
    <w:rsid w:val="001F1D92"/>
    <w:rsid w:val="001F23EA"/>
    <w:rsid w:val="001F7699"/>
    <w:rsid w:val="002030A6"/>
    <w:rsid w:val="00203A96"/>
    <w:rsid w:val="0020538B"/>
    <w:rsid w:val="00206AB3"/>
    <w:rsid w:val="0021331A"/>
    <w:rsid w:val="00215ED2"/>
    <w:rsid w:val="00215F5F"/>
    <w:rsid w:val="0021664E"/>
    <w:rsid w:val="00216D57"/>
    <w:rsid w:val="00217EB8"/>
    <w:rsid w:val="00222BB2"/>
    <w:rsid w:val="00227592"/>
    <w:rsid w:val="00227793"/>
    <w:rsid w:val="00231B62"/>
    <w:rsid w:val="002346A9"/>
    <w:rsid w:val="00234D1C"/>
    <w:rsid w:val="00241B3A"/>
    <w:rsid w:val="00242C52"/>
    <w:rsid w:val="0024361E"/>
    <w:rsid w:val="00243C17"/>
    <w:rsid w:val="00245ACA"/>
    <w:rsid w:val="0025145E"/>
    <w:rsid w:val="00252E3A"/>
    <w:rsid w:val="002561CD"/>
    <w:rsid w:val="00256902"/>
    <w:rsid w:val="00264163"/>
    <w:rsid w:val="00264792"/>
    <w:rsid w:val="0026776C"/>
    <w:rsid w:val="0027060C"/>
    <w:rsid w:val="0027172F"/>
    <w:rsid w:val="00283445"/>
    <w:rsid w:val="0029321F"/>
    <w:rsid w:val="002A4E1C"/>
    <w:rsid w:val="002A53F3"/>
    <w:rsid w:val="002A5C26"/>
    <w:rsid w:val="002B6CC5"/>
    <w:rsid w:val="002C1530"/>
    <w:rsid w:val="002C2592"/>
    <w:rsid w:val="002C7BF4"/>
    <w:rsid w:val="002C7DBE"/>
    <w:rsid w:val="002D057A"/>
    <w:rsid w:val="002D2DAF"/>
    <w:rsid w:val="002D4085"/>
    <w:rsid w:val="002E1AD8"/>
    <w:rsid w:val="002E60BF"/>
    <w:rsid w:val="002F2AC6"/>
    <w:rsid w:val="002F3329"/>
    <w:rsid w:val="002F5176"/>
    <w:rsid w:val="002F7423"/>
    <w:rsid w:val="003033AC"/>
    <w:rsid w:val="00303C5A"/>
    <w:rsid w:val="003058A9"/>
    <w:rsid w:val="003062A0"/>
    <w:rsid w:val="0030752C"/>
    <w:rsid w:val="00307FE6"/>
    <w:rsid w:val="003124CB"/>
    <w:rsid w:val="00312555"/>
    <w:rsid w:val="00313560"/>
    <w:rsid w:val="00316FBB"/>
    <w:rsid w:val="0032076E"/>
    <w:rsid w:val="003253FB"/>
    <w:rsid w:val="00327877"/>
    <w:rsid w:val="00335AE3"/>
    <w:rsid w:val="00336A1D"/>
    <w:rsid w:val="00340B86"/>
    <w:rsid w:val="00342EE6"/>
    <w:rsid w:val="003500A6"/>
    <w:rsid w:val="0035013A"/>
    <w:rsid w:val="00355F4B"/>
    <w:rsid w:val="00356A97"/>
    <w:rsid w:val="00361711"/>
    <w:rsid w:val="00362AF2"/>
    <w:rsid w:val="00366FD4"/>
    <w:rsid w:val="0037085A"/>
    <w:rsid w:val="00377241"/>
    <w:rsid w:val="00377BDA"/>
    <w:rsid w:val="003815C2"/>
    <w:rsid w:val="0038515F"/>
    <w:rsid w:val="003860B3"/>
    <w:rsid w:val="0039147C"/>
    <w:rsid w:val="00392246"/>
    <w:rsid w:val="003A15AF"/>
    <w:rsid w:val="003A1A1A"/>
    <w:rsid w:val="003A28FC"/>
    <w:rsid w:val="003A313A"/>
    <w:rsid w:val="003A3628"/>
    <w:rsid w:val="003A55E8"/>
    <w:rsid w:val="003A6222"/>
    <w:rsid w:val="003A6B71"/>
    <w:rsid w:val="003A6E84"/>
    <w:rsid w:val="003A6F40"/>
    <w:rsid w:val="003B0C7C"/>
    <w:rsid w:val="003B2B6A"/>
    <w:rsid w:val="003B2D1F"/>
    <w:rsid w:val="003B5780"/>
    <w:rsid w:val="003C1BC3"/>
    <w:rsid w:val="003C1F7B"/>
    <w:rsid w:val="003C28A7"/>
    <w:rsid w:val="003C34B8"/>
    <w:rsid w:val="003C6692"/>
    <w:rsid w:val="003C6B34"/>
    <w:rsid w:val="003C6C7F"/>
    <w:rsid w:val="003D2945"/>
    <w:rsid w:val="003D43DC"/>
    <w:rsid w:val="003D4D27"/>
    <w:rsid w:val="003E055B"/>
    <w:rsid w:val="003E105E"/>
    <w:rsid w:val="003E166C"/>
    <w:rsid w:val="003E28FD"/>
    <w:rsid w:val="003E4874"/>
    <w:rsid w:val="003E6051"/>
    <w:rsid w:val="003E60BC"/>
    <w:rsid w:val="003F1B70"/>
    <w:rsid w:val="003F3C71"/>
    <w:rsid w:val="003F511C"/>
    <w:rsid w:val="003F602F"/>
    <w:rsid w:val="00403FBD"/>
    <w:rsid w:val="004073DB"/>
    <w:rsid w:val="00413021"/>
    <w:rsid w:val="0041733F"/>
    <w:rsid w:val="0041740A"/>
    <w:rsid w:val="00417579"/>
    <w:rsid w:val="00422AA4"/>
    <w:rsid w:val="00432189"/>
    <w:rsid w:val="00433A85"/>
    <w:rsid w:val="00433C35"/>
    <w:rsid w:val="00444291"/>
    <w:rsid w:val="00446B0E"/>
    <w:rsid w:val="004520D1"/>
    <w:rsid w:val="0045227F"/>
    <w:rsid w:val="00454308"/>
    <w:rsid w:val="00457870"/>
    <w:rsid w:val="00466AA5"/>
    <w:rsid w:val="00471817"/>
    <w:rsid w:val="004777E3"/>
    <w:rsid w:val="00477ACE"/>
    <w:rsid w:val="00483C8A"/>
    <w:rsid w:val="00483CE8"/>
    <w:rsid w:val="0048569C"/>
    <w:rsid w:val="00486FDE"/>
    <w:rsid w:val="00491B58"/>
    <w:rsid w:val="00492488"/>
    <w:rsid w:val="00495F1F"/>
    <w:rsid w:val="004A2639"/>
    <w:rsid w:val="004A29A3"/>
    <w:rsid w:val="004A4D34"/>
    <w:rsid w:val="004A63E4"/>
    <w:rsid w:val="004A6417"/>
    <w:rsid w:val="004A6754"/>
    <w:rsid w:val="004A7050"/>
    <w:rsid w:val="004A741B"/>
    <w:rsid w:val="004A7D5C"/>
    <w:rsid w:val="004B4F1E"/>
    <w:rsid w:val="004B72DB"/>
    <w:rsid w:val="004B786C"/>
    <w:rsid w:val="004C0145"/>
    <w:rsid w:val="004C02E7"/>
    <w:rsid w:val="004C40E9"/>
    <w:rsid w:val="004D0DEE"/>
    <w:rsid w:val="004D184F"/>
    <w:rsid w:val="004D1A27"/>
    <w:rsid w:val="004E1AFE"/>
    <w:rsid w:val="004E5BD9"/>
    <w:rsid w:val="004F0324"/>
    <w:rsid w:val="004F06CF"/>
    <w:rsid w:val="004F0C56"/>
    <w:rsid w:val="004F16B1"/>
    <w:rsid w:val="004F2A3F"/>
    <w:rsid w:val="00507242"/>
    <w:rsid w:val="005079D5"/>
    <w:rsid w:val="00513E0F"/>
    <w:rsid w:val="0051423A"/>
    <w:rsid w:val="005146F4"/>
    <w:rsid w:val="00516269"/>
    <w:rsid w:val="00516EC5"/>
    <w:rsid w:val="00517035"/>
    <w:rsid w:val="00520172"/>
    <w:rsid w:val="00521527"/>
    <w:rsid w:val="00522F31"/>
    <w:rsid w:val="00523F2D"/>
    <w:rsid w:val="005256D2"/>
    <w:rsid w:val="00525717"/>
    <w:rsid w:val="00532529"/>
    <w:rsid w:val="00532682"/>
    <w:rsid w:val="00536D34"/>
    <w:rsid w:val="005373A5"/>
    <w:rsid w:val="005376BC"/>
    <w:rsid w:val="00540280"/>
    <w:rsid w:val="00541531"/>
    <w:rsid w:val="005439CA"/>
    <w:rsid w:val="005447ED"/>
    <w:rsid w:val="00546551"/>
    <w:rsid w:val="005500F5"/>
    <w:rsid w:val="005567C6"/>
    <w:rsid w:val="0056117D"/>
    <w:rsid w:val="00562955"/>
    <w:rsid w:val="00563A16"/>
    <w:rsid w:val="005675B2"/>
    <w:rsid w:val="0057644D"/>
    <w:rsid w:val="005814EB"/>
    <w:rsid w:val="00581D03"/>
    <w:rsid w:val="005822D1"/>
    <w:rsid w:val="00583A4B"/>
    <w:rsid w:val="005855B9"/>
    <w:rsid w:val="00591135"/>
    <w:rsid w:val="005914AF"/>
    <w:rsid w:val="00592A19"/>
    <w:rsid w:val="00597D2B"/>
    <w:rsid w:val="005A497D"/>
    <w:rsid w:val="005B2AD1"/>
    <w:rsid w:val="005B5467"/>
    <w:rsid w:val="005C26E2"/>
    <w:rsid w:val="005C2957"/>
    <w:rsid w:val="005C41BD"/>
    <w:rsid w:val="005C688F"/>
    <w:rsid w:val="005D3B14"/>
    <w:rsid w:val="005D4D0A"/>
    <w:rsid w:val="005D5EE5"/>
    <w:rsid w:val="005E0CE0"/>
    <w:rsid w:val="005E0F9C"/>
    <w:rsid w:val="005E3269"/>
    <w:rsid w:val="005E356C"/>
    <w:rsid w:val="005E4C64"/>
    <w:rsid w:val="005F3922"/>
    <w:rsid w:val="005F4932"/>
    <w:rsid w:val="006033CF"/>
    <w:rsid w:val="0061241A"/>
    <w:rsid w:val="00612D4F"/>
    <w:rsid w:val="00613614"/>
    <w:rsid w:val="00614613"/>
    <w:rsid w:val="00614B97"/>
    <w:rsid w:val="00623005"/>
    <w:rsid w:val="00625DD5"/>
    <w:rsid w:val="006314B2"/>
    <w:rsid w:val="00631A1A"/>
    <w:rsid w:val="00632444"/>
    <w:rsid w:val="006324F9"/>
    <w:rsid w:val="0063481E"/>
    <w:rsid w:val="00635DFB"/>
    <w:rsid w:val="006403B4"/>
    <w:rsid w:val="006427E4"/>
    <w:rsid w:val="0064520D"/>
    <w:rsid w:val="0065053E"/>
    <w:rsid w:val="00654560"/>
    <w:rsid w:val="0065543D"/>
    <w:rsid w:val="00660722"/>
    <w:rsid w:val="00662CE1"/>
    <w:rsid w:val="006709FF"/>
    <w:rsid w:val="006729DD"/>
    <w:rsid w:val="00672E48"/>
    <w:rsid w:val="0068148D"/>
    <w:rsid w:val="006834B2"/>
    <w:rsid w:val="00683787"/>
    <w:rsid w:val="006901F7"/>
    <w:rsid w:val="0069121D"/>
    <w:rsid w:val="00691586"/>
    <w:rsid w:val="00694A1C"/>
    <w:rsid w:val="00695BF1"/>
    <w:rsid w:val="006A706F"/>
    <w:rsid w:val="006A744B"/>
    <w:rsid w:val="006B68C6"/>
    <w:rsid w:val="006C05F3"/>
    <w:rsid w:val="006C5530"/>
    <w:rsid w:val="006D17C9"/>
    <w:rsid w:val="006D3E68"/>
    <w:rsid w:val="006D5F0F"/>
    <w:rsid w:val="006D6094"/>
    <w:rsid w:val="006E1F28"/>
    <w:rsid w:val="006F04D4"/>
    <w:rsid w:val="006F309E"/>
    <w:rsid w:val="006F3CED"/>
    <w:rsid w:val="006F4830"/>
    <w:rsid w:val="006F7352"/>
    <w:rsid w:val="006F7491"/>
    <w:rsid w:val="0070079D"/>
    <w:rsid w:val="00704A8A"/>
    <w:rsid w:val="00705A10"/>
    <w:rsid w:val="00707474"/>
    <w:rsid w:val="007125F4"/>
    <w:rsid w:val="007151F2"/>
    <w:rsid w:val="007208EB"/>
    <w:rsid w:val="00722DAC"/>
    <w:rsid w:val="007234B1"/>
    <w:rsid w:val="00733A67"/>
    <w:rsid w:val="0073758F"/>
    <w:rsid w:val="00741959"/>
    <w:rsid w:val="00745B2A"/>
    <w:rsid w:val="00747C1E"/>
    <w:rsid w:val="0075042D"/>
    <w:rsid w:val="0075147B"/>
    <w:rsid w:val="00752A49"/>
    <w:rsid w:val="0075412E"/>
    <w:rsid w:val="00762378"/>
    <w:rsid w:val="007726E1"/>
    <w:rsid w:val="00776C93"/>
    <w:rsid w:val="00776CF2"/>
    <w:rsid w:val="00777454"/>
    <w:rsid w:val="007816AE"/>
    <w:rsid w:val="00782898"/>
    <w:rsid w:val="00783BFA"/>
    <w:rsid w:val="007852AD"/>
    <w:rsid w:val="007855AB"/>
    <w:rsid w:val="0079049E"/>
    <w:rsid w:val="00797922"/>
    <w:rsid w:val="007A0964"/>
    <w:rsid w:val="007A127C"/>
    <w:rsid w:val="007A1645"/>
    <w:rsid w:val="007A4996"/>
    <w:rsid w:val="007A594C"/>
    <w:rsid w:val="007B1ACB"/>
    <w:rsid w:val="007B6407"/>
    <w:rsid w:val="007B712F"/>
    <w:rsid w:val="007B7E97"/>
    <w:rsid w:val="007C1003"/>
    <w:rsid w:val="007C61DD"/>
    <w:rsid w:val="007D4D96"/>
    <w:rsid w:val="007D52F5"/>
    <w:rsid w:val="007D5A3C"/>
    <w:rsid w:val="007E07E8"/>
    <w:rsid w:val="007E0E9A"/>
    <w:rsid w:val="007E4E49"/>
    <w:rsid w:val="007E67D9"/>
    <w:rsid w:val="007F087B"/>
    <w:rsid w:val="00800675"/>
    <w:rsid w:val="0080123E"/>
    <w:rsid w:val="00804E44"/>
    <w:rsid w:val="00807710"/>
    <w:rsid w:val="008121FE"/>
    <w:rsid w:val="00815623"/>
    <w:rsid w:val="00824A79"/>
    <w:rsid w:val="00832EA6"/>
    <w:rsid w:val="008330E6"/>
    <w:rsid w:val="00834D1A"/>
    <w:rsid w:val="008409B1"/>
    <w:rsid w:val="00840DF4"/>
    <w:rsid w:val="00842177"/>
    <w:rsid w:val="008470A0"/>
    <w:rsid w:val="00851059"/>
    <w:rsid w:val="0085425C"/>
    <w:rsid w:val="0085461B"/>
    <w:rsid w:val="00854835"/>
    <w:rsid w:val="00857E7C"/>
    <w:rsid w:val="0086144A"/>
    <w:rsid w:val="008624ED"/>
    <w:rsid w:val="00863EEC"/>
    <w:rsid w:val="00870923"/>
    <w:rsid w:val="00875A17"/>
    <w:rsid w:val="00876F7C"/>
    <w:rsid w:val="008773D0"/>
    <w:rsid w:val="0087749D"/>
    <w:rsid w:val="00880AB7"/>
    <w:rsid w:val="0088176A"/>
    <w:rsid w:val="00882DAA"/>
    <w:rsid w:val="008842AB"/>
    <w:rsid w:val="00886EE1"/>
    <w:rsid w:val="00891303"/>
    <w:rsid w:val="00893801"/>
    <w:rsid w:val="008A42C8"/>
    <w:rsid w:val="008A4CCB"/>
    <w:rsid w:val="008A558C"/>
    <w:rsid w:val="008A597D"/>
    <w:rsid w:val="008A734C"/>
    <w:rsid w:val="008B6AC1"/>
    <w:rsid w:val="008B786A"/>
    <w:rsid w:val="008C192D"/>
    <w:rsid w:val="008C2CD7"/>
    <w:rsid w:val="008C50A6"/>
    <w:rsid w:val="008C7A9D"/>
    <w:rsid w:val="008C7EF9"/>
    <w:rsid w:val="008D75B5"/>
    <w:rsid w:val="008E1312"/>
    <w:rsid w:val="008E6ACC"/>
    <w:rsid w:val="008E6C8A"/>
    <w:rsid w:val="008F1E27"/>
    <w:rsid w:val="008F4F0C"/>
    <w:rsid w:val="008F56C2"/>
    <w:rsid w:val="008F73EB"/>
    <w:rsid w:val="009007AD"/>
    <w:rsid w:val="0090254D"/>
    <w:rsid w:val="00905D27"/>
    <w:rsid w:val="00907237"/>
    <w:rsid w:val="009121DA"/>
    <w:rsid w:val="009125E0"/>
    <w:rsid w:val="00915792"/>
    <w:rsid w:val="0091619A"/>
    <w:rsid w:val="00917885"/>
    <w:rsid w:val="009204FF"/>
    <w:rsid w:val="009229A3"/>
    <w:rsid w:val="00922A06"/>
    <w:rsid w:val="0092626D"/>
    <w:rsid w:val="0092640F"/>
    <w:rsid w:val="00927F6F"/>
    <w:rsid w:val="00927FA5"/>
    <w:rsid w:val="0093528C"/>
    <w:rsid w:val="009370F4"/>
    <w:rsid w:val="00937DFB"/>
    <w:rsid w:val="009415ED"/>
    <w:rsid w:val="0095238D"/>
    <w:rsid w:val="00953C9C"/>
    <w:rsid w:val="00955C1C"/>
    <w:rsid w:val="009561AF"/>
    <w:rsid w:val="009608BA"/>
    <w:rsid w:val="00961F13"/>
    <w:rsid w:val="0096788A"/>
    <w:rsid w:val="00967A55"/>
    <w:rsid w:val="00971164"/>
    <w:rsid w:val="009718FD"/>
    <w:rsid w:val="009739FE"/>
    <w:rsid w:val="00974DE0"/>
    <w:rsid w:val="0097602E"/>
    <w:rsid w:val="00977E35"/>
    <w:rsid w:val="00980142"/>
    <w:rsid w:val="00983DCE"/>
    <w:rsid w:val="00984BB7"/>
    <w:rsid w:val="009853F1"/>
    <w:rsid w:val="00986614"/>
    <w:rsid w:val="0098771C"/>
    <w:rsid w:val="00990864"/>
    <w:rsid w:val="00991102"/>
    <w:rsid w:val="00994A9A"/>
    <w:rsid w:val="009A0F7D"/>
    <w:rsid w:val="009A7CD4"/>
    <w:rsid w:val="009B5D2C"/>
    <w:rsid w:val="009B66C6"/>
    <w:rsid w:val="009B68AA"/>
    <w:rsid w:val="009C4946"/>
    <w:rsid w:val="009D10F5"/>
    <w:rsid w:val="009D6105"/>
    <w:rsid w:val="009D7959"/>
    <w:rsid w:val="009E4209"/>
    <w:rsid w:val="009E7448"/>
    <w:rsid w:val="009F0DB0"/>
    <w:rsid w:val="009F1121"/>
    <w:rsid w:val="009F1B6D"/>
    <w:rsid w:val="009F3F82"/>
    <w:rsid w:val="009F6099"/>
    <w:rsid w:val="00A044BB"/>
    <w:rsid w:val="00A04765"/>
    <w:rsid w:val="00A064A4"/>
    <w:rsid w:val="00A13F34"/>
    <w:rsid w:val="00A16E2E"/>
    <w:rsid w:val="00A17752"/>
    <w:rsid w:val="00A214AD"/>
    <w:rsid w:val="00A23104"/>
    <w:rsid w:val="00A2622C"/>
    <w:rsid w:val="00A33A72"/>
    <w:rsid w:val="00A406E7"/>
    <w:rsid w:val="00A40C90"/>
    <w:rsid w:val="00A41D67"/>
    <w:rsid w:val="00A422CD"/>
    <w:rsid w:val="00A42575"/>
    <w:rsid w:val="00A438B5"/>
    <w:rsid w:val="00A441E5"/>
    <w:rsid w:val="00A454F4"/>
    <w:rsid w:val="00A5164F"/>
    <w:rsid w:val="00A5272C"/>
    <w:rsid w:val="00A6053A"/>
    <w:rsid w:val="00A67242"/>
    <w:rsid w:val="00A70523"/>
    <w:rsid w:val="00A71C95"/>
    <w:rsid w:val="00A72906"/>
    <w:rsid w:val="00A7648C"/>
    <w:rsid w:val="00A80DCD"/>
    <w:rsid w:val="00A84697"/>
    <w:rsid w:val="00A90136"/>
    <w:rsid w:val="00A9124E"/>
    <w:rsid w:val="00A917EE"/>
    <w:rsid w:val="00A92779"/>
    <w:rsid w:val="00A9393F"/>
    <w:rsid w:val="00A952A7"/>
    <w:rsid w:val="00A96763"/>
    <w:rsid w:val="00AA2429"/>
    <w:rsid w:val="00AA5FB4"/>
    <w:rsid w:val="00AA6FFC"/>
    <w:rsid w:val="00AA7098"/>
    <w:rsid w:val="00AB0591"/>
    <w:rsid w:val="00AB6577"/>
    <w:rsid w:val="00AB7A37"/>
    <w:rsid w:val="00AC0246"/>
    <w:rsid w:val="00AC0DA0"/>
    <w:rsid w:val="00AC1498"/>
    <w:rsid w:val="00AC2D1D"/>
    <w:rsid w:val="00AC466F"/>
    <w:rsid w:val="00AC52B2"/>
    <w:rsid w:val="00AD65D8"/>
    <w:rsid w:val="00AD6C2A"/>
    <w:rsid w:val="00AE159A"/>
    <w:rsid w:val="00AE4AFB"/>
    <w:rsid w:val="00AE5F21"/>
    <w:rsid w:val="00AE7176"/>
    <w:rsid w:val="00AF01DA"/>
    <w:rsid w:val="00AF1556"/>
    <w:rsid w:val="00AF2A3D"/>
    <w:rsid w:val="00AF3294"/>
    <w:rsid w:val="00AF4B3A"/>
    <w:rsid w:val="00AF539F"/>
    <w:rsid w:val="00AF6EEB"/>
    <w:rsid w:val="00AF790E"/>
    <w:rsid w:val="00B03D59"/>
    <w:rsid w:val="00B04D25"/>
    <w:rsid w:val="00B0548C"/>
    <w:rsid w:val="00B06E7F"/>
    <w:rsid w:val="00B10A0A"/>
    <w:rsid w:val="00B10BB6"/>
    <w:rsid w:val="00B13891"/>
    <w:rsid w:val="00B15B20"/>
    <w:rsid w:val="00B17813"/>
    <w:rsid w:val="00B20444"/>
    <w:rsid w:val="00B22E4A"/>
    <w:rsid w:val="00B274B8"/>
    <w:rsid w:val="00B30E57"/>
    <w:rsid w:val="00B314AC"/>
    <w:rsid w:val="00B328CD"/>
    <w:rsid w:val="00B33B85"/>
    <w:rsid w:val="00B37BEA"/>
    <w:rsid w:val="00B46E7A"/>
    <w:rsid w:val="00B4731A"/>
    <w:rsid w:val="00B60D35"/>
    <w:rsid w:val="00B62E26"/>
    <w:rsid w:val="00B6496F"/>
    <w:rsid w:val="00B712FB"/>
    <w:rsid w:val="00B81DCC"/>
    <w:rsid w:val="00B82BE2"/>
    <w:rsid w:val="00B87345"/>
    <w:rsid w:val="00B934E0"/>
    <w:rsid w:val="00B950B8"/>
    <w:rsid w:val="00B958D2"/>
    <w:rsid w:val="00B960F8"/>
    <w:rsid w:val="00B96ED4"/>
    <w:rsid w:val="00BA1B9F"/>
    <w:rsid w:val="00BA65A3"/>
    <w:rsid w:val="00BA73D2"/>
    <w:rsid w:val="00BB4E86"/>
    <w:rsid w:val="00BC76F1"/>
    <w:rsid w:val="00BD38AD"/>
    <w:rsid w:val="00BD7238"/>
    <w:rsid w:val="00BE06A7"/>
    <w:rsid w:val="00BE20C0"/>
    <w:rsid w:val="00BE264A"/>
    <w:rsid w:val="00BE3091"/>
    <w:rsid w:val="00BE5177"/>
    <w:rsid w:val="00BE5F23"/>
    <w:rsid w:val="00BF0BDD"/>
    <w:rsid w:val="00BF1150"/>
    <w:rsid w:val="00BF7026"/>
    <w:rsid w:val="00C00833"/>
    <w:rsid w:val="00C03E23"/>
    <w:rsid w:val="00C048BA"/>
    <w:rsid w:val="00C061BE"/>
    <w:rsid w:val="00C1662E"/>
    <w:rsid w:val="00C17531"/>
    <w:rsid w:val="00C24516"/>
    <w:rsid w:val="00C2560C"/>
    <w:rsid w:val="00C259F3"/>
    <w:rsid w:val="00C26521"/>
    <w:rsid w:val="00C27A4B"/>
    <w:rsid w:val="00C32B8C"/>
    <w:rsid w:val="00C3415F"/>
    <w:rsid w:val="00C367E7"/>
    <w:rsid w:val="00C36BFD"/>
    <w:rsid w:val="00C36DC1"/>
    <w:rsid w:val="00C408AE"/>
    <w:rsid w:val="00C40ED9"/>
    <w:rsid w:val="00C43C1B"/>
    <w:rsid w:val="00C44471"/>
    <w:rsid w:val="00C44C1E"/>
    <w:rsid w:val="00C45DE3"/>
    <w:rsid w:val="00C62153"/>
    <w:rsid w:val="00C65B9D"/>
    <w:rsid w:val="00C6617D"/>
    <w:rsid w:val="00C75611"/>
    <w:rsid w:val="00C76E87"/>
    <w:rsid w:val="00C775B5"/>
    <w:rsid w:val="00C8099C"/>
    <w:rsid w:val="00C811C0"/>
    <w:rsid w:val="00C836E4"/>
    <w:rsid w:val="00C83F57"/>
    <w:rsid w:val="00C8424B"/>
    <w:rsid w:val="00C85FD3"/>
    <w:rsid w:val="00C873D1"/>
    <w:rsid w:val="00C87CF9"/>
    <w:rsid w:val="00C90585"/>
    <w:rsid w:val="00C91B3B"/>
    <w:rsid w:val="00C9272D"/>
    <w:rsid w:val="00C9318E"/>
    <w:rsid w:val="00C97896"/>
    <w:rsid w:val="00CA4BAA"/>
    <w:rsid w:val="00CB08FE"/>
    <w:rsid w:val="00CB2C51"/>
    <w:rsid w:val="00CB50C0"/>
    <w:rsid w:val="00CB5757"/>
    <w:rsid w:val="00CB7968"/>
    <w:rsid w:val="00CB7FAD"/>
    <w:rsid w:val="00CC2ECA"/>
    <w:rsid w:val="00CD01C7"/>
    <w:rsid w:val="00CD63C9"/>
    <w:rsid w:val="00CD76DF"/>
    <w:rsid w:val="00CE2058"/>
    <w:rsid w:val="00CE29CD"/>
    <w:rsid w:val="00CE6B1C"/>
    <w:rsid w:val="00CE6DA0"/>
    <w:rsid w:val="00CF0C7B"/>
    <w:rsid w:val="00CF0E64"/>
    <w:rsid w:val="00CF1489"/>
    <w:rsid w:val="00CF28B2"/>
    <w:rsid w:val="00CF2C3D"/>
    <w:rsid w:val="00CF3C19"/>
    <w:rsid w:val="00CF4A3C"/>
    <w:rsid w:val="00CF4B0A"/>
    <w:rsid w:val="00D0021C"/>
    <w:rsid w:val="00D02BAC"/>
    <w:rsid w:val="00D12E59"/>
    <w:rsid w:val="00D14B3D"/>
    <w:rsid w:val="00D16AB3"/>
    <w:rsid w:val="00D21B3F"/>
    <w:rsid w:val="00D2476C"/>
    <w:rsid w:val="00D2493A"/>
    <w:rsid w:val="00D265A6"/>
    <w:rsid w:val="00D26D48"/>
    <w:rsid w:val="00D3171A"/>
    <w:rsid w:val="00D32F2B"/>
    <w:rsid w:val="00D3393A"/>
    <w:rsid w:val="00D34630"/>
    <w:rsid w:val="00D37F5E"/>
    <w:rsid w:val="00D4199D"/>
    <w:rsid w:val="00D43DC1"/>
    <w:rsid w:val="00D50772"/>
    <w:rsid w:val="00D50D51"/>
    <w:rsid w:val="00D54FCF"/>
    <w:rsid w:val="00D55DAD"/>
    <w:rsid w:val="00D5717D"/>
    <w:rsid w:val="00D67A4F"/>
    <w:rsid w:val="00D751AC"/>
    <w:rsid w:val="00D760FB"/>
    <w:rsid w:val="00D80387"/>
    <w:rsid w:val="00D81E6A"/>
    <w:rsid w:val="00D82935"/>
    <w:rsid w:val="00D82F8A"/>
    <w:rsid w:val="00D8406D"/>
    <w:rsid w:val="00D843E3"/>
    <w:rsid w:val="00D867A7"/>
    <w:rsid w:val="00D90620"/>
    <w:rsid w:val="00D93671"/>
    <w:rsid w:val="00D9622F"/>
    <w:rsid w:val="00D9789B"/>
    <w:rsid w:val="00D97B79"/>
    <w:rsid w:val="00DA03C6"/>
    <w:rsid w:val="00DA150C"/>
    <w:rsid w:val="00DA5DBC"/>
    <w:rsid w:val="00DA6EE6"/>
    <w:rsid w:val="00DA6FB0"/>
    <w:rsid w:val="00DA702C"/>
    <w:rsid w:val="00DA7C55"/>
    <w:rsid w:val="00DB70B6"/>
    <w:rsid w:val="00DC08AB"/>
    <w:rsid w:val="00DC0BE1"/>
    <w:rsid w:val="00DC220F"/>
    <w:rsid w:val="00DC2383"/>
    <w:rsid w:val="00DC306A"/>
    <w:rsid w:val="00DC39D0"/>
    <w:rsid w:val="00DC5F2F"/>
    <w:rsid w:val="00DC7A9C"/>
    <w:rsid w:val="00DD20FA"/>
    <w:rsid w:val="00DD2561"/>
    <w:rsid w:val="00DD2EB7"/>
    <w:rsid w:val="00DD3160"/>
    <w:rsid w:val="00DD3E27"/>
    <w:rsid w:val="00DD4333"/>
    <w:rsid w:val="00DD77FC"/>
    <w:rsid w:val="00DE1A97"/>
    <w:rsid w:val="00DE4029"/>
    <w:rsid w:val="00DF4E52"/>
    <w:rsid w:val="00DF5A3D"/>
    <w:rsid w:val="00E02B66"/>
    <w:rsid w:val="00E03B35"/>
    <w:rsid w:val="00E073EB"/>
    <w:rsid w:val="00E1328A"/>
    <w:rsid w:val="00E14940"/>
    <w:rsid w:val="00E16346"/>
    <w:rsid w:val="00E26922"/>
    <w:rsid w:val="00E273CA"/>
    <w:rsid w:val="00E2797E"/>
    <w:rsid w:val="00E30A1D"/>
    <w:rsid w:val="00E32B0F"/>
    <w:rsid w:val="00E32EC1"/>
    <w:rsid w:val="00E426A5"/>
    <w:rsid w:val="00E462BE"/>
    <w:rsid w:val="00E4767C"/>
    <w:rsid w:val="00E51FCF"/>
    <w:rsid w:val="00E529C5"/>
    <w:rsid w:val="00E609EA"/>
    <w:rsid w:val="00E6242C"/>
    <w:rsid w:val="00E62A04"/>
    <w:rsid w:val="00E64B59"/>
    <w:rsid w:val="00E65AD0"/>
    <w:rsid w:val="00E70A60"/>
    <w:rsid w:val="00E71ACB"/>
    <w:rsid w:val="00E76A06"/>
    <w:rsid w:val="00E812D8"/>
    <w:rsid w:val="00E81F1B"/>
    <w:rsid w:val="00E85765"/>
    <w:rsid w:val="00E873C9"/>
    <w:rsid w:val="00E944BC"/>
    <w:rsid w:val="00E95F96"/>
    <w:rsid w:val="00EA29CA"/>
    <w:rsid w:val="00EA7936"/>
    <w:rsid w:val="00EA79EB"/>
    <w:rsid w:val="00EB0CCE"/>
    <w:rsid w:val="00EB19D6"/>
    <w:rsid w:val="00EB4DD6"/>
    <w:rsid w:val="00EB4F95"/>
    <w:rsid w:val="00EB7E12"/>
    <w:rsid w:val="00EC22AB"/>
    <w:rsid w:val="00EC648D"/>
    <w:rsid w:val="00ED01A4"/>
    <w:rsid w:val="00ED0A55"/>
    <w:rsid w:val="00ED0ABB"/>
    <w:rsid w:val="00ED2FE2"/>
    <w:rsid w:val="00ED4E16"/>
    <w:rsid w:val="00ED56A0"/>
    <w:rsid w:val="00EE1565"/>
    <w:rsid w:val="00EE1797"/>
    <w:rsid w:val="00EE3EB0"/>
    <w:rsid w:val="00EE7A9A"/>
    <w:rsid w:val="00EF0FE5"/>
    <w:rsid w:val="00EF3FD3"/>
    <w:rsid w:val="00EF54D1"/>
    <w:rsid w:val="00F009FA"/>
    <w:rsid w:val="00F03D3F"/>
    <w:rsid w:val="00F0439B"/>
    <w:rsid w:val="00F05A6F"/>
    <w:rsid w:val="00F06EFC"/>
    <w:rsid w:val="00F0788B"/>
    <w:rsid w:val="00F07B75"/>
    <w:rsid w:val="00F1033B"/>
    <w:rsid w:val="00F11DDC"/>
    <w:rsid w:val="00F13D2E"/>
    <w:rsid w:val="00F1445B"/>
    <w:rsid w:val="00F14D46"/>
    <w:rsid w:val="00F1650D"/>
    <w:rsid w:val="00F17718"/>
    <w:rsid w:val="00F22759"/>
    <w:rsid w:val="00F23033"/>
    <w:rsid w:val="00F23D93"/>
    <w:rsid w:val="00F26FAE"/>
    <w:rsid w:val="00F272BB"/>
    <w:rsid w:val="00F30170"/>
    <w:rsid w:val="00F33D1B"/>
    <w:rsid w:val="00F346C3"/>
    <w:rsid w:val="00F3741F"/>
    <w:rsid w:val="00F40281"/>
    <w:rsid w:val="00F412E3"/>
    <w:rsid w:val="00F42071"/>
    <w:rsid w:val="00F429F8"/>
    <w:rsid w:val="00F51A41"/>
    <w:rsid w:val="00F532F4"/>
    <w:rsid w:val="00F5544C"/>
    <w:rsid w:val="00F57613"/>
    <w:rsid w:val="00F63C50"/>
    <w:rsid w:val="00F64A85"/>
    <w:rsid w:val="00F70E51"/>
    <w:rsid w:val="00F73DDC"/>
    <w:rsid w:val="00F74A51"/>
    <w:rsid w:val="00F87196"/>
    <w:rsid w:val="00F873C6"/>
    <w:rsid w:val="00F87784"/>
    <w:rsid w:val="00F93392"/>
    <w:rsid w:val="00F93B51"/>
    <w:rsid w:val="00F94483"/>
    <w:rsid w:val="00F94554"/>
    <w:rsid w:val="00F94B28"/>
    <w:rsid w:val="00F956E8"/>
    <w:rsid w:val="00F95EC0"/>
    <w:rsid w:val="00F97B72"/>
    <w:rsid w:val="00FA0990"/>
    <w:rsid w:val="00FA2154"/>
    <w:rsid w:val="00FA4ED3"/>
    <w:rsid w:val="00FA737B"/>
    <w:rsid w:val="00FB5F54"/>
    <w:rsid w:val="00FC27BE"/>
    <w:rsid w:val="00FC63DD"/>
    <w:rsid w:val="00FD09CB"/>
    <w:rsid w:val="00FD1D7E"/>
    <w:rsid w:val="00FD2C02"/>
    <w:rsid w:val="00FD4766"/>
    <w:rsid w:val="00FD7372"/>
    <w:rsid w:val="00FE473F"/>
    <w:rsid w:val="00FE6B43"/>
    <w:rsid w:val="00FF117D"/>
    <w:rsid w:val="00FF2A7B"/>
    <w:rsid w:val="00FF3FD9"/>
    <w:rsid w:val="00FF55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character" w:customStyle="1" w:styleId="Ttulo1Car">
    <w:name w:val="Título 1 Car"/>
    <w:basedOn w:val="Fuentedeprrafopredeter"/>
    <w:link w:val="Ttulo1"/>
    <w:rsid w:val="001348FC"/>
    <w:rPr>
      <w:rFonts w:ascii="Arial" w:hAnsi="Arial" w:cs="Arial"/>
      <w:b/>
      <w:lang w:val="es-MX" w:eastAsia="es-ES"/>
    </w:rPr>
  </w:style>
  <w:style w:type="paragraph" w:styleId="Revisin">
    <w:name w:val="Revision"/>
    <w:hidden/>
    <w:uiPriority w:val="99"/>
    <w:semiHidden/>
    <w:rsid w:val="00C811C0"/>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17348256">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56643380">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82034076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33069243">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2.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3.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4.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2405</Words>
  <Characters>13062</Characters>
  <Application>Microsoft Office Word</Application>
  <DocSecurity>0</DocSecurity>
  <Lines>318</Lines>
  <Paragraphs>114</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17</cp:revision>
  <cp:lastPrinted>2026-03-04T15:05:00Z</cp:lastPrinted>
  <dcterms:created xsi:type="dcterms:W3CDTF">2026-02-20T20:28:00Z</dcterms:created>
  <dcterms:modified xsi:type="dcterms:W3CDTF">2026-03-04T15:05:00Z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y fmtid="{D5CDD505-2E9C-101B-9397-08002B2CF9AE}" pid="6" name="MSIP_Label_0e276b9b-e947-408c-8898-19de23b201e4_Enabled">
    <vt:lpwstr>true</vt:lpwstr>
  </property>
  <property fmtid="{D5CDD505-2E9C-101B-9397-08002B2CF9AE}" pid="7" name="MSIP_Label_0e276b9b-e947-408c-8898-19de23b201e4_SetDate">
    <vt:lpwstr>2026-02-24T20:18:55Z</vt:lpwstr>
  </property>
  <property fmtid="{D5CDD505-2E9C-101B-9397-08002B2CF9AE}" pid="8" name="MSIP_Label_0e276b9b-e947-408c-8898-19de23b201e4_Method">
    <vt:lpwstr>Standard</vt:lpwstr>
  </property>
  <property fmtid="{D5CDD505-2E9C-101B-9397-08002B2CF9AE}" pid="9" name="MSIP_Label_0e276b9b-e947-408c-8898-19de23b201e4_Name">
    <vt:lpwstr>Publica</vt:lpwstr>
  </property>
  <property fmtid="{D5CDD505-2E9C-101B-9397-08002B2CF9AE}" pid="10" name="MSIP_Label_0e276b9b-e947-408c-8898-19de23b201e4_SiteId">
    <vt:lpwstr>6ee94c34-bbd6-4647-a483-0e196a4de0ff</vt:lpwstr>
  </property>
  <property fmtid="{D5CDD505-2E9C-101B-9397-08002B2CF9AE}" pid="11" name="MSIP_Label_0e276b9b-e947-408c-8898-19de23b201e4_ActionId">
    <vt:lpwstr>6c3c39e0-3b45-4e91-973a-b073f172b43f</vt:lpwstr>
  </property>
  <property fmtid="{D5CDD505-2E9C-101B-9397-08002B2CF9AE}" pid="12" name="MSIP_Label_0e276b9b-e947-408c-8898-19de23b201e4_ContentBits">
    <vt:lpwstr>0</vt:lpwstr>
  </property>
  <property fmtid="{D5CDD505-2E9C-101B-9397-08002B2CF9AE}" pid="13" name="MSIP_Label_0e276b9b-e947-408c-8898-19de23b201e4_Tag">
    <vt:lpwstr>10, 3, 0, 1</vt:lpwstr>
  </property>
</Properties>
</file>