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85635" w14:textId="5A2C0318" w:rsidR="00F86193" w:rsidRPr="005738BE" w:rsidRDefault="00F86193" w:rsidP="00F86193">
      <w:pPr>
        <w:ind w:right="-1"/>
        <w:jc w:val="center"/>
        <w:rPr>
          <w:rFonts w:cs="Arial"/>
          <w:b/>
          <w:sz w:val="22"/>
          <w:szCs w:val="22"/>
        </w:rPr>
      </w:pPr>
    </w:p>
    <w:p w14:paraId="23BFF6F6" w14:textId="77777777" w:rsidR="00F86193" w:rsidRPr="005738BE" w:rsidRDefault="00F86193" w:rsidP="00F86193">
      <w:pPr>
        <w:ind w:left="360" w:right="-984"/>
        <w:rPr>
          <w:rFonts w:cs="Arial"/>
          <w:b/>
          <w:sz w:val="22"/>
          <w:szCs w:val="22"/>
        </w:rPr>
      </w:pPr>
    </w:p>
    <w:p w14:paraId="16720EB1" w14:textId="77777777" w:rsidR="00F86193" w:rsidRPr="005738BE" w:rsidRDefault="00F86193" w:rsidP="00F86193">
      <w:pPr>
        <w:ind w:right="-984"/>
        <w:jc w:val="center"/>
        <w:rPr>
          <w:rFonts w:cs="Arial"/>
          <w:b/>
          <w:sz w:val="22"/>
          <w:szCs w:val="22"/>
        </w:rPr>
      </w:pPr>
    </w:p>
    <w:p w14:paraId="10AC5801" w14:textId="77777777" w:rsidR="00F86193" w:rsidRDefault="00F86193" w:rsidP="00F86193">
      <w:pPr>
        <w:ind w:right="-984"/>
        <w:jc w:val="center"/>
        <w:rPr>
          <w:rFonts w:cs="Arial"/>
          <w:b/>
          <w:sz w:val="22"/>
          <w:szCs w:val="22"/>
        </w:rPr>
      </w:pPr>
    </w:p>
    <w:p w14:paraId="2179AB4E" w14:textId="77777777" w:rsidR="0050337A" w:rsidRDefault="0050337A" w:rsidP="00F86193">
      <w:pPr>
        <w:ind w:right="-984"/>
        <w:jc w:val="center"/>
        <w:rPr>
          <w:rFonts w:cs="Arial"/>
          <w:b/>
          <w:sz w:val="22"/>
          <w:szCs w:val="22"/>
        </w:rPr>
      </w:pPr>
    </w:p>
    <w:p w14:paraId="47799DF1" w14:textId="77777777" w:rsidR="0050337A" w:rsidRDefault="0050337A" w:rsidP="00F86193">
      <w:pPr>
        <w:ind w:right="-984"/>
        <w:jc w:val="center"/>
        <w:rPr>
          <w:rFonts w:cs="Arial"/>
          <w:b/>
          <w:sz w:val="22"/>
          <w:szCs w:val="22"/>
        </w:rPr>
      </w:pPr>
    </w:p>
    <w:p w14:paraId="4D42137D" w14:textId="77777777" w:rsidR="0050337A" w:rsidRDefault="0050337A" w:rsidP="00F86193">
      <w:pPr>
        <w:ind w:right="-984"/>
        <w:jc w:val="center"/>
        <w:rPr>
          <w:rFonts w:cs="Arial"/>
          <w:b/>
          <w:sz w:val="22"/>
          <w:szCs w:val="22"/>
        </w:rPr>
      </w:pPr>
    </w:p>
    <w:p w14:paraId="4364971F" w14:textId="77777777" w:rsidR="0050337A" w:rsidRDefault="0050337A" w:rsidP="00F86193">
      <w:pPr>
        <w:ind w:right="-984"/>
        <w:jc w:val="center"/>
        <w:rPr>
          <w:rFonts w:cs="Arial"/>
          <w:b/>
          <w:sz w:val="22"/>
          <w:szCs w:val="22"/>
        </w:rPr>
      </w:pPr>
    </w:p>
    <w:p w14:paraId="5EAD3546" w14:textId="77777777" w:rsidR="0050337A" w:rsidRDefault="0050337A" w:rsidP="00F86193">
      <w:pPr>
        <w:ind w:right="-984"/>
        <w:jc w:val="center"/>
        <w:rPr>
          <w:rFonts w:cs="Arial"/>
          <w:b/>
          <w:sz w:val="22"/>
          <w:szCs w:val="22"/>
        </w:rPr>
      </w:pPr>
    </w:p>
    <w:p w14:paraId="67E71892" w14:textId="77777777" w:rsidR="0050337A" w:rsidRDefault="0050337A" w:rsidP="00F86193">
      <w:pPr>
        <w:ind w:right="-984"/>
        <w:jc w:val="center"/>
        <w:rPr>
          <w:rFonts w:cs="Arial"/>
          <w:b/>
          <w:sz w:val="22"/>
          <w:szCs w:val="22"/>
        </w:rPr>
      </w:pPr>
    </w:p>
    <w:p w14:paraId="3BD08287" w14:textId="77777777" w:rsidR="0050337A" w:rsidRDefault="0050337A" w:rsidP="00F86193">
      <w:pPr>
        <w:ind w:right="-984"/>
        <w:jc w:val="center"/>
        <w:rPr>
          <w:rFonts w:cs="Arial"/>
          <w:b/>
          <w:sz w:val="22"/>
          <w:szCs w:val="22"/>
        </w:rPr>
      </w:pPr>
    </w:p>
    <w:p w14:paraId="22041839" w14:textId="7D43A630" w:rsidR="0050337A" w:rsidRDefault="0050337A" w:rsidP="00F86193">
      <w:pPr>
        <w:ind w:right="-984"/>
        <w:jc w:val="center"/>
        <w:rPr>
          <w:rFonts w:cs="Arial"/>
          <w:b/>
          <w:sz w:val="22"/>
          <w:szCs w:val="22"/>
        </w:rPr>
      </w:pPr>
      <w:r w:rsidRPr="00A867FD">
        <w:rPr>
          <w:rFonts w:ascii="Verdana" w:hAnsi="Verdana"/>
          <w:noProof/>
          <w:color w:val="000000"/>
          <w:lang w:val="es-CO" w:eastAsia="es-CO"/>
        </w:rPr>
        <w:drawing>
          <wp:inline distT="0" distB="0" distL="0" distR="0" wp14:anchorId="274B887C" wp14:editId="70292072">
            <wp:extent cx="5512143" cy="2886075"/>
            <wp:effectExtent l="0" t="0" r="0" b="0"/>
            <wp:docPr id="68853347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533478" name="Imagen 1" descr="Texto&#10;&#10;Descripción generada automáticament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530145" cy="2895501"/>
                    </a:xfrm>
                    <a:prstGeom prst="rect">
                      <a:avLst/>
                    </a:prstGeom>
                    <a:noFill/>
                    <a:ln>
                      <a:noFill/>
                    </a:ln>
                  </pic:spPr>
                </pic:pic>
              </a:graphicData>
            </a:graphic>
          </wp:inline>
        </w:drawing>
      </w:r>
    </w:p>
    <w:p w14:paraId="404EAEA4" w14:textId="77777777" w:rsidR="0050337A" w:rsidRDefault="0050337A" w:rsidP="00F86193">
      <w:pPr>
        <w:ind w:right="-984"/>
        <w:jc w:val="center"/>
        <w:rPr>
          <w:rFonts w:cs="Arial"/>
          <w:b/>
          <w:sz w:val="22"/>
          <w:szCs w:val="22"/>
        </w:rPr>
      </w:pPr>
    </w:p>
    <w:p w14:paraId="6BBE55F0" w14:textId="77777777" w:rsidR="0050337A" w:rsidRDefault="0050337A" w:rsidP="00F86193">
      <w:pPr>
        <w:ind w:right="-984"/>
        <w:jc w:val="center"/>
        <w:rPr>
          <w:rFonts w:cs="Arial"/>
          <w:b/>
          <w:sz w:val="22"/>
          <w:szCs w:val="22"/>
        </w:rPr>
      </w:pPr>
    </w:p>
    <w:p w14:paraId="46B05DDF" w14:textId="77777777" w:rsidR="0050337A" w:rsidRDefault="0050337A" w:rsidP="00F86193">
      <w:pPr>
        <w:ind w:right="-984"/>
        <w:jc w:val="center"/>
        <w:rPr>
          <w:rFonts w:cs="Arial"/>
          <w:b/>
          <w:sz w:val="22"/>
          <w:szCs w:val="22"/>
        </w:rPr>
      </w:pPr>
    </w:p>
    <w:p w14:paraId="13D06CFD" w14:textId="77777777" w:rsidR="0050337A" w:rsidRDefault="0050337A" w:rsidP="00F86193">
      <w:pPr>
        <w:ind w:right="-984"/>
        <w:jc w:val="center"/>
        <w:rPr>
          <w:rFonts w:cs="Arial"/>
          <w:b/>
          <w:sz w:val="22"/>
          <w:szCs w:val="22"/>
        </w:rPr>
      </w:pPr>
    </w:p>
    <w:p w14:paraId="0421A623" w14:textId="77777777" w:rsidR="0050337A" w:rsidRDefault="0050337A" w:rsidP="00F86193">
      <w:pPr>
        <w:ind w:right="-984"/>
        <w:jc w:val="center"/>
        <w:rPr>
          <w:rFonts w:cs="Arial"/>
          <w:b/>
          <w:sz w:val="22"/>
          <w:szCs w:val="22"/>
        </w:rPr>
      </w:pPr>
    </w:p>
    <w:p w14:paraId="0C3355D2" w14:textId="77777777" w:rsidR="0050337A" w:rsidRDefault="0050337A" w:rsidP="00F86193">
      <w:pPr>
        <w:ind w:right="-984"/>
        <w:jc w:val="center"/>
        <w:rPr>
          <w:rFonts w:cs="Arial"/>
          <w:b/>
          <w:sz w:val="22"/>
          <w:szCs w:val="22"/>
        </w:rPr>
      </w:pPr>
    </w:p>
    <w:p w14:paraId="6BB26360" w14:textId="77777777" w:rsidR="0050337A" w:rsidRPr="005738BE" w:rsidRDefault="0050337A" w:rsidP="00F86193">
      <w:pPr>
        <w:ind w:right="-984"/>
        <w:jc w:val="center"/>
        <w:rPr>
          <w:rFonts w:cs="Arial"/>
          <w:b/>
          <w:sz w:val="22"/>
          <w:szCs w:val="22"/>
        </w:rPr>
      </w:pPr>
    </w:p>
    <w:p w14:paraId="3EB8CBFF" w14:textId="77777777" w:rsidR="006F70DB" w:rsidRPr="005738BE" w:rsidRDefault="006F70DB" w:rsidP="00F86193">
      <w:pPr>
        <w:ind w:right="-984"/>
        <w:jc w:val="center"/>
        <w:rPr>
          <w:rFonts w:cs="Arial"/>
          <w:b/>
          <w:bCs/>
          <w:color w:val="000000"/>
          <w:sz w:val="22"/>
          <w:szCs w:val="22"/>
          <w:lang w:val="es-ES_tradnl"/>
        </w:rPr>
      </w:pPr>
    </w:p>
    <w:p w14:paraId="5276C0DD" w14:textId="756E9E20" w:rsidR="006F70DB" w:rsidRDefault="006F70DB" w:rsidP="006F70DB">
      <w:pPr>
        <w:ind w:right="-984"/>
        <w:rPr>
          <w:rFonts w:cs="Arial"/>
          <w:b/>
          <w:bCs/>
          <w:color w:val="000000"/>
          <w:sz w:val="22"/>
          <w:szCs w:val="22"/>
          <w:lang w:val="es-ES_tradnl"/>
        </w:rPr>
      </w:pPr>
    </w:p>
    <w:p w14:paraId="7AADDCFB" w14:textId="43B64FB6" w:rsidR="00C86305" w:rsidRPr="00573841" w:rsidRDefault="0013685D" w:rsidP="00F71228">
      <w:pPr>
        <w:spacing w:after="200" w:line="276" w:lineRule="auto"/>
        <w:jc w:val="center"/>
        <w:rPr>
          <w:rFonts w:cs="Arial"/>
          <w:b/>
          <w:bCs/>
          <w:color w:val="000000"/>
          <w:sz w:val="28"/>
          <w:szCs w:val="28"/>
          <w:lang w:val="es-ES_tradnl"/>
        </w:rPr>
      </w:pPr>
      <w:r w:rsidRPr="00573841">
        <w:rPr>
          <w:rFonts w:cs="Arial"/>
          <w:b/>
          <w:bCs/>
          <w:sz w:val="28"/>
          <w:szCs w:val="28"/>
        </w:rPr>
        <w:t xml:space="preserve">GUIA PRÁCTICA PARA ENTENDER LA LUCHA CONTRA EL SOBORNO </w:t>
      </w:r>
      <w:r w:rsidR="0017479A" w:rsidRPr="00573841">
        <w:rPr>
          <w:rFonts w:cs="Arial"/>
          <w:b/>
          <w:bCs/>
          <w:sz w:val="28"/>
          <w:szCs w:val="28"/>
        </w:rPr>
        <w:t xml:space="preserve">TRANSNACIONAL </w:t>
      </w:r>
      <w:r w:rsidRPr="00573841">
        <w:rPr>
          <w:rFonts w:cs="Arial"/>
          <w:b/>
          <w:bCs/>
          <w:sz w:val="28"/>
          <w:szCs w:val="28"/>
        </w:rPr>
        <w:t>EN COLOMBIA</w:t>
      </w:r>
    </w:p>
    <w:p w14:paraId="7B038171" w14:textId="77777777" w:rsidR="006B0794" w:rsidRPr="005738BE" w:rsidRDefault="006B0794" w:rsidP="006F70DB">
      <w:pPr>
        <w:spacing w:after="200" w:line="276" w:lineRule="auto"/>
        <w:jc w:val="left"/>
        <w:rPr>
          <w:rFonts w:cs="Arial"/>
          <w:b/>
          <w:bCs/>
          <w:color w:val="000000"/>
          <w:sz w:val="22"/>
          <w:szCs w:val="22"/>
          <w:lang w:val="es-ES_tradnl"/>
        </w:rPr>
      </w:pPr>
    </w:p>
    <w:p w14:paraId="5089BA6B" w14:textId="77777777" w:rsidR="00C86305" w:rsidRPr="00EC1202" w:rsidRDefault="00C86305" w:rsidP="00806DA8">
      <w:pPr>
        <w:ind w:right="-984"/>
        <w:rPr>
          <w:rFonts w:cs="Arial"/>
          <w:b/>
          <w:bCs/>
          <w:color w:val="000000"/>
          <w:sz w:val="22"/>
          <w:szCs w:val="22"/>
          <w:lang w:val="es-ES_tradnl"/>
        </w:rPr>
      </w:pPr>
    </w:p>
    <w:p w14:paraId="4EC18A24" w14:textId="77777777" w:rsidR="00093DA0" w:rsidRPr="004B37D2" w:rsidRDefault="00093DA0">
      <w:pPr>
        <w:spacing w:after="200" w:line="276" w:lineRule="auto"/>
        <w:jc w:val="left"/>
        <w:rPr>
          <w:rFonts w:cs="Arial"/>
          <w:b/>
          <w:bCs/>
          <w:sz w:val="22"/>
          <w:szCs w:val="22"/>
          <w:lang w:val="es-MX"/>
        </w:rPr>
      </w:pPr>
      <w:r w:rsidRPr="004B37D2">
        <w:rPr>
          <w:rFonts w:cs="Arial"/>
          <w:sz w:val="22"/>
          <w:szCs w:val="22"/>
          <w:lang w:val="es-MX"/>
        </w:rPr>
        <w:br w:type="page"/>
      </w:r>
    </w:p>
    <w:p w14:paraId="71DD56CD" w14:textId="77777777" w:rsidR="00093DA0" w:rsidRPr="004B37D2" w:rsidRDefault="00093DA0" w:rsidP="00093DA0">
      <w:pPr>
        <w:pStyle w:val="Ttulo"/>
        <w:keepNext w:val="0"/>
        <w:keepLines w:val="0"/>
        <w:rPr>
          <w:rFonts w:cs="Arial"/>
          <w:sz w:val="22"/>
          <w:szCs w:val="22"/>
          <w:lang w:val="es-MX"/>
        </w:rPr>
      </w:pPr>
      <w:r w:rsidRPr="004B37D2">
        <w:rPr>
          <w:rFonts w:cs="Arial"/>
          <w:sz w:val="22"/>
          <w:szCs w:val="22"/>
          <w:lang w:val="es-MX"/>
        </w:rPr>
        <w:lastRenderedPageBreak/>
        <w:t>INFORMACION GENERAL</w:t>
      </w:r>
    </w:p>
    <w:p w14:paraId="5357DA80" w14:textId="77777777" w:rsidR="00093DA0" w:rsidRPr="004B37D2" w:rsidRDefault="00093DA0" w:rsidP="00093DA0">
      <w:pPr>
        <w:pStyle w:val="Ttulo"/>
        <w:numPr>
          <w:ilvl w:val="0"/>
          <w:numId w:val="0"/>
        </w:numPr>
        <w:rPr>
          <w:rFonts w:cs="Arial"/>
          <w:sz w:val="22"/>
          <w:szCs w:val="22"/>
          <w:lang w:val="es-MX"/>
        </w:rPr>
      </w:pPr>
    </w:p>
    <w:tbl>
      <w:tblPr>
        <w:tblStyle w:val="Tablaconcuadrcula"/>
        <w:tblW w:w="9464" w:type="dxa"/>
        <w:tblLook w:val="04A0" w:firstRow="1" w:lastRow="0" w:firstColumn="1" w:lastColumn="0" w:noHBand="0" w:noVBand="1"/>
      </w:tblPr>
      <w:tblGrid>
        <w:gridCol w:w="2518"/>
        <w:gridCol w:w="6946"/>
      </w:tblGrid>
      <w:tr w:rsidR="00093DA0" w:rsidRPr="005738BE" w14:paraId="3263D2C8" w14:textId="77777777" w:rsidTr="00093DA0">
        <w:trPr>
          <w:trHeight w:val="787"/>
        </w:trPr>
        <w:tc>
          <w:tcPr>
            <w:tcW w:w="2518" w:type="dxa"/>
            <w:vAlign w:val="center"/>
          </w:tcPr>
          <w:p w14:paraId="6C664D38" w14:textId="77777777" w:rsidR="00093DA0" w:rsidRPr="00EC1202" w:rsidRDefault="00093DA0" w:rsidP="006A4152">
            <w:pPr>
              <w:pStyle w:val="Ttulo"/>
              <w:numPr>
                <w:ilvl w:val="0"/>
                <w:numId w:val="0"/>
              </w:numPr>
              <w:rPr>
                <w:rFonts w:cs="Arial"/>
                <w:sz w:val="22"/>
                <w:szCs w:val="22"/>
                <w:lang w:val="es-MX"/>
              </w:rPr>
            </w:pPr>
            <w:bookmarkStart w:id="0" w:name="_Toc508006310"/>
            <w:bookmarkStart w:id="1" w:name="_Toc508008962"/>
            <w:bookmarkStart w:id="2" w:name="_Toc508010004"/>
            <w:r w:rsidRPr="005738BE">
              <w:rPr>
                <w:rFonts w:cs="Arial"/>
                <w:sz w:val="22"/>
                <w:szCs w:val="22"/>
                <w:lang w:val="es-MX"/>
              </w:rPr>
              <w:t>1.1 Objetivo</w:t>
            </w:r>
            <w:bookmarkEnd w:id="0"/>
            <w:bookmarkEnd w:id="1"/>
            <w:bookmarkEnd w:id="2"/>
          </w:p>
        </w:tc>
        <w:tc>
          <w:tcPr>
            <w:tcW w:w="6946" w:type="dxa"/>
            <w:vAlign w:val="center"/>
          </w:tcPr>
          <w:p w14:paraId="2BAD4CB0" w14:textId="53C6ACD9" w:rsidR="00093DA0" w:rsidRPr="004B37D2" w:rsidRDefault="00093DA0" w:rsidP="00093DA0">
            <w:pPr>
              <w:rPr>
                <w:rFonts w:cs="Arial"/>
                <w:sz w:val="22"/>
                <w:szCs w:val="22"/>
                <w:lang w:val="es-MX"/>
              </w:rPr>
            </w:pPr>
            <w:r w:rsidRPr="00EC1202">
              <w:rPr>
                <w:rFonts w:cs="Arial"/>
                <w:sz w:val="22"/>
                <w:szCs w:val="22"/>
                <w:lang w:val="es-MX"/>
              </w:rPr>
              <w:t xml:space="preserve">Orientar a la ciudadanía sobre la lucha contra el soborno </w:t>
            </w:r>
            <w:r w:rsidR="0017479A" w:rsidRPr="004B37D2">
              <w:rPr>
                <w:rFonts w:cs="Arial"/>
                <w:sz w:val="22"/>
                <w:szCs w:val="22"/>
                <w:lang w:val="es-MX"/>
              </w:rPr>
              <w:t xml:space="preserve">transnacional </w:t>
            </w:r>
            <w:r w:rsidRPr="004B37D2">
              <w:rPr>
                <w:rFonts w:cs="Arial"/>
                <w:sz w:val="22"/>
                <w:szCs w:val="22"/>
                <w:lang w:val="es-MX"/>
              </w:rPr>
              <w:t>definido por la Ley 1778 de 2016.</w:t>
            </w:r>
          </w:p>
        </w:tc>
      </w:tr>
      <w:tr w:rsidR="00093DA0" w:rsidRPr="005738BE" w14:paraId="543C5860" w14:textId="77777777" w:rsidTr="00F839B0">
        <w:trPr>
          <w:trHeight w:val="703"/>
        </w:trPr>
        <w:tc>
          <w:tcPr>
            <w:tcW w:w="2518" w:type="dxa"/>
            <w:vAlign w:val="center"/>
          </w:tcPr>
          <w:p w14:paraId="3A9A0A23" w14:textId="77777777" w:rsidR="00093DA0" w:rsidRPr="00EC1202" w:rsidRDefault="00093DA0" w:rsidP="006A4152">
            <w:pPr>
              <w:pStyle w:val="Ttulo"/>
              <w:numPr>
                <w:ilvl w:val="0"/>
                <w:numId w:val="0"/>
              </w:numPr>
              <w:rPr>
                <w:rFonts w:cs="Arial"/>
                <w:sz w:val="22"/>
                <w:szCs w:val="22"/>
                <w:lang w:val="es-MX"/>
              </w:rPr>
            </w:pPr>
            <w:r w:rsidRPr="005738BE">
              <w:rPr>
                <w:rFonts w:cs="Arial"/>
                <w:sz w:val="22"/>
                <w:szCs w:val="22"/>
                <w:lang w:val="es-MX"/>
              </w:rPr>
              <w:t xml:space="preserve">1.2 </w:t>
            </w:r>
            <w:bookmarkStart w:id="3" w:name="_Toc508006311"/>
            <w:bookmarkStart w:id="4" w:name="_Toc508008963"/>
            <w:bookmarkStart w:id="5" w:name="_Toc508010005"/>
            <w:proofErr w:type="gramStart"/>
            <w:r w:rsidRPr="005738BE">
              <w:rPr>
                <w:rFonts w:cs="Arial"/>
                <w:sz w:val="22"/>
                <w:szCs w:val="22"/>
                <w:lang w:val="es-MX"/>
              </w:rPr>
              <w:t>Responsables</w:t>
            </w:r>
            <w:bookmarkEnd w:id="3"/>
            <w:bookmarkEnd w:id="4"/>
            <w:bookmarkEnd w:id="5"/>
            <w:proofErr w:type="gramEnd"/>
          </w:p>
        </w:tc>
        <w:tc>
          <w:tcPr>
            <w:tcW w:w="6946" w:type="dxa"/>
            <w:vAlign w:val="center"/>
          </w:tcPr>
          <w:p w14:paraId="4283C57E" w14:textId="1D777C32" w:rsidR="00093DA0" w:rsidRPr="004B37D2" w:rsidRDefault="00093DA0" w:rsidP="00093DA0">
            <w:pPr>
              <w:rPr>
                <w:rFonts w:cs="Arial"/>
                <w:sz w:val="22"/>
                <w:szCs w:val="22"/>
                <w:lang w:val="es-MX"/>
              </w:rPr>
            </w:pPr>
            <w:r w:rsidRPr="00EC1202">
              <w:rPr>
                <w:rFonts w:cs="Arial"/>
                <w:sz w:val="22"/>
                <w:szCs w:val="22"/>
              </w:rPr>
              <w:t>Delega</w:t>
            </w:r>
            <w:r w:rsidR="00FC5BB7">
              <w:rPr>
                <w:rFonts w:cs="Arial"/>
                <w:sz w:val="22"/>
                <w:szCs w:val="22"/>
              </w:rPr>
              <w:t>tura</w:t>
            </w:r>
            <w:r w:rsidRPr="00EC1202">
              <w:rPr>
                <w:rFonts w:cs="Arial"/>
                <w:sz w:val="22"/>
                <w:szCs w:val="22"/>
              </w:rPr>
              <w:t xml:space="preserve"> de Asuntos Económicos y </w:t>
            </w:r>
            <w:r w:rsidR="00FC5BB7">
              <w:rPr>
                <w:rFonts w:cs="Arial"/>
                <w:sz w:val="22"/>
                <w:szCs w:val="22"/>
              </w:rPr>
              <w:t>Societarios</w:t>
            </w:r>
            <w:r w:rsidR="0017479A" w:rsidRPr="00D902B7">
              <w:rPr>
                <w:rFonts w:cs="Arial"/>
                <w:sz w:val="22"/>
                <w:szCs w:val="22"/>
              </w:rPr>
              <w:t xml:space="preserve">, </w:t>
            </w:r>
            <w:r w:rsidR="004B37D2">
              <w:rPr>
                <w:rFonts w:cs="Arial"/>
                <w:sz w:val="22"/>
                <w:szCs w:val="22"/>
              </w:rPr>
              <w:t>Dirección</w:t>
            </w:r>
            <w:r w:rsidR="0017479A" w:rsidRPr="00FC5BB7">
              <w:rPr>
                <w:rFonts w:cs="Arial"/>
                <w:sz w:val="22"/>
                <w:szCs w:val="22"/>
              </w:rPr>
              <w:t xml:space="preserve"> de Cumplimiento </w:t>
            </w:r>
            <w:r w:rsidRPr="00FC5BB7">
              <w:rPr>
                <w:rFonts w:cs="Arial"/>
                <w:sz w:val="22"/>
                <w:szCs w:val="22"/>
              </w:rPr>
              <w:t>y Coordina</w:t>
            </w:r>
            <w:r w:rsidR="00FC5BB7">
              <w:rPr>
                <w:rFonts w:cs="Arial"/>
                <w:sz w:val="22"/>
                <w:szCs w:val="22"/>
              </w:rPr>
              <w:t>ción</w:t>
            </w:r>
            <w:r w:rsidR="0017479A" w:rsidRPr="00FC5BB7">
              <w:rPr>
                <w:rFonts w:cs="Arial"/>
                <w:sz w:val="22"/>
                <w:szCs w:val="22"/>
              </w:rPr>
              <w:t xml:space="preserve"> </w:t>
            </w:r>
            <w:r w:rsidRPr="004B37D2">
              <w:rPr>
                <w:rFonts w:cs="Arial"/>
                <w:sz w:val="22"/>
                <w:szCs w:val="22"/>
              </w:rPr>
              <w:t>del Grupo de Soborno Transnacional e Investigaciones Especiales.</w:t>
            </w:r>
          </w:p>
        </w:tc>
      </w:tr>
      <w:tr w:rsidR="00093DA0" w:rsidRPr="005738BE" w14:paraId="1E699281" w14:textId="77777777" w:rsidTr="00093DA0">
        <w:trPr>
          <w:trHeight w:val="734"/>
        </w:trPr>
        <w:tc>
          <w:tcPr>
            <w:tcW w:w="2518" w:type="dxa"/>
            <w:vAlign w:val="center"/>
          </w:tcPr>
          <w:p w14:paraId="2A174068" w14:textId="77777777" w:rsidR="00093DA0" w:rsidRPr="00EC1202" w:rsidRDefault="00093DA0" w:rsidP="006A4152">
            <w:pPr>
              <w:pStyle w:val="Ttulo"/>
              <w:numPr>
                <w:ilvl w:val="0"/>
                <w:numId w:val="0"/>
              </w:numPr>
              <w:rPr>
                <w:rFonts w:cs="Arial"/>
                <w:sz w:val="22"/>
                <w:szCs w:val="22"/>
                <w:lang w:val="es-MX"/>
              </w:rPr>
            </w:pPr>
            <w:r w:rsidRPr="005738BE">
              <w:rPr>
                <w:rFonts w:cs="Arial"/>
                <w:sz w:val="22"/>
                <w:szCs w:val="22"/>
                <w:lang w:val="es-MX"/>
              </w:rPr>
              <w:t xml:space="preserve">1.3 </w:t>
            </w:r>
            <w:bookmarkStart w:id="6" w:name="_Toc508006312"/>
            <w:bookmarkStart w:id="7" w:name="_Toc508008964"/>
            <w:bookmarkStart w:id="8" w:name="_Toc508010006"/>
            <w:r w:rsidRPr="005738BE">
              <w:rPr>
                <w:rFonts w:cs="Arial"/>
                <w:sz w:val="22"/>
                <w:szCs w:val="22"/>
                <w:lang w:val="es-MX"/>
              </w:rPr>
              <w:t>Alcance</w:t>
            </w:r>
            <w:bookmarkEnd w:id="6"/>
            <w:bookmarkEnd w:id="7"/>
            <w:bookmarkEnd w:id="8"/>
          </w:p>
        </w:tc>
        <w:tc>
          <w:tcPr>
            <w:tcW w:w="6946" w:type="dxa"/>
            <w:vAlign w:val="center"/>
          </w:tcPr>
          <w:p w14:paraId="590E8DFA" w14:textId="77777777" w:rsidR="00093DA0" w:rsidRPr="00D902B7" w:rsidRDefault="00093DA0" w:rsidP="00093DA0">
            <w:pPr>
              <w:rPr>
                <w:rFonts w:cs="Arial"/>
                <w:sz w:val="22"/>
                <w:szCs w:val="22"/>
                <w:lang w:val="es-MX"/>
              </w:rPr>
            </w:pPr>
            <w:r w:rsidRPr="00EC1202">
              <w:rPr>
                <w:rFonts w:cs="Arial"/>
                <w:sz w:val="22"/>
                <w:szCs w:val="22"/>
              </w:rPr>
              <w:t>El contenido de este manual está dirigido a la ciudadanía en general.</w:t>
            </w:r>
          </w:p>
        </w:tc>
      </w:tr>
      <w:tr w:rsidR="00093DA0" w:rsidRPr="005738BE" w14:paraId="1382AA2F" w14:textId="77777777" w:rsidTr="0059073B">
        <w:trPr>
          <w:trHeight w:val="6478"/>
        </w:trPr>
        <w:tc>
          <w:tcPr>
            <w:tcW w:w="2518" w:type="dxa"/>
            <w:vAlign w:val="center"/>
          </w:tcPr>
          <w:p w14:paraId="53261ACE" w14:textId="77777777" w:rsidR="00093DA0" w:rsidRPr="00EC1202" w:rsidRDefault="00093DA0" w:rsidP="00093DA0">
            <w:pPr>
              <w:pStyle w:val="Ttulo"/>
              <w:numPr>
                <w:ilvl w:val="1"/>
                <w:numId w:val="32"/>
              </w:numPr>
              <w:rPr>
                <w:rFonts w:cs="Arial"/>
                <w:sz w:val="22"/>
                <w:szCs w:val="22"/>
                <w:lang w:val="es-MX"/>
              </w:rPr>
            </w:pPr>
            <w:r w:rsidRPr="005738BE">
              <w:rPr>
                <w:rFonts w:cs="Arial"/>
                <w:sz w:val="22"/>
                <w:szCs w:val="22"/>
                <w:lang w:val="es-MX"/>
              </w:rPr>
              <w:t xml:space="preserve">Normatividad </w:t>
            </w:r>
          </w:p>
        </w:tc>
        <w:tc>
          <w:tcPr>
            <w:tcW w:w="6946" w:type="dxa"/>
            <w:vAlign w:val="center"/>
          </w:tcPr>
          <w:p w14:paraId="77DF36A9" w14:textId="4ECC08B8" w:rsidR="00093DA0" w:rsidRPr="005738BE" w:rsidRDefault="00093DA0" w:rsidP="00093DA0">
            <w:pPr>
              <w:rPr>
                <w:rFonts w:cs="Arial"/>
                <w:sz w:val="22"/>
                <w:szCs w:val="22"/>
                <w:lang w:val="es-MX"/>
              </w:rPr>
            </w:pPr>
            <w:r w:rsidRPr="00EC1202">
              <w:rPr>
                <w:rFonts w:cs="Arial"/>
                <w:sz w:val="22"/>
                <w:szCs w:val="22"/>
                <w:lang w:val="es-MX"/>
              </w:rPr>
              <w:t xml:space="preserve">La lucha contra el </w:t>
            </w:r>
            <w:r w:rsidR="00FC5BB7" w:rsidRPr="00EC1202">
              <w:rPr>
                <w:rFonts w:cs="Arial"/>
                <w:sz w:val="22"/>
                <w:szCs w:val="22"/>
                <w:lang w:val="es-MX"/>
              </w:rPr>
              <w:t xml:space="preserve">soborno </w:t>
            </w:r>
            <w:r w:rsidR="00FC5BB7" w:rsidRPr="00D902B7">
              <w:rPr>
                <w:rFonts w:cs="Arial"/>
                <w:sz w:val="22"/>
                <w:szCs w:val="22"/>
                <w:lang w:val="es-MX"/>
              </w:rPr>
              <w:t>transnacional</w:t>
            </w:r>
            <w:r w:rsidR="0017479A" w:rsidRPr="002916F4">
              <w:rPr>
                <w:rFonts w:cs="Arial"/>
                <w:sz w:val="22"/>
                <w:szCs w:val="22"/>
                <w:lang w:val="es-MX"/>
              </w:rPr>
              <w:t xml:space="preserve"> </w:t>
            </w:r>
            <w:r w:rsidRPr="002916F4">
              <w:rPr>
                <w:rFonts w:cs="Arial"/>
                <w:sz w:val="22"/>
                <w:szCs w:val="22"/>
                <w:lang w:val="es-MX"/>
              </w:rPr>
              <w:t xml:space="preserve">ha sido objeto de desarrollo normativo en el país, principalmente en las disposiciones que se relacionan a continuación: </w:t>
            </w:r>
          </w:p>
          <w:p w14:paraId="5AA3F65C" w14:textId="77777777" w:rsidR="00093DA0" w:rsidRPr="00FC72D6" w:rsidRDefault="00093DA0" w:rsidP="00093DA0">
            <w:pPr>
              <w:pStyle w:val="Prrafodelista"/>
              <w:numPr>
                <w:ilvl w:val="0"/>
                <w:numId w:val="31"/>
              </w:numPr>
              <w:ind w:left="272" w:hanging="142"/>
              <w:rPr>
                <w:rFonts w:cs="Arial"/>
                <w:sz w:val="22"/>
                <w:szCs w:val="22"/>
              </w:rPr>
            </w:pPr>
            <w:r w:rsidRPr="00BB17D5">
              <w:rPr>
                <w:rFonts w:cs="Arial"/>
                <w:sz w:val="22"/>
                <w:szCs w:val="22"/>
              </w:rPr>
              <w:t>Ley 599 de 2000, por la cual se expide el Código Penal.</w:t>
            </w:r>
          </w:p>
          <w:p w14:paraId="5F2F1929" w14:textId="31BD7408" w:rsidR="00093DA0" w:rsidRPr="007F19E3" w:rsidRDefault="00093DA0" w:rsidP="00093DA0">
            <w:pPr>
              <w:pStyle w:val="Prrafodelista"/>
              <w:numPr>
                <w:ilvl w:val="0"/>
                <w:numId w:val="31"/>
              </w:numPr>
              <w:ind w:left="272" w:hanging="142"/>
              <w:rPr>
                <w:rFonts w:cs="Arial"/>
                <w:sz w:val="22"/>
                <w:szCs w:val="22"/>
              </w:rPr>
            </w:pPr>
            <w:r w:rsidRPr="007F19E3">
              <w:rPr>
                <w:rFonts w:cs="Arial"/>
                <w:sz w:val="22"/>
                <w:szCs w:val="22"/>
              </w:rPr>
              <w:t>Ley 1474 de 2011(Estatuto Anticorrupción), que establece normas orientadas a fortalecer los mecanismos de prevención, investigación y sanción de actos de corrupción y la efectividad del control de la gestión pública.</w:t>
            </w:r>
          </w:p>
          <w:p w14:paraId="4C19134C" w14:textId="0958A40A" w:rsidR="006311A9" w:rsidRPr="004B37D2" w:rsidRDefault="006311A9" w:rsidP="006311A9">
            <w:pPr>
              <w:pStyle w:val="Prrafodelista"/>
              <w:numPr>
                <w:ilvl w:val="0"/>
                <w:numId w:val="31"/>
              </w:numPr>
              <w:ind w:left="272" w:hanging="142"/>
              <w:rPr>
                <w:rFonts w:cs="Arial"/>
                <w:sz w:val="22"/>
                <w:szCs w:val="22"/>
                <w:lang w:val="es-CO"/>
              </w:rPr>
            </w:pPr>
            <w:r w:rsidRPr="007F19E3">
              <w:rPr>
                <w:rFonts w:cs="Arial"/>
                <w:sz w:val="22"/>
                <w:szCs w:val="22"/>
              </w:rPr>
              <w:t>Ley 1573 de 2012, por medio de la cual se aprobó la “</w:t>
            </w:r>
            <w:r w:rsidRPr="007F19E3">
              <w:rPr>
                <w:rFonts w:cs="Arial"/>
                <w:sz w:val="22"/>
                <w:szCs w:val="22"/>
                <w:lang w:val="es-CO"/>
              </w:rPr>
              <w:t>Convención para combatir el cohecho de servidores públicos extranjeros en transacciones comerciales internacionales”, como parte de los compromisos asumidos con la Organización para la Cooperación y Desarrollo Económicos</w:t>
            </w:r>
            <w:r w:rsidR="00DB365F" w:rsidRPr="004B37D2">
              <w:rPr>
                <w:rFonts w:cs="Arial"/>
                <w:sz w:val="22"/>
                <w:szCs w:val="22"/>
                <w:lang w:val="es-CO"/>
              </w:rPr>
              <w:t xml:space="preserve"> (en adelante </w:t>
            </w:r>
            <w:r w:rsidRPr="004B37D2">
              <w:rPr>
                <w:rFonts w:cs="Arial"/>
                <w:sz w:val="22"/>
                <w:szCs w:val="22"/>
                <w:lang w:val="es-CO"/>
              </w:rPr>
              <w:t>OCDE</w:t>
            </w:r>
            <w:r w:rsidR="00DB365F" w:rsidRPr="004B37D2">
              <w:rPr>
                <w:rFonts w:cs="Arial"/>
                <w:sz w:val="22"/>
                <w:szCs w:val="22"/>
                <w:lang w:val="es-CO"/>
              </w:rPr>
              <w:t>)</w:t>
            </w:r>
            <w:r w:rsidRPr="004B37D2">
              <w:rPr>
                <w:rFonts w:cs="Arial"/>
                <w:sz w:val="22"/>
                <w:szCs w:val="22"/>
                <w:lang w:val="es-CO"/>
              </w:rPr>
              <w:t>.</w:t>
            </w:r>
          </w:p>
          <w:p w14:paraId="6D1FCF97" w14:textId="34BB6ACD" w:rsidR="00C750A7" w:rsidRPr="004B37D2" w:rsidRDefault="00093DA0" w:rsidP="00C750A7">
            <w:pPr>
              <w:pStyle w:val="Prrafodelista"/>
              <w:numPr>
                <w:ilvl w:val="0"/>
                <w:numId w:val="31"/>
              </w:numPr>
              <w:ind w:left="272" w:hanging="142"/>
              <w:rPr>
                <w:rFonts w:cs="Arial"/>
                <w:sz w:val="22"/>
                <w:szCs w:val="22"/>
              </w:rPr>
            </w:pPr>
            <w:r w:rsidRPr="005738BE">
              <w:rPr>
                <w:rFonts w:cs="Arial"/>
                <w:sz w:val="22"/>
                <w:szCs w:val="22"/>
              </w:rPr>
              <w:t>L</w:t>
            </w:r>
            <w:r w:rsidRPr="00EC1202">
              <w:rPr>
                <w:rFonts w:cs="Arial"/>
                <w:sz w:val="22"/>
                <w:szCs w:val="22"/>
              </w:rPr>
              <w:t>ey 1778 de 2016, por la cual se dictan normas sobre la responsabilidad de las personas jurídicas por actos de corrupción transnacional y se dictan otras disposiciones en materia de lucha contra la corrupción.</w:t>
            </w:r>
          </w:p>
          <w:p w14:paraId="7286E713" w14:textId="679D6F55" w:rsidR="00093DA0" w:rsidRDefault="00093DA0" w:rsidP="00C750A7">
            <w:pPr>
              <w:pStyle w:val="Prrafodelista"/>
              <w:numPr>
                <w:ilvl w:val="0"/>
                <w:numId w:val="31"/>
              </w:numPr>
              <w:ind w:left="272" w:hanging="142"/>
              <w:rPr>
                <w:rFonts w:cs="Arial"/>
                <w:sz w:val="22"/>
                <w:szCs w:val="22"/>
              </w:rPr>
            </w:pPr>
            <w:r w:rsidRPr="005738BE">
              <w:rPr>
                <w:rFonts w:cs="Arial"/>
                <w:sz w:val="22"/>
                <w:szCs w:val="22"/>
              </w:rPr>
              <w:t xml:space="preserve">Resolución </w:t>
            </w:r>
            <w:r w:rsidRPr="004B37D2">
              <w:rPr>
                <w:rFonts w:cs="Arial"/>
                <w:sz w:val="22"/>
                <w:szCs w:val="22"/>
              </w:rPr>
              <w:t>Circular 100-000003 del 26 de julio de 2016, de la Superintendencia de Sociedades que contiene la guía destinada a poner en marcha programas de ética empresarial para la prevención de las conductas previstas en el artículo 2º de la ley 1778 de 2016.</w:t>
            </w:r>
          </w:p>
          <w:p w14:paraId="6B98C956" w14:textId="5F70E0F3" w:rsidR="005E5884" w:rsidRPr="005E5884" w:rsidRDefault="005E5884" w:rsidP="00C750A7">
            <w:pPr>
              <w:pStyle w:val="Prrafodelista"/>
              <w:numPr>
                <w:ilvl w:val="0"/>
                <w:numId w:val="31"/>
              </w:numPr>
              <w:ind w:left="272" w:hanging="142"/>
              <w:rPr>
                <w:rFonts w:cs="Arial"/>
                <w:sz w:val="22"/>
                <w:szCs w:val="22"/>
              </w:rPr>
            </w:pPr>
            <w:r w:rsidRPr="001D7FF0">
              <w:rPr>
                <w:rFonts w:cs="Arial"/>
                <w:color w:val="000000"/>
                <w:sz w:val="22"/>
                <w:szCs w:val="22"/>
                <w:lang w:val="es-CO" w:eastAsia="es-CO"/>
              </w:rPr>
              <w:t>Resolución No. 200-000816 del 27 de septiembre de 201</w:t>
            </w:r>
            <w:r>
              <w:rPr>
                <w:rFonts w:cs="Arial"/>
                <w:color w:val="000000"/>
                <w:sz w:val="22"/>
                <w:szCs w:val="22"/>
                <w:lang w:val="es-CO" w:eastAsia="es-CO"/>
              </w:rPr>
              <w:t xml:space="preserve">8, por la cual se imparten instrucciones sobre la forma en que se conceden los beneficios por colaboración de que trata el artículo 19 de la Ley 1778 de 2016.  </w:t>
            </w:r>
          </w:p>
          <w:p w14:paraId="14E5410A" w14:textId="77777777" w:rsidR="002916F4" w:rsidRDefault="00C750A7" w:rsidP="002916F4">
            <w:pPr>
              <w:pStyle w:val="Prrafodelista"/>
              <w:numPr>
                <w:ilvl w:val="0"/>
                <w:numId w:val="31"/>
              </w:numPr>
              <w:ind w:left="272" w:hanging="142"/>
              <w:rPr>
                <w:rFonts w:cs="Arial"/>
                <w:sz w:val="22"/>
                <w:szCs w:val="22"/>
              </w:rPr>
            </w:pPr>
            <w:r w:rsidRPr="00FC5BB7">
              <w:rPr>
                <w:rFonts w:cs="Arial"/>
                <w:sz w:val="22"/>
                <w:szCs w:val="22"/>
              </w:rPr>
              <w:t>Resolución No. 100-006</w:t>
            </w:r>
            <w:r w:rsidR="00125FE4" w:rsidRPr="00FC5BB7">
              <w:rPr>
                <w:rFonts w:cs="Arial"/>
                <w:sz w:val="22"/>
                <w:szCs w:val="22"/>
              </w:rPr>
              <w:t>261 del 2 de octubre de 2020, por la cual se establecen los criterios para d</w:t>
            </w:r>
            <w:r w:rsidR="00125FE4" w:rsidRPr="00BB17D5">
              <w:rPr>
                <w:rFonts w:cs="Arial"/>
                <w:sz w:val="22"/>
                <w:szCs w:val="22"/>
              </w:rPr>
              <w:t>eterminar cuáles sociedades deben adoptar los Programas de Transparencia y Ética Empresarial.</w:t>
            </w:r>
          </w:p>
          <w:p w14:paraId="35658A98" w14:textId="7B941F2F" w:rsidR="00C750A7" w:rsidRPr="004B37D2" w:rsidRDefault="00C750A7" w:rsidP="004B37D2">
            <w:pPr>
              <w:rPr>
                <w:rFonts w:cs="Arial"/>
                <w:sz w:val="22"/>
                <w:szCs w:val="22"/>
              </w:rPr>
            </w:pPr>
          </w:p>
        </w:tc>
      </w:tr>
    </w:tbl>
    <w:p w14:paraId="16C7930F" w14:textId="2111B347" w:rsidR="00EB35CF" w:rsidRDefault="00EB35CF" w:rsidP="00285D54">
      <w:pPr>
        <w:rPr>
          <w:rFonts w:cs="Arial"/>
          <w:sz w:val="22"/>
          <w:szCs w:val="22"/>
          <w:lang w:val="es-MX"/>
        </w:rPr>
      </w:pPr>
    </w:p>
    <w:p w14:paraId="3F1773B3" w14:textId="01BE69C1" w:rsidR="004B37D2" w:rsidRDefault="004B37D2" w:rsidP="00285D54">
      <w:pPr>
        <w:rPr>
          <w:rFonts w:cs="Arial"/>
          <w:sz w:val="22"/>
          <w:szCs w:val="22"/>
          <w:lang w:val="es-MX"/>
        </w:rPr>
      </w:pPr>
    </w:p>
    <w:p w14:paraId="00EBCEC9" w14:textId="716894F0" w:rsidR="004B37D2" w:rsidRDefault="004B37D2" w:rsidP="00285D54">
      <w:pPr>
        <w:rPr>
          <w:rFonts w:cs="Arial"/>
          <w:sz w:val="22"/>
          <w:szCs w:val="22"/>
          <w:lang w:val="es-MX"/>
        </w:rPr>
      </w:pPr>
    </w:p>
    <w:p w14:paraId="5426BA8F" w14:textId="77777777" w:rsidR="004B37D2" w:rsidRDefault="004B37D2" w:rsidP="00285D54">
      <w:pPr>
        <w:rPr>
          <w:rFonts w:cs="Arial"/>
          <w:sz w:val="22"/>
          <w:szCs w:val="22"/>
          <w:lang w:val="es-MX"/>
        </w:rPr>
      </w:pPr>
    </w:p>
    <w:p w14:paraId="1103BC30" w14:textId="77777777" w:rsidR="00AD662C" w:rsidRPr="005738BE" w:rsidRDefault="00AD662C" w:rsidP="00285D54">
      <w:pPr>
        <w:rPr>
          <w:rFonts w:cs="Arial"/>
          <w:sz w:val="22"/>
          <w:szCs w:val="22"/>
          <w:lang w:val="es-MX"/>
        </w:rPr>
      </w:pPr>
    </w:p>
    <w:p w14:paraId="016172F5" w14:textId="77777777" w:rsidR="003D5388" w:rsidRPr="004B37D2" w:rsidRDefault="00093DA0" w:rsidP="00093DA0">
      <w:pPr>
        <w:pStyle w:val="Ttulo"/>
        <w:keepNext w:val="0"/>
        <w:keepLines w:val="0"/>
        <w:rPr>
          <w:rFonts w:cs="Arial"/>
          <w:sz w:val="22"/>
          <w:szCs w:val="22"/>
          <w:lang w:val="es-MX"/>
        </w:rPr>
      </w:pPr>
      <w:r w:rsidRPr="004B37D2">
        <w:rPr>
          <w:rFonts w:cs="Arial"/>
          <w:sz w:val="22"/>
          <w:szCs w:val="22"/>
          <w:lang w:val="es-MX"/>
        </w:rPr>
        <w:t>ASPECTOS GENERALES</w:t>
      </w:r>
    </w:p>
    <w:p w14:paraId="1283BF94" w14:textId="77777777" w:rsidR="007A4D19" w:rsidRPr="005738BE" w:rsidRDefault="007A4D19" w:rsidP="007A4D19">
      <w:pPr>
        <w:pStyle w:val="Ttulo"/>
        <w:numPr>
          <w:ilvl w:val="0"/>
          <w:numId w:val="0"/>
        </w:numPr>
        <w:tabs>
          <w:tab w:val="left" w:pos="142"/>
          <w:tab w:val="left" w:pos="284"/>
        </w:tabs>
        <w:rPr>
          <w:rFonts w:cs="Arial"/>
          <w:sz w:val="22"/>
          <w:szCs w:val="22"/>
          <w:lang w:val="es-MX"/>
        </w:rPr>
      </w:pPr>
    </w:p>
    <w:p w14:paraId="1D94E2CA" w14:textId="1DC4EF0A" w:rsidR="00AD662C" w:rsidRDefault="00417210" w:rsidP="00417210">
      <w:pPr>
        <w:rPr>
          <w:rFonts w:cs="Arial"/>
          <w:sz w:val="22"/>
          <w:szCs w:val="22"/>
          <w:lang w:val="es-MX"/>
        </w:rPr>
      </w:pPr>
      <w:r w:rsidRPr="00EC1202">
        <w:rPr>
          <w:rFonts w:cs="Arial"/>
          <w:sz w:val="22"/>
          <w:szCs w:val="22"/>
          <w:lang w:val="es-MX"/>
        </w:rPr>
        <w:t xml:space="preserve">La Superintendencia de Sociedades pone a disposición de sus usuarios esta guía ilustrativa </w:t>
      </w:r>
      <w:r w:rsidR="00AD662C">
        <w:rPr>
          <w:rFonts w:cs="Arial"/>
          <w:sz w:val="22"/>
          <w:szCs w:val="22"/>
          <w:lang w:val="es-MX"/>
        </w:rPr>
        <w:t xml:space="preserve">para entender el fenómeno de la corrupción transnacional y como Colombia a través de los diferentes instrumentos internacionales ratificados y en especial la Ley 1778 de 2016, enfrenta el soborno transnacional como una conducta </w:t>
      </w:r>
      <w:r w:rsidR="000C6E0F">
        <w:rPr>
          <w:rFonts w:cs="Arial"/>
          <w:sz w:val="22"/>
          <w:szCs w:val="22"/>
          <w:lang w:val="es-MX"/>
        </w:rPr>
        <w:t xml:space="preserve">administrativamente </w:t>
      </w:r>
      <w:r w:rsidR="00AD662C">
        <w:rPr>
          <w:rFonts w:cs="Arial"/>
          <w:sz w:val="22"/>
          <w:szCs w:val="22"/>
          <w:lang w:val="es-MX"/>
        </w:rPr>
        <w:t>sancionable.</w:t>
      </w:r>
    </w:p>
    <w:p w14:paraId="225E39CA" w14:textId="77777777" w:rsidR="00AD662C" w:rsidRDefault="00AD662C" w:rsidP="00417210">
      <w:pPr>
        <w:rPr>
          <w:rFonts w:cs="Arial"/>
          <w:sz w:val="22"/>
          <w:szCs w:val="22"/>
          <w:lang w:val="es-MX"/>
        </w:rPr>
      </w:pPr>
    </w:p>
    <w:p w14:paraId="63594870" w14:textId="12C219F3" w:rsidR="00C86305" w:rsidRPr="005738BE" w:rsidRDefault="00AD662C" w:rsidP="00417210">
      <w:pPr>
        <w:rPr>
          <w:rFonts w:cs="Arial"/>
          <w:sz w:val="22"/>
          <w:szCs w:val="22"/>
          <w:lang w:val="es-MX"/>
        </w:rPr>
      </w:pPr>
      <w:r>
        <w:rPr>
          <w:rFonts w:cs="Arial"/>
          <w:sz w:val="22"/>
          <w:szCs w:val="22"/>
          <w:lang w:val="es-MX"/>
        </w:rPr>
        <w:t xml:space="preserve">Adicional a esto, </w:t>
      </w:r>
      <w:r w:rsidR="000C6E0F">
        <w:rPr>
          <w:rFonts w:cs="Arial"/>
          <w:sz w:val="22"/>
          <w:szCs w:val="22"/>
          <w:lang w:val="es-MX"/>
        </w:rPr>
        <w:t xml:space="preserve">la </w:t>
      </w:r>
      <w:r>
        <w:rPr>
          <w:rFonts w:cs="Arial"/>
          <w:sz w:val="22"/>
          <w:szCs w:val="22"/>
          <w:lang w:val="es-MX"/>
        </w:rPr>
        <w:t xml:space="preserve">guía </w:t>
      </w:r>
      <w:r w:rsidR="000C6E0F">
        <w:rPr>
          <w:rFonts w:cs="Arial"/>
          <w:sz w:val="22"/>
          <w:szCs w:val="22"/>
          <w:lang w:val="es-MX"/>
        </w:rPr>
        <w:t xml:space="preserve">servirá </w:t>
      </w:r>
      <w:r w:rsidR="002D7A41" w:rsidRPr="00D902B7">
        <w:rPr>
          <w:rFonts w:cs="Arial"/>
          <w:sz w:val="22"/>
          <w:szCs w:val="22"/>
          <w:lang w:val="es-MX"/>
        </w:rPr>
        <w:t>como complemento de las instrucciones administrativas relacionadas con la promoción de los programas de transparencia y ética empresarial (Circular Externa 100-0000</w:t>
      </w:r>
      <w:r w:rsidR="002354E9" w:rsidRPr="005738BE">
        <w:rPr>
          <w:rFonts w:cs="Arial"/>
          <w:sz w:val="22"/>
          <w:szCs w:val="22"/>
          <w:lang w:val="es-MX"/>
        </w:rPr>
        <w:t>0</w:t>
      </w:r>
      <w:r w:rsidR="002D7A41" w:rsidRPr="005738BE">
        <w:rPr>
          <w:rFonts w:cs="Arial"/>
          <w:sz w:val="22"/>
          <w:szCs w:val="22"/>
          <w:lang w:val="es-MX"/>
        </w:rPr>
        <w:t xml:space="preserve">3 de 2016), en el contexto de la norma referida. </w:t>
      </w:r>
    </w:p>
    <w:p w14:paraId="733CD474" w14:textId="77777777" w:rsidR="0059073B" w:rsidRPr="005738BE" w:rsidRDefault="0059073B" w:rsidP="00417210">
      <w:pPr>
        <w:rPr>
          <w:rFonts w:cs="Arial"/>
          <w:sz w:val="22"/>
          <w:szCs w:val="22"/>
          <w:lang w:val="es-MX"/>
        </w:rPr>
      </w:pPr>
    </w:p>
    <w:p w14:paraId="7FAF4D8A" w14:textId="27132056" w:rsidR="00D5218F" w:rsidRPr="005738BE" w:rsidRDefault="00417210" w:rsidP="00285D54">
      <w:pPr>
        <w:rPr>
          <w:rFonts w:cs="Arial"/>
          <w:sz w:val="22"/>
          <w:szCs w:val="22"/>
          <w:lang w:val="es-MX"/>
        </w:rPr>
      </w:pPr>
      <w:r w:rsidRPr="005738BE">
        <w:rPr>
          <w:rFonts w:cs="Arial"/>
          <w:sz w:val="22"/>
          <w:szCs w:val="22"/>
          <w:lang w:val="es-MX"/>
        </w:rPr>
        <w:t>Est</w:t>
      </w:r>
      <w:r w:rsidR="000C6E0F">
        <w:rPr>
          <w:rFonts w:cs="Arial"/>
          <w:sz w:val="22"/>
          <w:szCs w:val="22"/>
          <w:lang w:val="es-MX"/>
        </w:rPr>
        <w:t>e documento</w:t>
      </w:r>
      <w:r w:rsidR="00354031" w:rsidRPr="005738BE">
        <w:rPr>
          <w:rFonts w:cs="Arial"/>
          <w:sz w:val="22"/>
          <w:szCs w:val="22"/>
          <w:lang w:val="es-MX"/>
        </w:rPr>
        <w:t xml:space="preserve"> pretende contribuir a la </w:t>
      </w:r>
      <w:r w:rsidR="009E27B0" w:rsidRPr="005738BE">
        <w:rPr>
          <w:rFonts w:cs="Arial"/>
          <w:sz w:val="22"/>
          <w:szCs w:val="22"/>
          <w:lang w:val="es-MX"/>
        </w:rPr>
        <w:t xml:space="preserve">labor </w:t>
      </w:r>
      <w:r w:rsidR="00354031" w:rsidRPr="005738BE">
        <w:rPr>
          <w:rFonts w:cs="Arial"/>
          <w:sz w:val="22"/>
          <w:szCs w:val="22"/>
          <w:lang w:val="es-MX"/>
        </w:rPr>
        <w:t xml:space="preserve">las empresas en su </w:t>
      </w:r>
      <w:r w:rsidR="009E27B0" w:rsidRPr="005738BE">
        <w:rPr>
          <w:rFonts w:cs="Arial"/>
          <w:sz w:val="22"/>
          <w:szCs w:val="22"/>
          <w:lang w:val="es-MX"/>
        </w:rPr>
        <w:t>luch</w:t>
      </w:r>
      <w:r w:rsidR="00D5218F" w:rsidRPr="005738BE">
        <w:rPr>
          <w:rFonts w:cs="Arial"/>
          <w:sz w:val="22"/>
          <w:szCs w:val="22"/>
          <w:lang w:val="es-MX"/>
        </w:rPr>
        <w:t>a contra las conductas de soborno internacional</w:t>
      </w:r>
      <w:r w:rsidR="00354031" w:rsidRPr="005738BE">
        <w:rPr>
          <w:rFonts w:cs="Arial"/>
          <w:sz w:val="22"/>
          <w:szCs w:val="22"/>
          <w:lang w:val="es-MX"/>
        </w:rPr>
        <w:t xml:space="preserve">, pues </w:t>
      </w:r>
      <w:r w:rsidR="00A54AB8" w:rsidRPr="005738BE">
        <w:rPr>
          <w:rFonts w:cs="Arial"/>
          <w:sz w:val="22"/>
          <w:szCs w:val="22"/>
          <w:lang w:val="es-MX"/>
        </w:rPr>
        <w:t>l</w:t>
      </w:r>
      <w:r w:rsidR="009E27B0" w:rsidRPr="005738BE">
        <w:rPr>
          <w:rFonts w:cs="Arial"/>
          <w:sz w:val="22"/>
          <w:szCs w:val="22"/>
          <w:lang w:val="es-MX"/>
        </w:rPr>
        <w:t xml:space="preserve">a autorregulación </w:t>
      </w:r>
      <w:r w:rsidR="008669E5" w:rsidRPr="005738BE">
        <w:rPr>
          <w:rFonts w:cs="Arial"/>
          <w:sz w:val="22"/>
          <w:szCs w:val="22"/>
          <w:lang w:val="es-MX"/>
        </w:rPr>
        <w:t xml:space="preserve">en el </w:t>
      </w:r>
      <w:r w:rsidR="009E27B0" w:rsidRPr="005738BE">
        <w:rPr>
          <w:rFonts w:cs="Arial"/>
          <w:sz w:val="22"/>
          <w:szCs w:val="22"/>
          <w:lang w:val="es-MX"/>
        </w:rPr>
        <w:t xml:space="preserve">sector privado </w:t>
      </w:r>
      <w:r w:rsidR="00D5218F" w:rsidRPr="005738BE">
        <w:rPr>
          <w:rFonts w:cs="Arial"/>
          <w:sz w:val="22"/>
          <w:szCs w:val="22"/>
          <w:lang w:val="es-MX"/>
        </w:rPr>
        <w:t xml:space="preserve">es fundamental para combatir este flagelo. </w:t>
      </w:r>
    </w:p>
    <w:p w14:paraId="033E9A74" w14:textId="77777777" w:rsidR="00D5218F" w:rsidRPr="005738BE" w:rsidRDefault="00D5218F" w:rsidP="00285D54">
      <w:pPr>
        <w:rPr>
          <w:rFonts w:cs="Arial"/>
          <w:sz w:val="22"/>
          <w:szCs w:val="22"/>
          <w:lang w:val="es-MX"/>
        </w:rPr>
      </w:pPr>
    </w:p>
    <w:p w14:paraId="13B7F63C" w14:textId="77777777" w:rsidR="009D0139" w:rsidRPr="005738BE" w:rsidRDefault="008669E5" w:rsidP="00D5218F">
      <w:pPr>
        <w:rPr>
          <w:rFonts w:cs="Arial"/>
          <w:sz w:val="22"/>
          <w:szCs w:val="22"/>
          <w:lang w:val="es-MX"/>
        </w:rPr>
      </w:pPr>
      <w:r w:rsidRPr="005738BE">
        <w:rPr>
          <w:rFonts w:cs="Arial"/>
          <w:sz w:val="22"/>
          <w:szCs w:val="22"/>
          <w:lang w:val="es-MX"/>
        </w:rPr>
        <w:t>Es claro que</w:t>
      </w:r>
      <w:r w:rsidR="002D7A41" w:rsidRPr="005738BE">
        <w:rPr>
          <w:rFonts w:cs="Arial"/>
          <w:sz w:val="22"/>
          <w:szCs w:val="22"/>
          <w:lang w:val="es-MX"/>
        </w:rPr>
        <w:t xml:space="preserve"> </w:t>
      </w:r>
      <w:r w:rsidRPr="005738BE">
        <w:rPr>
          <w:rFonts w:cs="Arial"/>
          <w:sz w:val="22"/>
          <w:szCs w:val="22"/>
          <w:lang w:val="es-MX"/>
        </w:rPr>
        <w:t xml:space="preserve">las empresas </w:t>
      </w:r>
      <w:r w:rsidR="00354031" w:rsidRPr="005738BE">
        <w:rPr>
          <w:rFonts w:cs="Arial"/>
          <w:sz w:val="22"/>
          <w:szCs w:val="22"/>
          <w:lang w:val="es-MX"/>
        </w:rPr>
        <w:t xml:space="preserve">son responsables del desarrollo de sus negocios y deben propender </w:t>
      </w:r>
      <w:r w:rsidR="009C53CE" w:rsidRPr="005738BE">
        <w:rPr>
          <w:rFonts w:cs="Arial"/>
          <w:sz w:val="22"/>
          <w:szCs w:val="22"/>
          <w:lang w:val="es-MX"/>
        </w:rPr>
        <w:t>a</w:t>
      </w:r>
      <w:r w:rsidR="00354031" w:rsidRPr="005738BE">
        <w:rPr>
          <w:rFonts w:cs="Arial"/>
          <w:sz w:val="22"/>
          <w:szCs w:val="22"/>
          <w:lang w:val="es-MX"/>
        </w:rPr>
        <w:t xml:space="preserve"> evitar la presencia de distorsiones que puedan dar origen a desequilibrios en la oferta y demanda de bienes y servicios. En efecto, la posibilidad de que existan relaciones desiguales entre los participantes de un mercado puede originarse en la carencia de controles adecuados para prevenir y detectar prácticas corruptas, tales como el soborno internacional.</w:t>
      </w:r>
    </w:p>
    <w:p w14:paraId="136E2814" w14:textId="77777777" w:rsidR="009D0139" w:rsidRPr="005738BE" w:rsidRDefault="009D0139" w:rsidP="00D5218F">
      <w:pPr>
        <w:rPr>
          <w:rFonts w:cs="Arial"/>
          <w:sz w:val="22"/>
          <w:szCs w:val="22"/>
          <w:lang w:val="es-MX"/>
        </w:rPr>
      </w:pPr>
    </w:p>
    <w:p w14:paraId="04044E4D" w14:textId="51BBE11D" w:rsidR="00D5218F" w:rsidRPr="005738BE" w:rsidRDefault="002D7A41" w:rsidP="00D5218F">
      <w:pPr>
        <w:rPr>
          <w:rFonts w:cs="Arial"/>
          <w:sz w:val="22"/>
          <w:szCs w:val="22"/>
          <w:lang w:val="es-MX"/>
        </w:rPr>
      </w:pPr>
      <w:r w:rsidRPr="005738BE">
        <w:rPr>
          <w:rFonts w:cs="Arial"/>
          <w:sz w:val="22"/>
          <w:szCs w:val="22"/>
          <w:lang w:val="es-MX"/>
        </w:rPr>
        <w:t>Con el propósito d</w:t>
      </w:r>
      <w:r w:rsidR="00BB7084" w:rsidRPr="005738BE">
        <w:rPr>
          <w:rFonts w:cs="Arial"/>
          <w:sz w:val="22"/>
          <w:szCs w:val="22"/>
          <w:lang w:val="es-MX"/>
        </w:rPr>
        <w:t xml:space="preserve">e contribuir </w:t>
      </w:r>
      <w:r w:rsidR="00C71498" w:rsidRPr="005738BE">
        <w:rPr>
          <w:rFonts w:cs="Arial"/>
          <w:sz w:val="22"/>
          <w:szCs w:val="22"/>
          <w:lang w:val="es-MX"/>
        </w:rPr>
        <w:t xml:space="preserve">en la lucha contra el soborno </w:t>
      </w:r>
      <w:r w:rsidR="000C6E0F">
        <w:rPr>
          <w:rFonts w:cs="Arial"/>
          <w:sz w:val="22"/>
          <w:szCs w:val="22"/>
          <w:lang w:val="es-MX"/>
        </w:rPr>
        <w:t>transnacional</w:t>
      </w:r>
      <w:r w:rsidR="00BB7084" w:rsidRPr="005738BE">
        <w:rPr>
          <w:rFonts w:cs="Arial"/>
          <w:sz w:val="22"/>
          <w:szCs w:val="22"/>
          <w:lang w:val="es-MX"/>
        </w:rPr>
        <w:t xml:space="preserve">, </w:t>
      </w:r>
      <w:r w:rsidRPr="005738BE">
        <w:rPr>
          <w:rFonts w:cs="Arial"/>
          <w:sz w:val="22"/>
          <w:szCs w:val="22"/>
          <w:lang w:val="es-MX"/>
        </w:rPr>
        <w:t xml:space="preserve">se desarrolló esta guía como un instrumento útil y práctico </w:t>
      </w:r>
      <w:r w:rsidR="009D0139" w:rsidRPr="005738BE">
        <w:rPr>
          <w:rFonts w:cs="Arial"/>
          <w:sz w:val="22"/>
          <w:szCs w:val="22"/>
        </w:rPr>
        <w:t>para que las empresas</w:t>
      </w:r>
      <w:r w:rsidR="009D0139" w:rsidRPr="005738BE">
        <w:rPr>
          <w:rFonts w:cs="Arial"/>
          <w:sz w:val="22"/>
          <w:szCs w:val="22"/>
          <w:lang w:val="es-MX"/>
        </w:rPr>
        <w:t xml:space="preserve"> </w:t>
      </w:r>
      <w:r w:rsidR="00D5218F" w:rsidRPr="005738BE">
        <w:rPr>
          <w:rFonts w:cs="Arial"/>
          <w:sz w:val="22"/>
          <w:szCs w:val="22"/>
          <w:lang w:val="es-MX"/>
        </w:rPr>
        <w:t>tengan claridad sobre la conducta</w:t>
      </w:r>
      <w:r w:rsidR="009D0139" w:rsidRPr="005738BE">
        <w:rPr>
          <w:rFonts w:cs="Arial"/>
          <w:sz w:val="22"/>
          <w:szCs w:val="22"/>
          <w:lang w:val="es-MX"/>
        </w:rPr>
        <w:t xml:space="preserve"> </w:t>
      </w:r>
      <w:r w:rsidR="0059073B" w:rsidRPr="005738BE">
        <w:rPr>
          <w:rFonts w:cs="Arial"/>
          <w:sz w:val="22"/>
          <w:szCs w:val="22"/>
          <w:lang w:val="es-MX"/>
        </w:rPr>
        <w:t xml:space="preserve">y </w:t>
      </w:r>
      <w:r w:rsidR="009D0139" w:rsidRPr="005738BE">
        <w:rPr>
          <w:rFonts w:cs="Arial"/>
          <w:sz w:val="22"/>
          <w:szCs w:val="22"/>
          <w:lang w:val="es-MX"/>
        </w:rPr>
        <w:t xml:space="preserve">puedan </w:t>
      </w:r>
      <w:r w:rsidR="00D5218F" w:rsidRPr="005738BE">
        <w:rPr>
          <w:rFonts w:cs="Arial"/>
          <w:sz w:val="22"/>
          <w:szCs w:val="22"/>
          <w:lang w:val="es-MX"/>
        </w:rPr>
        <w:t>adaptar su</w:t>
      </w:r>
      <w:r w:rsidR="009D0139" w:rsidRPr="005738BE">
        <w:rPr>
          <w:rFonts w:cs="Arial"/>
          <w:sz w:val="22"/>
          <w:szCs w:val="22"/>
          <w:lang w:val="es-MX"/>
        </w:rPr>
        <w:t>s procesos para establecer mejores pr</w:t>
      </w:r>
      <w:r w:rsidR="00911A76" w:rsidRPr="005738BE">
        <w:rPr>
          <w:rFonts w:cs="Arial"/>
          <w:sz w:val="22"/>
          <w:szCs w:val="22"/>
          <w:lang w:val="es-MX"/>
        </w:rPr>
        <w:t xml:space="preserve">ácticas preventivas, controles y actuar </w:t>
      </w:r>
      <w:r w:rsidR="009D0139" w:rsidRPr="005738BE">
        <w:rPr>
          <w:rFonts w:cs="Arial"/>
          <w:sz w:val="22"/>
          <w:szCs w:val="22"/>
          <w:lang w:val="es-MX"/>
        </w:rPr>
        <w:t>de manera coordinada con las autoridades para prevenirlo.</w:t>
      </w:r>
    </w:p>
    <w:p w14:paraId="343C9AF1" w14:textId="77777777" w:rsidR="009D0139" w:rsidRPr="005738BE" w:rsidRDefault="009D0139" w:rsidP="00F72FE1">
      <w:pPr>
        <w:rPr>
          <w:rFonts w:cs="Arial"/>
          <w:sz w:val="22"/>
          <w:szCs w:val="22"/>
          <w:lang w:val="es-MX"/>
        </w:rPr>
      </w:pPr>
    </w:p>
    <w:p w14:paraId="1410E785" w14:textId="2FB802DB" w:rsidR="00171110" w:rsidRPr="005738BE" w:rsidRDefault="00FA1EDA" w:rsidP="00093DA0">
      <w:pPr>
        <w:pStyle w:val="Ttulo"/>
        <w:keepNext w:val="0"/>
        <w:keepLines w:val="0"/>
        <w:rPr>
          <w:rFonts w:cs="Arial"/>
          <w:sz w:val="22"/>
          <w:szCs w:val="22"/>
          <w:lang w:val="es-MX"/>
        </w:rPr>
      </w:pPr>
      <w:r w:rsidRPr="005738BE">
        <w:rPr>
          <w:rFonts w:cs="Arial"/>
          <w:sz w:val="22"/>
          <w:szCs w:val="22"/>
          <w:lang w:val="es-MX"/>
        </w:rPr>
        <w:t xml:space="preserve"> </w:t>
      </w:r>
      <w:r w:rsidR="00093DA0" w:rsidRPr="004B37D2">
        <w:rPr>
          <w:rFonts w:cs="Arial"/>
          <w:sz w:val="22"/>
          <w:szCs w:val="22"/>
          <w:lang w:val="es-MX"/>
        </w:rPr>
        <w:t xml:space="preserve">ANTECEDENTES SOBORNO </w:t>
      </w:r>
      <w:r w:rsidR="00011691" w:rsidRPr="004B37D2">
        <w:rPr>
          <w:rFonts w:cs="Arial"/>
          <w:sz w:val="22"/>
          <w:szCs w:val="22"/>
          <w:lang w:val="es-MX"/>
        </w:rPr>
        <w:t xml:space="preserve">TRANSNACIONAL </w:t>
      </w:r>
    </w:p>
    <w:p w14:paraId="678E963B" w14:textId="77777777" w:rsidR="00171110" w:rsidRPr="00EC1202" w:rsidRDefault="00171110" w:rsidP="00DA037D">
      <w:pPr>
        <w:rPr>
          <w:rFonts w:cs="Arial"/>
          <w:sz w:val="22"/>
          <w:szCs w:val="22"/>
          <w:lang w:val="es-MX"/>
        </w:rPr>
      </w:pPr>
    </w:p>
    <w:p w14:paraId="6426491F" w14:textId="6E291802" w:rsidR="00BB7084" w:rsidRPr="005738BE" w:rsidRDefault="00DA037D" w:rsidP="00BB7084">
      <w:pPr>
        <w:rPr>
          <w:rFonts w:cs="Arial"/>
          <w:sz w:val="22"/>
          <w:szCs w:val="22"/>
          <w:lang w:val="es-MX"/>
        </w:rPr>
      </w:pPr>
      <w:r w:rsidRPr="00D902B7">
        <w:rPr>
          <w:rFonts w:cs="Arial"/>
          <w:sz w:val="22"/>
          <w:szCs w:val="22"/>
          <w:lang w:val="es-MX"/>
        </w:rPr>
        <w:t>En los últimos</w:t>
      </w:r>
      <w:r w:rsidR="002D7A41" w:rsidRPr="002916F4">
        <w:rPr>
          <w:rFonts w:cs="Arial"/>
          <w:sz w:val="22"/>
          <w:szCs w:val="22"/>
          <w:lang w:val="es-MX"/>
        </w:rPr>
        <w:t xml:space="preserve"> </w:t>
      </w:r>
      <w:r w:rsidRPr="002916F4">
        <w:rPr>
          <w:rFonts w:cs="Arial"/>
          <w:sz w:val="22"/>
          <w:szCs w:val="22"/>
          <w:lang w:val="es-MX"/>
        </w:rPr>
        <w:t>10 años</w:t>
      </w:r>
      <w:r w:rsidR="009F48AD" w:rsidRPr="005738BE">
        <w:rPr>
          <w:rFonts w:cs="Arial"/>
          <w:sz w:val="22"/>
          <w:szCs w:val="22"/>
          <w:lang w:val="es-MX"/>
        </w:rPr>
        <w:t>,</w:t>
      </w:r>
      <w:r w:rsidR="00BB7084" w:rsidRPr="005738BE">
        <w:rPr>
          <w:rFonts w:cs="Arial"/>
          <w:sz w:val="22"/>
          <w:szCs w:val="22"/>
          <w:lang w:val="es-MX"/>
        </w:rPr>
        <w:t xml:space="preserve"> diferentes organizaciones internacionales</w:t>
      </w:r>
      <w:r w:rsidRPr="005738BE">
        <w:rPr>
          <w:rFonts w:cs="Arial"/>
          <w:sz w:val="22"/>
          <w:szCs w:val="22"/>
          <w:lang w:val="es-MX"/>
        </w:rPr>
        <w:t xml:space="preserve"> ha</w:t>
      </w:r>
      <w:r w:rsidR="00BB7084" w:rsidRPr="005738BE">
        <w:rPr>
          <w:rFonts w:cs="Arial"/>
          <w:sz w:val="22"/>
          <w:szCs w:val="22"/>
          <w:lang w:val="es-MX"/>
        </w:rPr>
        <w:t xml:space="preserve">n </w:t>
      </w:r>
      <w:r w:rsidR="000C6E0F" w:rsidRPr="005738BE">
        <w:rPr>
          <w:rFonts w:cs="Arial"/>
          <w:sz w:val="22"/>
          <w:szCs w:val="22"/>
          <w:lang w:val="es-MX"/>
        </w:rPr>
        <w:t>expedido diversos</w:t>
      </w:r>
      <w:r w:rsidR="00BB7084" w:rsidRPr="005738BE">
        <w:rPr>
          <w:rFonts w:cs="Arial"/>
          <w:sz w:val="22"/>
          <w:szCs w:val="22"/>
          <w:lang w:val="es-MX"/>
        </w:rPr>
        <w:t xml:space="preserve"> acuerdos </w:t>
      </w:r>
      <w:r w:rsidRPr="005738BE">
        <w:rPr>
          <w:rFonts w:cs="Arial"/>
          <w:sz w:val="22"/>
          <w:szCs w:val="22"/>
          <w:lang w:val="es-MX"/>
        </w:rPr>
        <w:t>para combatir el soborno</w:t>
      </w:r>
      <w:r w:rsidR="00BB7084" w:rsidRPr="005738BE">
        <w:rPr>
          <w:rFonts w:cs="Arial"/>
          <w:sz w:val="22"/>
          <w:szCs w:val="22"/>
          <w:lang w:val="es-MX"/>
        </w:rPr>
        <w:t xml:space="preserve"> </w:t>
      </w:r>
      <w:r w:rsidR="00D45C7D" w:rsidRPr="005738BE">
        <w:rPr>
          <w:rFonts w:cs="Arial"/>
          <w:sz w:val="22"/>
          <w:szCs w:val="22"/>
          <w:lang w:val="es-MX"/>
        </w:rPr>
        <w:t>transnacional</w:t>
      </w:r>
      <w:r w:rsidRPr="005738BE">
        <w:rPr>
          <w:rFonts w:cs="Arial"/>
          <w:sz w:val="22"/>
          <w:szCs w:val="22"/>
          <w:lang w:val="es-MX"/>
        </w:rPr>
        <w:t>.</w:t>
      </w:r>
      <w:r w:rsidR="00BB7084" w:rsidRPr="005738BE">
        <w:rPr>
          <w:rFonts w:cs="Arial"/>
          <w:sz w:val="22"/>
          <w:szCs w:val="22"/>
          <w:lang w:val="es-MX"/>
        </w:rPr>
        <w:t xml:space="preserve"> Estas disposiciones delimitan conceptual y jurídicamente las conductas y acciones</w:t>
      </w:r>
      <w:r w:rsidR="00A5592F" w:rsidRPr="005738BE">
        <w:rPr>
          <w:rFonts w:cs="Arial"/>
          <w:sz w:val="22"/>
          <w:szCs w:val="22"/>
          <w:lang w:val="es-MX"/>
        </w:rPr>
        <w:t>,</w:t>
      </w:r>
      <w:r w:rsidR="00BB7084" w:rsidRPr="005738BE">
        <w:rPr>
          <w:rFonts w:cs="Arial"/>
          <w:sz w:val="22"/>
          <w:szCs w:val="22"/>
          <w:lang w:val="es-MX"/>
        </w:rPr>
        <w:t xml:space="preserve"> para que sean los Estados quienes adopten las medidas internas que se ajusten a los esfuerzos internacionales de lucha contra estos flagelos. </w:t>
      </w:r>
    </w:p>
    <w:p w14:paraId="2BD0157C" w14:textId="77777777" w:rsidR="005A403F" w:rsidRPr="005738BE" w:rsidRDefault="005A403F" w:rsidP="00DA037D">
      <w:pPr>
        <w:rPr>
          <w:rFonts w:cs="Arial"/>
          <w:sz w:val="22"/>
          <w:szCs w:val="22"/>
          <w:lang w:val="es-MX"/>
        </w:rPr>
      </w:pPr>
    </w:p>
    <w:p w14:paraId="68D50D1D" w14:textId="2E9AB065" w:rsidR="00BB7084" w:rsidRPr="005738BE" w:rsidRDefault="00A5592F" w:rsidP="00DA037D">
      <w:pPr>
        <w:rPr>
          <w:rFonts w:cs="Arial"/>
          <w:sz w:val="22"/>
          <w:szCs w:val="22"/>
          <w:lang w:val="es-MX"/>
        </w:rPr>
      </w:pPr>
      <w:r w:rsidRPr="005738BE">
        <w:rPr>
          <w:rFonts w:cs="Arial"/>
          <w:sz w:val="22"/>
          <w:szCs w:val="22"/>
          <w:lang w:val="es-MX"/>
        </w:rPr>
        <w:t xml:space="preserve">En la </w:t>
      </w:r>
      <w:r w:rsidR="005A403F" w:rsidRPr="005738BE">
        <w:rPr>
          <w:rFonts w:cs="Arial"/>
          <w:sz w:val="22"/>
          <w:szCs w:val="22"/>
          <w:lang w:val="es-MX"/>
        </w:rPr>
        <w:t xml:space="preserve">gran mayoría </w:t>
      </w:r>
      <w:r w:rsidRPr="005738BE">
        <w:rPr>
          <w:rFonts w:cs="Arial"/>
          <w:sz w:val="22"/>
          <w:szCs w:val="22"/>
          <w:lang w:val="es-MX"/>
        </w:rPr>
        <w:t>de</w:t>
      </w:r>
      <w:r w:rsidR="00BB7084" w:rsidRPr="005738BE">
        <w:rPr>
          <w:rFonts w:cs="Arial"/>
          <w:sz w:val="22"/>
          <w:szCs w:val="22"/>
          <w:lang w:val="es-MX"/>
        </w:rPr>
        <w:t xml:space="preserve"> acuerdos internacionales </w:t>
      </w:r>
      <w:r w:rsidRPr="005738BE">
        <w:rPr>
          <w:rFonts w:cs="Arial"/>
          <w:sz w:val="22"/>
          <w:szCs w:val="22"/>
          <w:lang w:val="es-MX"/>
        </w:rPr>
        <w:t xml:space="preserve">sobre la materia, se </w:t>
      </w:r>
      <w:r w:rsidR="005A403F" w:rsidRPr="005738BE">
        <w:rPr>
          <w:rFonts w:cs="Arial"/>
          <w:sz w:val="22"/>
          <w:szCs w:val="22"/>
          <w:lang w:val="es-MX"/>
        </w:rPr>
        <w:t xml:space="preserve">prevé </w:t>
      </w:r>
      <w:r w:rsidR="00031B26" w:rsidRPr="005738BE">
        <w:rPr>
          <w:rFonts w:cs="Arial"/>
          <w:sz w:val="22"/>
          <w:szCs w:val="22"/>
          <w:lang w:val="es-MX"/>
        </w:rPr>
        <w:t xml:space="preserve">que los Estados que </w:t>
      </w:r>
      <w:r w:rsidR="00BB7084" w:rsidRPr="005738BE">
        <w:rPr>
          <w:rFonts w:cs="Arial"/>
          <w:sz w:val="22"/>
          <w:szCs w:val="22"/>
          <w:lang w:val="es-MX"/>
        </w:rPr>
        <w:t xml:space="preserve">los </w:t>
      </w:r>
      <w:r w:rsidR="00031B26" w:rsidRPr="005738BE">
        <w:rPr>
          <w:rFonts w:cs="Arial"/>
          <w:sz w:val="22"/>
          <w:szCs w:val="22"/>
          <w:lang w:val="es-MX"/>
        </w:rPr>
        <w:t>suscriban</w:t>
      </w:r>
      <w:r w:rsidR="00BB7084" w:rsidRPr="005738BE">
        <w:rPr>
          <w:rFonts w:cs="Arial"/>
          <w:sz w:val="22"/>
          <w:szCs w:val="22"/>
          <w:lang w:val="es-MX"/>
        </w:rPr>
        <w:t>,</w:t>
      </w:r>
      <w:r w:rsidR="00031B26" w:rsidRPr="005738BE">
        <w:rPr>
          <w:rFonts w:cs="Arial"/>
          <w:sz w:val="22"/>
          <w:szCs w:val="22"/>
          <w:lang w:val="es-MX"/>
        </w:rPr>
        <w:t xml:space="preserve"> investiguen y castiguen las conductas relacionadas con </w:t>
      </w:r>
      <w:r w:rsidR="00BB7084" w:rsidRPr="005738BE">
        <w:rPr>
          <w:rFonts w:cs="Arial"/>
          <w:sz w:val="22"/>
          <w:szCs w:val="22"/>
          <w:lang w:val="es-MX"/>
        </w:rPr>
        <w:t>soborno</w:t>
      </w:r>
      <w:r w:rsidR="005C0382" w:rsidRPr="005738BE">
        <w:rPr>
          <w:rFonts w:cs="Arial"/>
          <w:sz w:val="22"/>
          <w:szCs w:val="22"/>
          <w:lang w:val="es-MX"/>
        </w:rPr>
        <w:t xml:space="preserve"> transnacional</w:t>
      </w:r>
      <w:r w:rsidR="00031B26" w:rsidRPr="005738BE">
        <w:rPr>
          <w:rFonts w:cs="Arial"/>
          <w:sz w:val="22"/>
          <w:szCs w:val="22"/>
          <w:lang w:val="es-MX"/>
        </w:rPr>
        <w:t xml:space="preserve">. De manera especial, éstos exigen </w:t>
      </w:r>
      <w:r w:rsidR="00BB7084" w:rsidRPr="005738BE">
        <w:rPr>
          <w:rFonts w:cs="Arial"/>
          <w:sz w:val="22"/>
          <w:szCs w:val="22"/>
          <w:lang w:val="es-MX"/>
        </w:rPr>
        <w:t xml:space="preserve">establecer </w:t>
      </w:r>
      <w:r w:rsidR="00031B26" w:rsidRPr="005738BE">
        <w:rPr>
          <w:rFonts w:cs="Arial"/>
          <w:sz w:val="22"/>
          <w:szCs w:val="22"/>
          <w:lang w:val="es-MX"/>
        </w:rPr>
        <w:t xml:space="preserve">responsabilidad para las personas jurídicas que se encuentren involucradas en </w:t>
      </w:r>
      <w:r w:rsidRPr="005738BE">
        <w:rPr>
          <w:rFonts w:cs="Arial"/>
          <w:sz w:val="22"/>
          <w:szCs w:val="22"/>
          <w:lang w:val="es-MX"/>
        </w:rPr>
        <w:t>tales</w:t>
      </w:r>
      <w:r w:rsidR="00031B26" w:rsidRPr="005738BE">
        <w:rPr>
          <w:rFonts w:cs="Arial"/>
          <w:sz w:val="22"/>
          <w:szCs w:val="22"/>
          <w:lang w:val="es-MX"/>
        </w:rPr>
        <w:t xml:space="preserve"> actos.</w:t>
      </w:r>
    </w:p>
    <w:p w14:paraId="5064EDEC" w14:textId="77777777" w:rsidR="00BB7084" w:rsidRPr="005738BE" w:rsidRDefault="00BB7084" w:rsidP="00DA037D">
      <w:pPr>
        <w:rPr>
          <w:rFonts w:cs="Arial"/>
          <w:sz w:val="22"/>
          <w:szCs w:val="22"/>
          <w:lang w:val="es-MX"/>
        </w:rPr>
      </w:pPr>
    </w:p>
    <w:p w14:paraId="4B084F26" w14:textId="398B048E" w:rsidR="00BB7084" w:rsidRPr="005738BE" w:rsidRDefault="00EB35CF" w:rsidP="00DA037D">
      <w:pPr>
        <w:rPr>
          <w:rFonts w:cs="Arial"/>
          <w:sz w:val="22"/>
          <w:szCs w:val="22"/>
          <w:lang w:val="es-MX"/>
        </w:rPr>
      </w:pPr>
      <w:r w:rsidRPr="005738BE">
        <w:rPr>
          <w:rFonts w:cs="Arial"/>
          <w:sz w:val="22"/>
          <w:szCs w:val="22"/>
          <w:lang w:val="es-MX"/>
        </w:rPr>
        <w:t xml:space="preserve">A </w:t>
      </w:r>
      <w:r w:rsidR="000C6E0F" w:rsidRPr="005738BE">
        <w:rPr>
          <w:rFonts w:cs="Arial"/>
          <w:sz w:val="22"/>
          <w:szCs w:val="22"/>
          <w:lang w:val="es-MX"/>
        </w:rPr>
        <w:t>continuación,</w:t>
      </w:r>
      <w:r w:rsidRPr="005738BE">
        <w:rPr>
          <w:rFonts w:cs="Arial"/>
          <w:sz w:val="22"/>
          <w:szCs w:val="22"/>
          <w:lang w:val="es-MX"/>
        </w:rPr>
        <w:t xml:space="preserve"> se</w:t>
      </w:r>
      <w:r w:rsidR="00BB7084" w:rsidRPr="005738BE">
        <w:rPr>
          <w:rFonts w:cs="Arial"/>
          <w:sz w:val="22"/>
          <w:szCs w:val="22"/>
          <w:lang w:val="es-MX"/>
        </w:rPr>
        <w:t xml:space="preserve"> presentan las tres principales convenciones </w:t>
      </w:r>
      <w:r w:rsidR="00CA255D" w:rsidRPr="005738BE">
        <w:rPr>
          <w:rFonts w:cs="Arial"/>
          <w:sz w:val="22"/>
          <w:szCs w:val="22"/>
          <w:lang w:val="es-MX"/>
        </w:rPr>
        <w:t>internacionales ratificadas por Colombia sobre la materia.</w:t>
      </w:r>
    </w:p>
    <w:p w14:paraId="18D14B89" w14:textId="12F54C16" w:rsidR="00CA255D" w:rsidRDefault="00CA255D" w:rsidP="00DA037D">
      <w:pPr>
        <w:rPr>
          <w:rFonts w:cs="Arial"/>
          <w:sz w:val="22"/>
          <w:szCs w:val="22"/>
          <w:lang w:val="es-MX"/>
        </w:rPr>
      </w:pPr>
    </w:p>
    <w:p w14:paraId="67749A0B" w14:textId="7F467EB8" w:rsidR="000C6E0F" w:rsidRDefault="000C6E0F" w:rsidP="00DA037D">
      <w:pPr>
        <w:rPr>
          <w:rFonts w:cs="Arial"/>
          <w:sz w:val="22"/>
          <w:szCs w:val="22"/>
          <w:lang w:val="es-MX"/>
        </w:rPr>
      </w:pPr>
    </w:p>
    <w:p w14:paraId="4E785A2B" w14:textId="7A28113D" w:rsidR="000C6E0F" w:rsidRDefault="000C6E0F" w:rsidP="00DA037D">
      <w:pPr>
        <w:rPr>
          <w:rFonts w:cs="Arial"/>
          <w:sz w:val="22"/>
          <w:szCs w:val="22"/>
          <w:lang w:val="es-MX"/>
        </w:rPr>
      </w:pPr>
    </w:p>
    <w:p w14:paraId="6E2A4765" w14:textId="6701DFCE" w:rsidR="000C6E0F" w:rsidRDefault="000C6E0F" w:rsidP="00DA037D">
      <w:pPr>
        <w:rPr>
          <w:rFonts w:cs="Arial"/>
          <w:sz w:val="22"/>
          <w:szCs w:val="22"/>
          <w:lang w:val="es-MX"/>
        </w:rPr>
      </w:pPr>
    </w:p>
    <w:p w14:paraId="4DF3D440" w14:textId="77777777" w:rsidR="000C6E0F" w:rsidRDefault="000C6E0F" w:rsidP="00DA037D">
      <w:pPr>
        <w:rPr>
          <w:rFonts w:cs="Arial"/>
          <w:sz w:val="22"/>
          <w:szCs w:val="22"/>
          <w:lang w:val="es-MX"/>
        </w:rPr>
      </w:pPr>
    </w:p>
    <w:p w14:paraId="304B7B5F" w14:textId="77777777" w:rsidR="00031B26" w:rsidRPr="005738BE" w:rsidRDefault="00031B26" w:rsidP="00D37079">
      <w:pPr>
        <w:pStyle w:val="Ttulo2"/>
        <w:ind w:left="0" w:firstLine="0"/>
        <w:rPr>
          <w:rFonts w:cs="Arial"/>
          <w:sz w:val="22"/>
          <w:szCs w:val="22"/>
          <w:lang w:val="es-MX"/>
        </w:rPr>
      </w:pPr>
      <w:r w:rsidRPr="005738BE">
        <w:rPr>
          <w:rFonts w:cs="Arial"/>
          <w:sz w:val="22"/>
          <w:szCs w:val="22"/>
          <w:lang w:val="es-MX"/>
        </w:rPr>
        <w:t>Convenciones Internacionales</w:t>
      </w:r>
    </w:p>
    <w:p w14:paraId="5AC8B29E" w14:textId="46BDF4B0" w:rsidR="00642F8B" w:rsidRPr="004B37D2" w:rsidRDefault="00642F8B" w:rsidP="00031B26">
      <w:pPr>
        <w:pStyle w:val="Ttulo3"/>
        <w:ind w:left="0" w:firstLine="0"/>
        <w:rPr>
          <w:rFonts w:cs="Arial"/>
          <w:b w:val="0"/>
          <w:iCs/>
          <w:sz w:val="22"/>
          <w:szCs w:val="22"/>
        </w:rPr>
      </w:pPr>
      <w:r w:rsidRPr="004B37D2">
        <w:rPr>
          <w:rFonts w:cs="Arial"/>
          <w:b w:val="0"/>
          <w:iCs/>
          <w:sz w:val="22"/>
          <w:szCs w:val="22"/>
        </w:rPr>
        <w:t>Convención Interamericana contra la Corrupción de la Organización de Estados Americanos (1996)</w:t>
      </w:r>
      <w:r w:rsidR="00A5592F" w:rsidRPr="004B37D2">
        <w:rPr>
          <w:rFonts w:cs="Arial"/>
          <w:b w:val="0"/>
          <w:iCs/>
          <w:sz w:val="22"/>
          <w:szCs w:val="22"/>
        </w:rPr>
        <w:t>.</w:t>
      </w:r>
    </w:p>
    <w:p w14:paraId="0060ECFE" w14:textId="77777777" w:rsidR="005C0382" w:rsidRPr="004B37D2" w:rsidRDefault="005C0382" w:rsidP="004B37D2">
      <w:pPr>
        <w:rPr>
          <w:rFonts w:cs="Arial"/>
          <w:b/>
          <w:sz w:val="22"/>
          <w:szCs w:val="22"/>
        </w:rPr>
      </w:pPr>
    </w:p>
    <w:p w14:paraId="60793FB2" w14:textId="77777777" w:rsidR="00334C82" w:rsidRPr="005738BE" w:rsidRDefault="00A5592F" w:rsidP="00642F8B">
      <w:pPr>
        <w:rPr>
          <w:rFonts w:cs="Arial"/>
          <w:sz w:val="22"/>
          <w:szCs w:val="22"/>
        </w:rPr>
      </w:pPr>
      <w:r w:rsidRPr="005738BE">
        <w:rPr>
          <w:rFonts w:cs="Arial"/>
          <w:sz w:val="22"/>
          <w:szCs w:val="22"/>
        </w:rPr>
        <w:t xml:space="preserve">Esta </w:t>
      </w:r>
      <w:r w:rsidR="00334C82" w:rsidRPr="00EC1202">
        <w:rPr>
          <w:rFonts w:cs="Arial"/>
          <w:sz w:val="22"/>
          <w:szCs w:val="22"/>
        </w:rPr>
        <w:t>Convención se desarrolló</w:t>
      </w:r>
      <w:r w:rsidRPr="00EC1202">
        <w:rPr>
          <w:rFonts w:cs="Arial"/>
          <w:sz w:val="22"/>
          <w:szCs w:val="22"/>
        </w:rPr>
        <w:t xml:space="preserve"> por la referida o</w:t>
      </w:r>
      <w:r w:rsidR="00CA255D" w:rsidRPr="00D902B7">
        <w:rPr>
          <w:rFonts w:cs="Arial"/>
          <w:sz w:val="22"/>
          <w:szCs w:val="22"/>
        </w:rPr>
        <w:t xml:space="preserve">rganización </w:t>
      </w:r>
      <w:r w:rsidRPr="00D902B7">
        <w:rPr>
          <w:rFonts w:cs="Arial"/>
          <w:sz w:val="22"/>
          <w:szCs w:val="22"/>
        </w:rPr>
        <w:t>con el propósito</w:t>
      </w:r>
      <w:r w:rsidR="00CA255D" w:rsidRPr="002916F4">
        <w:rPr>
          <w:rFonts w:cs="Arial"/>
          <w:sz w:val="22"/>
          <w:szCs w:val="22"/>
        </w:rPr>
        <w:t xml:space="preserve"> de </w:t>
      </w:r>
      <w:r w:rsidR="00334C82" w:rsidRPr="005738BE">
        <w:rPr>
          <w:rFonts w:cs="Arial"/>
          <w:sz w:val="22"/>
          <w:szCs w:val="22"/>
        </w:rPr>
        <w:t xml:space="preserve">fortalecer en los Estados Parte los mecanismos necesarios para prevenir, detectar, sancionar y erradicar la corrupción, especialmente aquella relacionada con servidores públicos. </w:t>
      </w:r>
      <w:r w:rsidR="00CA255D" w:rsidRPr="005738BE">
        <w:rPr>
          <w:rFonts w:cs="Arial"/>
          <w:sz w:val="22"/>
          <w:szCs w:val="22"/>
        </w:rPr>
        <w:t>Este documento fue ratificado por Colombia mediante la Ley 412 de 1997.</w:t>
      </w:r>
    </w:p>
    <w:p w14:paraId="268D89E0" w14:textId="22DA43D5" w:rsidR="00031B26" w:rsidRPr="005738BE" w:rsidRDefault="00031B26" w:rsidP="00031B26">
      <w:pPr>
        <w:pStyle w:val="Ttulo3"/>
        <w:ind w:left="0" w:firstLine="0"/>
        <w:rPr>
          <w:rFonts w:cs="Arial"/>
          <w:b w:val="0"/>
          <w:iCs/>
          <w:sz w:val="22"/>
          <w:szCs w:val="22"/>
          <w:lang w:val="es-MX"/>
        </w:rPr>
      </w:pPr>
      <w:r w:rsidRPr="004B37D2">
        <w:rPr>
          <w:rFonts w:cs="Arial"/>
          <w:b w:val="0"/>
          <w:iCs/>
          <w:sz w:val="22"/>
          <w:szCs w:val="22"/>
          <w:lang w:val="es-MX"/>
        </w:rPr>
        <w:t>Convención de las Naciones Unidas contra la Corrupción (2003)</w:t>
      </w:r>
      <w:r w:rsidR="00A5592F" w:rsidRPr="004B37D2">
        <w:rPr>
          <w:rFonts w:cs="Arial"/>
          <w:b w:val="0"/>
          <w:iCs/>
          <w:sz w:val="22"/>
          <w:szCs w:val="22"/>
          <w:lang w:val="es-MX"/>
        </w:rPr>
        <w:t>.</w:t>
      </w:r>
    </w:p>
    <w:p w14:paraId="2A691746" w14:textId="77777777" w:rsidR="00DB365F" w:rsidRPr="004B37D2" w:rsidRDefault="00DB365F" w:rsidP="004B37D2">
      <w:pPr>
        <w:rPr>
          <w:rFonts w:cs="Arial"/>
          <w:b/>
          <w:sz w:val="22"/>
          <w:szCs w:val="22"/>
          <w:lang w:val="es-MX"/>
        </w:rPr>
      </w:pPr>
    </w:p>
    <w:p w14:paraId="1EEF13AB" w14:textId="77777777" w:rsidR="00031B26" w:rsidRPr="005738BE" w:rsidRDefault="00CA255D" w:rsidP="00031B26">
      <w:pPr>
        <w:rPr>
          <w:rFonts w:cs="Arial"/>
          <w:sz w:val="22"/>
          <w:szCs w:val="22"/>
          <w:lang w:val="es-MX"/>
        </w:rPr>
      </w:pPr>
      <w:r w:rsidRPr="005738BE">
        <w:rPr>
          <w:rFonts w:cs="Arial"/>
          <w:sz w:val="22"/>
          <w:szCs w:val="22"/>
          <w:lang w:val="es-MX"/>
        </w:rPr>
        <w:t xml:space="preserve">La </w:t>
      </w:r>
      <w:r w:rsidR="00642F8B" w:rsidRPr="00EC1202">
        <w:rPr>
          <w:rFonts w:cs="Arial"/>
          <w:sz w:val="22"/>
          <w:szCs w:val="22"/>
          <w:lang w:val="es-MX"/>
        </w:rPr>
        <w:t xml:space="preserve">finalidad </w:t>
      </w:r>
      <w:r w:rsidRPr="00EC1202">
        <w:rPr>
          <w:rFonts w:cs="Arial"/>
          <w:sz w:val="22"/>
          <w:szCs w:val="22"/>
          <w:lang w:val="es-MX"/>
        </w:rPr>
        <w:t xml:space="preserve">de </w:t>
      </w:r>
      <w:r w:rsidR="00A5592F" w:rsidRPr="00D902B7">
        <w:rPr>
          <w:rFonts w:cs="Arial"/>
          <w:sz w:val="22"/>
          <w:szCs w:val="22"/>
          <w:lang w:val="es-MX"/>
        </w:rPr>
        <w:t>esta</w:t>
      </w:r>
      <w:r w:rsidRPr="00D902B7">
        <w:rPr>
          <w:rFonts w:cs="Arial"/>
          <w:sz w:val="22"/>
          <w:szCs w:val="22"/>
          <w:lang w:val="es-MX"/>
        </w:rPr>
        <w:t xml:space="preserve"> Convención </w:t>
      </w:r>
      <w:r w:rsidR="00642F8B" w:rsidRPr="002916F4">
        <w:rPr>
          <w:rFonts w:cs="Arial"/>
          <w:sz w:val="22"/>
          <w:szCs w:val="22"/>
          <w:lang w:val="es-MX"/>
        </w:rPr>
        <w:t xml:space="preserve">es, de un lado, promover y fortalecer en los </w:t>
      </w:r>
      <w:r w:rsidRPr="005738BE">
        <w:rPr>
          <w:rFonts w:cs="Arial"/>
          <w:sz w:val="22"/>
          <w:szCs w:val="22"/>
          <w:lang w:val="es-MX"/>
        </w:rPr>
        <w:t>Estados Parte,</w:t>
      </w:r>
      <w:r w:rsidR="00642F8B" w:rsidRPr="005738BE">
        <w:rPr>
          <w:rFonts w:cs="Arial"/>
          <w:sz w:val="22"/>
          <w:szCs w:val="22"/>
          <w:lang w:val="es-MX"/>
        </w:rPr>
        <w:t xml:space="preserve"> medidas eficaces y eficientes para combatir la corrupción y, del otro, apoyar la cooperación y la asistencia internacionales en la prevención y lucha contra este flagelo. </w:t>
      </w:r>
      <w:r w:rsidR="00A5592F" w:rsidRPr="005738BE">
        <w:rPr>
          <w:rFonts w:cs="Arial"/>
          <w:sz w:val="22"/>
          <w:szCs w:val="22"/>
          <w:lang w:val="es-MX"/>
        </w:rPr>
        <w:t>Este instrumento f</w:t>
      </w:r>
      <w:r w:rsidRPr="005738BE">
        <w:rPr>
          <w:rFonts w:cs="Arial"/>
          <w:sz w:val="22"/>
          <w:szCs w:val="22"/>
          <w:lang w:val="es-MX"/>
        </w:rPr>
        <w:t>ue ratificad</w:t>
      </w:r>
      <w:r w:rsidR="00A5592F" w:rsidRPr="005738BE">
        <w:rPr>
          <w:rFonts w:cs="Arial"/>
          <w:sz w:val="22"/>
          <w:szCs w:val="22"/>
          <w:lang w:val="es-MX"/>
        </w:rPr>
        <w:t>o</w:t>
      </w:r>
      <w:r w:rsidRPr="005738BE">
        <w:rPr>
          <w:rFonts w:cs="Arial"/>
          <w:sz w:val="22"/>
          <w:szCs w:val="22"/>
          <w:lang w:val="es-MX"/>
        </w:rPr>
        <w:t xml:space="preserve"> por Colombia a través de la Ley 970 de 2005.</w:t>
      </w:r>
    </w:p>
    <w:p w14:paraId="54D250ED" w14:textId="1CAEAA8E" w:rsidR="00397A40" w:rsidRPr="005738BE" w:rsidRDefault="00D37079" w:rsidP="00031B26">
      <w:pPr>
        <w:pStyle w:val="Ttulo3"/>
        <w:ind w:left="0" w:firstLine="0"/>
        <w:rPr>
          <w:rFonts w:cs="Arial"/>
          <w:b w:val="0"/>
          <w:iCs/>
          <w:sz w:val="22"/>
          <w:szCs w:val="22"/>
          <w:lang w:val="es-MX"/>
        </w:rPr>
      </w:pPr>
      <w:r w:rsidRPr="004B37D2">
        <w:rPr>
          <w:rFonts w:cs="Arial"/>
          <w:b w:val="0"/>
          <w:iCs/>
          <w:sz w:val="22"/>
          <w:szCs w:val="22"/>
          <w:lang w:val="es-MX"/>
        </w:rPr>
        <w:t>Convención para combatir el cohecho de servidores públicos extranjeros en transacciones comerciales internacionales de la OCDE</w:t>
      </w:r>
      <w:r w:rsidR="00334C82" w:rsidRPr="004B37D2">
        <w:rPr>
          <w:rFonts w:cs="Arial"/>
          <w:b w:val="0"/>
          <w:iCs/>
          <w:sz w:val="22"/>
          <w:szCs w:val="22"/>
          <w:lang w:val="es-MX"/>
        </w:rPr>
        <w:t xml:space="preserve"> (1997)</w:t>
      </w:r>
      <w:r w:rsidR="00A5592F" w:rsidRPr="004B37D2">
        <w:rPr>
          <w:rFonts w:cs="Arial"/>
          <w:b w:val="0"/>
          <w:iCs/>
          <w:sz w:val="22"/>
          <w:szCs w:val="22"/>
          <w:lang w:val="es-MX"/>
        </w:rPr>
        <w:t>.</w:t>
      </w:r>
    </w:p>
    <w:p w14:paraId="73D1C00E" w14:textId="77777777" w:rsidR="00DB365F" w:rsidRPr="004B37D2" w:rsidRDefault="00DB365F" w:rsidP="004B37D2">
      <w:pPr>
        <w:rPr>
          <w:rFonts w:cs="Arial"/>
          <w:b/>
          <w:sz w:val="22"/>
          <w:szCs w:val="22"/>
          <w:lang w:val="es-MX"/>
        </w:rPr>
      </w:pPr>
    </w:p>
    <w:p w14:paraId="23776AB8" w14:textId="77777777" w:rsidR="00397A40" w:rsidRPr="005738BE" w:rsidRDefault="00D37079" w:rsidP="00D5218F">
      <w:pPr>
        <w:rPr>
          <w:rFonts w:cs="Arial"/>
          <w:sz w:val="22"/>
          <w:szCs w:val="22"/>
          <w:lang w:val="es-MX"/>
        </w:rPr>
      </w:pPr>
      <w:r w:rsidRPr="005738BE">
        <w:rPr>
          <w:rFonts w:cs="Arial"/>
          <w:sz w:val="22"/>
          <w:szCs w:val="22"/>
          <w:lang w:val="es-MX"/>
        </w:rPr>
        <w:t xml:space="preserve">La Convención </w:t>
      </w:r>
      <w:r w:rsidR="00A5592F" w:rsidRPr="00EC1202">
        <w:rPr>
          <w:rFonts w:cs="Arial"/>
          <w:sz w:val="22"/>
          <w:szCs w:val="22"/>
          <w:lang w:val="es-MX"/>
        </w:rPr>
        <w:t xml:space="preserve">tiene </w:t>
      </w:r>
      <w:r w:rsidR="00CA255D" w:rsidRPr="00EC1202">
        <w:rPr>
          <w:rFonts w:cs="Arial"/>
          <w:sz w:val="22"/>
          <w:szCs w:val="22"/>
          <w:lang w:val="es-MX"/>
        </w:rPr>
        <w:t xml:space="preserve">como </w:t>
      </w:r>
      <w:r w:rsidRPr="00D902B7">
        <w:rPr>
          <w:rFonts w:cs="Arial"/>
          <w:sz w:val="22"/>
          <w:szCs w:val="22"/>
          <w:lang w:val="es-MX"/>
        </w:rPr>
        <w:t xml:space="preserve">propósito servir como instrumento para combatir </w:t>
      </w:r>
      <w:r w:rsidR="00CA255D" w:rsidRPr="00D902B7">
        <w:rPr>
          <w:rFonts w:cs="Arial"/>
          <w:sz w:val="22"/>
          <w:szCs w:val="22"/>
          <w:lang w:val="es-MX"/>
        </w:rPr>
        <w:t xml:space="preserve">el cohecho de servidores públicos extranjeros en </w:t>
      </w:r>
      <w:r w:rsidR="000B1B72" w:rsidRPr="005738BE">
        <w:rPr>
          <w:rFonts w:cs="Arial"/>
          <w:sz w:val="22"/>
          <w:szCs w:val="22"/>
          <w:lang w:val="es-MX"/>
        </w:rPr>
        <w:t>negocios internacionales</w:t>
      </w:r>
      <w:r w:rsidR="000B23C8" w:rsidRPr="005738BE">
        <w:rPr>
          <w:rFonts w:cs="Arial"/>
          <w:sz w:val="22"/>
          <w:szCs w:val="22"/>
          <w:lang w:val="es-MX"/>
        </w:rPr>
        <w:t xml:space="preserve">. </w:t>
      </w:r>
      <w:r w:rsidR="003038C0" w:rsidRPr="005738BE">
        <w:rPr>
          <w:rFonts w:cs="Arial"/>
          <w:sz w:val="22"/>
          <w:szCs w:val="22"/>
          <w:lang w:val="es-MX"/>
        </w:rPr>
        <w:t xml:space="preserve"> </w:t>
      </w:r>
      <w:r w:rsidR="000B23C8" w:rsidRPr="005738BE">
        <w:rPr>
          <w:rFonts w:cs="Arial"/>
          <w:sz w:val="22"/>
          <w:szCs w:val="22"/>
          <w:lang w:val="es-MX"/>
        </w:rPr>
        <w:t>Específicamente</w:t>
      </w:r>
      <w:r w:rsidR="003038C0" w:rsidRPr="005738BE">
        <w:rPr>
          <w:rFonts w:cs="Arial"/>
          <w:sz w:val="22"/>
          <w:szCs w:val="22"/>
          <w:lang w:val="es-MX"/>
        </w:rPr>
        <w:t xml:space="preserve">, </w:t>
      </w:r>
      <w:r w:rsidR="00A5592F" w:rsidRPr="005738BE">
        <w:rPr>
          <w:rFonts w:cs="Arial"/>
          <w:sz w:val="22"/>
          <w:szCs w:val="22"/>
          <w:lang w:val="es-MX"/>
        </w:rPr>
        <w:t xml:space="preserve">su </w:t>
      </w:r>
      <w:r w:rsidR="003038C0" w:rsidRPr="005738BE">
        <w:rPr>
          <w:rFonts w:cs="Arial"/>
          <w:sz w:val="22"/>
          <w:szCs w:val="22"/>
          <w:lang w:val="es-MX"/>
        </w:rPr>
        <w:t xml:space="preserve">objetivo </w:t>
      </w:r>
      <w:r w:rsidR="00A5592F" w:rsidRPr="005738BE">
        <w:rPr>
          <w:rFonts w:cs="Arial"/>
          <w:sz w:val="22"/>
          <w:szCs w:val="22"/>
          <w:lang w:val="es-MX"/>
        </w:rPr>
        <w:t xml:space="preserve">es el de </w:t>
      </w:r>
      <w:r w:rsidR="000B23C8" w:rsidRPr="005738BE">
        <w:rPr>
          <w:rFonts w:cs="Arial"/>
          <w:sz w:val="22"/>
          <w:szCs w:val="22"/>
          <w:lang w:val="es-MX"/>
        </w:rPr>
        <w:t xml:space="preserve">que los países </w:t>
      </w:r>
      <w:r w:rsidR="000B1B72" w:rsidRPr="005738BE">
        <w:rPr>
          <w:rFonts w:cs="Arial"/>
          <w:sz w:val="22"/>
          <w:szCs w:val="22"/>
          <w:lang w:val="es-MX"/>
        </w:rPr>
        <w:t>suscriptores</w:t>
      </w:r>
      <w:r w:rsidR="00A5592F" w:rsidRPr="005738BE">
        <w:rPr>
          <w:rFonts w:cs="Arial"/>
          <w:sz w:val="22"/>
          <w:szCs w:val="22"/>
          <w:lang w:val="es-MX"/>
        </w:rPr>
        <w:t xml:space="preserve"> adopten </w:t>
      </w:r>
      <w:r w:rsidR="000B23C8" w:rsidRPr="005738BE">
        <w:rPr>
          <w:rFonts w:cs="Arial"/>
          <w:sz w:val="22"/>
          <w:szCs w:val="22"/>
          <w:lang w:val="es-MX"/>
        </w:rPr>
        <w:t>leyes y mecanismo</w:t>
      </w:r>
      <w:r w:rsidR="000B1B72" w:rsidRPr="005738BE">
        <w:rPr>
          <w:rFonts w:cs="Arial"/>
          <w:sz w:val="22"/>
          <w:szCs w:val="22"/>
          <w:lang w:val="es-MX"/>
        </w:rPr>
        <w:t>s</w:t>
      </w:r>
      <w:r w:rsidR="000B23C8" w:rsidRPr="005738BE">
        <w:rPr>
          <w:rFonts w:cs="Arial"/>
          <w:sz w:val="22"/>
          <w:szCs w:val="22"/>
          <w:lang w:val="es-MX"/>
        </w:rPr>
        <w:t xml:space="preserve"> para prevenir y sancionar a los responsables</w:t>
      </w:r>
      <w:r w:rsidR="000B1B72" w:rsidRPr="005738BE">
        <w:rPr>
          <w:rFonts w:cs="Arial"/>
          <w:sz w:val="22"/>
          <w:szCs w:val="22"/>
          <w:lang w:val="es-MX"/>
        </w:rPr>
        <w:t xml:space="preserve">, </w:t>
      </w:r>
      <w:r w:rsidR="000B23C8" w:rsidRPr="005738BE">
        <w:rPr>
          <w:rFonts w:cs="Arial"/>
          <w:sz w:val="22"/>
          <w:szCs w:val="22"/>
          <w:lang w:val="es-MX"/>
        </w:rPr>
        <w:t xml:space="preserve">cuando realicen algún pago u ofrecimiento </w:t>
      </w:r>
      <w:r w:rsidR="003038C0" w:rsidRPr="005738BE">
        <w:rPr>
          <w:rFonts w:cs="Arial"/>
          <w:sz w:val="22"/>
          <w:szCs w:val="22"/>
          <w:lang w:val="es-MX"/>
        </w:rPr>
        <w:t>a funcionarios públicos de otros países.</w:t>
      </w:r>
      <w:r w:rsidR="00CA255D" w:rsidRPr="005738BE">
        <w:rPr>
          <w:rFonts w:cs="Arial"/>
          <w:sz w:val="22"/>
          <w:szCs w:val="22"/>
          <w:lang w:val="es-MX"/>
        </w:rPr>
        <w:t xml:space="preserve"> </w:t>
      </w:r>
      <w:r w:rsidR="000B1B72" w:rsidRPr="005738BE">
        <w:rPr>
          <w:rFonts w:cs="Arial"/>
          <w:sz w:val="22"/>
          <w:szCs w:val="22"/>
          <w:lang w:val="es-MX"/>
        </w:rPr>
        <w:t xml:space="preserve">El acuerdo referido </w:t>
      </w:r>
      <w:r w:rsidR="00CA255D" w:rsidRPr="005738BE">
        <w:rPr>
          <w:rFonts w:cs="Arial"/>
          <w:sz w:val="22"/>
          <w:szCs w:val="22"/>
          <w:lang w:val="es-MX"/>
        </w:rPr>
        <w:t xml:space="preserve">fue </w:t>
      </w:r>
      <w:r w:rsidR="000A5AC5" w:rsidRPr="005738BE">
        <w:rPr>
          <w:rFonts w:cs="Arial"/>
          <w:sz w:val="22"/>
          <w:szCs w:val="22"/>
          <w:lang w:val="es-MX"/>
        </w:rPr>
        <w:t>ratificado</w:t>
      </w:r>
      <w:r w:rsidR="00CA255D" w:rsidRPr="005738BE">
        <w:rPr>
          <w:rFonts w:cs="Arial"/>
          <w:sz w:val="22"/>
          <w:szCs w:val="22"/>
          <w:lang w:val="es-MX"/>
        </w:rPr>
        <w:t xml:space="preserve"> </w:t>
      </w:r>
      <w:r w:rsidR="000B1B72" w:rsidRPr="005738BE">
        <w:rPr>
          <w:rFonts w:cs="Arial"/>
          <w:sz w:val="22"/>
          <w:szCs w:val="22"/>
          <w:lang w:val="es-MX"/>
        </w:rPr>
        <w:t xml:space="preserve">por Colombia </w:t>
      </w:r>
      <w:r w:rsidR="00CA255D" w:rsidRPr="005738BE">
        <w:rPr>
          <w:rFonts w:cs="Arial"/>
          <w:sz w:val="22"/>
          <w:szCs w:val="22"/>
          <w:lang w:val="es-MX"/>
        </w:rPr>
        <w:t>mediante la Ley 1573 de 2012</w:t>
      </w:r>
      <w:r w:rsidR="000B1B72" w:rsidRPr="005738BE">
        <w:rPr>
          <w:rFonts w:cs="Arial"/>
          <w:sz w:val="22"/>
          <w:szCs w:val="22"/>
          <w:lang w:val="es-MX"/>
        </w:rPr>
        <w:t>.</w:t>
      </w:r>
    </w:p>
    <w:p w14:paraId="3745C76C" w14:textId="1E22831A" w:rsidR="00334C82" w:rsidRDefault="00334C82" w:rsidP="00334C82">
      <w:pPr>
        <w:pStyle w:val="Ttulo2"/>
        <w:numPr>
          <w:ilvl w:val="0"/>
          <w:numId w:val="0"/>
        </w:numPr>
        <w:rPr>
          <w:rFonts w:cs="Arial"/>
          <w:sz w:val="22"/>
          <w:szCs w:val="22"/>
          <w:lang w:val="es-MX"/>
        </w:rPr>
      </w:pPr>
    </w:p>
    <w:p w14:paraId="2D0C4CD8" w14:textId="7A069974" w:rsidR="000C6E0F" w:rsidRDefault="004753B1" w:rsidP="000C6E0F">
      <w:pPr>
        <w:pStyle w:val="Ttulo2"/>
        <w:rPr>
          <w:lang w:val="es-MX"/>
        </w:rPr>
      </w:pPr>
      <w:r>
        <w:rPr>
          <w:lang w:val="es-MX"/>
        </w:rPr>
        <w:t xml:space="preserve">Normas Nacionales </w:t>
      </w:r>
    </w:p>
    <w:p w14:paraId="6A39E4D5" w14:textId="4A0CBC95" w:rsidR="004753B1" w:rsidRDefault="004753B1" w:rsidP="004753B1">
      <w:pPr>
        <w:rPr>
          <w:lang w:val="es-MX"/>
        </w:rPr>
      </w:pPr>
    </w:p>
    <w:p w14:paraId="1472B87D" w14:textId="26F7F780" w:rsidR="002F2E78" w:rsidRPr="004B37D2" w:rsidRDefault="002F2E78" w:rsidP="00720ED6">
      <w:pPr>
        <w:pStyle w:val="Ttulo3"/>
        <w:ind w:left="709" w:hanging="737"/>
        <w:rPr>
          <w:rFonts w:cs="Arial"/>
          <w:b w:val="0"/>
          <w:bCs w:val="0"/>
          <w:szCs w:val="24"/>
        </w:rPr>
      </w:pPr>
      <w:r>
        <w:rPr>
          <w:rFonts w:cs="Arial"/>
          <w:b w:val="0"/>
          <w:bCs w:val="0"/>
          <w:szCs w:val="24"/>
        </w:rPr>
        <w:t xml:space="preserve">La Ley 1573 de </w:t>
      </w:r>
      <w:proofErr w:type="gramStart"/>
      <w:r>
        <w:rPr>
          <w:rFonts w:cs="Arial"/>
          <w:b w:val="0"/>
          <w:bCs w:val="0"/>
          <w:szCs w:val="24"/>
        </w:rPr>
        <w:t>2012,  por</w:t>
      </w:r>
      <w:proofErr w:type="gramEnd"/>
      <w:r>
        <w:rPr>
          <w:rFonts w:cs="Arial"/>
          <w:b w:val="0"/>
          <w:bCs w:val="0"/>
          <w:szCs w:val="24"/>
        </w:rPr>
        <w:t xml:space="preserve"> </w:t>
      </w:r>
      <w:r w:rsidRPr="002F2E78">
        <w:rPr>
          <w:rFonts w:cs="Arial"/>
          <w:b w:val="0"/>
          <w:bCs w:val="0"/>
          <w:szCs w:val="24"/>
        </w:rPr>
        <w:t>la cual se apr</w:t>
      </w:r>
      <w:r>
        <w:rPr>
          <w:rFonts w:cs="Arial"/>
          <w:b w:val="0"/>
          <w:bCs w:val="0"/>
          <w:szCs w:val="24"/>
        </w:rPr>
        <w:t>o</w:t>
      </w:r>
      <w:r w:rsidRPr="002F2E78">
        <w:rPr>
          <w:rFonts w:cs="Arial"/>
          <w:b w:val="0"/>
          <w:bCs w:val="0"/>
          <w:szCs w:val="24"/>
        </w:rPr>
        <w:t>b</w:t>
      </w:r>
      <w:r>
        <w:rPr>
          <w:rFonts w:cs="Arial"/>
          <w:b w:val="0"/>
          <w:bCs w:val="0"/>
          <w:szCs w:val="24"/>
        </w:rPr>
        <w:t>ó</w:t>
      </w:r>
      <w:r w:rsidRPr="002F2E78">
        <w:rPr>
          <w:rFonts w:cs="Arial"/>
          <w:b w:val="0"/>
          <w:bCs w:val="0"/>
          <w:szCs w:val="24"/>
        </w:rPr>
        <w:t xml:space="preserve"> la Convención para combatir el cohecho de servidores públicos extranjeros en transacciones comerciales internacionales, adoptada por la Conferencia Negociadora en París, República Francesa, el 21 de noviembre de 1997.</w:t>
      </w:r>
    </w:p>
    <w:p w14:paraId="09038F0C" w14:textId="280EE1AE" w:rsidR="004753B1" w:rsidRDefault="002F2E78" w:rsidP="00720ED6">
      <w:pPr>
        <w:pStyle w:val="Ttulo3"/>
        <w:ind w:left="709" w:hanging="737"/>
        <w:rPr>
          <w:rStyle w:val="markedcontent"/>
          <w:rFonts w:cs="Arial"/>
          <w:b w:val="0"/>
          <w:bCs w:val="0"/>
          <w:szCs w:val="24"/>
        </w:rPr>
      </w:pPr>
      <w:r>
        <w:rPr>
          <w:rFonts w:cs="Arial"/>
          <w:b w:val="0"/>
          <w:bCs w:val="0"/>
          <w:szCs w:val="24"/>
          <w:lang w:val="es-MX"/>
        </w:rPr>
        <w:t>L</w:t>
      </w:r>
      <w:r w:rsidR="004753B1" w:rsidRPr="004753B1">
        <w:rPr>
          <w:rFonts w:cs="Arial"/>
          <w:b w:val="0"/>
          <w:bCs w:val="0"/>
          <w:szCs w:val="24"/>
          <w:lang w:val="es-MX"/>
        </w:rPr>
        <w:t xml:space="preserve">a ley 1778 de 2016, </w:t>
      </w:r>
      <w:r w:rsidR="004753B1" w:rsidRPr="004753B1">
        <w:rPr>
          <w:rStyle w:val="markedcontent"/>
          <w:rFonts w:cs="Arial"/>
          <w:b w:val="0"/>
          <w:bCs w:val="0"/>
          <w:szCs w:val="24"/>
        </w:rPr>
        <w:t>por la cual se dictan normas sobre la responsabilidad de las personas jurídicas por actos de corrupció</w:t>
      </w:r>
      <w:r w:rsidR="004753B1" w:rsidRPr="00004179">
        <w:rPr>
          <w:rStyle w:val="markedcontent"/>
          <w:rFonts w:cs="Arial"/>
          <w:b w:val="0"/>
          <w:bCs w:val="0"/>
          <w:szCs w:val="24"/>
        </w:rPr>
        <w:t xml:space="preserve">n transnacional y </w:t>
      </w:r>
      <w:r w:rsidR="004753B1" w:rsidRPr="002F2E78">
        <w:rPr>
          <w:rFonts w:cs="Arial"/>
          <w:b w:val="0"/>
          <w:bCs w:val="0"/>
          <w:szCs w:val="24"/>
        </w:rPr>
        <w:br/>
      </w:r>
      <w:r w:rsidR="004753B1" w:rsidRPr="002F2E78">
        <w:rPr>
          <w:rStyle w:val="markedcontent"/>
          <w:rFonts w:cs="Arial"/>
          <w:b w:val="0"/>
          <w:bCs w:val="0"/>
          <w:szCs w:val="24"/>
        </w:rPr>
        <w:t xml:space="preserve">se dictan otras disposiciones en materia de lucha contra la </w:t>
      </w:r>
      <w:r w:rsidR="004753B1" w:rsidRPr="002F2E78">
        <w:rPr>
          <w:rFonts w:cs="Arial"/>
          <w:b w:val="0"/>
          <w:bCs w:val="0"/>
          <w:szCs w:val="24"/>
        </w:rPr>
        <w:br/>
      </w:r>
      <w:r w:rsidR="004753B1" w:rsidRPr="002F2E78">
        <w:rPr>
          <w:rStyle w:val="markedcontent"/>
          <w:rFonts w:cs="Arial"/>
          <w:b w:val="0"/>
          <w:bCs w:val="0"/>
          <w:szCs w:val="24"/>
        </w:rPr>
        <w:t>corrupción</w:t>
      </w:r>
      <w:r w:rsidR="004753B1">
        <w:rPr>
          <w:rStyle w:val="markedcontent"/>
          <w:rFonts w:cs="Arial"/>
          <w:b w:val="0"/>
          <w:bCs w:val="0"/>
          <w:szCs w:val="24"/>
        </w:rPr>
        <w:t xml:space="preserve">. </w:t>
      </w:r>
    </w:p>
    <w:p w14:paraId="580F2218" w14:textId="6FF20D55" w:rsidR="004753B1" w:rsidRDefault="004753B1" w:rsidP="004753B1">
      <w:pPr>
        <w:pStyle w:val="Ttulo3"/>
        <w:numPr>
          <w:ilvl w:val="0"/>
          <w:numId w:val="0"/>
        </w:numPr>
        <w:ind w:left="709"/>
        <w:rPr>
          <w:rStyle w:val="markedcontent"/>
          <w:rFonts w:cs="Arial"/>
          <w:b w:val="0"/>
          <w:bCs w:val="0"/>
          <w:szCs w:val="24"/>
        </w:rPr>
      </w:pPr>
      <w:r>
        <w:rPr>
          <w:rStyle w:val="markedcontent"/>
          <w:rFonts w:cs="Arial"/>
          <w:b w:val="0"/>
          <w:bCs w:val="0"/>
          <w:szCs w:val="24"/>
        </w:rPr>
        <w:t xml:space="preserve">Esta ley desarrolla la responsabilidad administrativa de las personas jurídicas y la competencia que tiene la Superintendencia de Sociedades para investigar y sancionar la conduta de soborno transnacional. </w:t>
      </w:r>
    </w:p>
    <w:p w14:paraId="33F6690B" w14:textId="0F28ABE2" w:rsidR="004753B1" w:rsidRDefault="004753B1" w:rsidP="004753B1"/>
    <w:p w14:paraId="2656AB42" w14:textId="5E33819F" w:rsidR="004753B1" w:rsidRDefault="004753B1" w:rsidP="004753B1">
      <w:pPr>
        <w:ind w:left="708"/>
      </w:pPr>
      <w:r>
        <w:lastRenderedPageBreak/>
        <w:t xml:space="preserve">Entre las sanciones que puede imponer la Superintendencia de Sociedades en virtud de esta Ley, se encuentra la </w:t>
      </w:r>
      <w:proofErr w:type="gramStart"/>
      <w:r>
        <w:t>mul</w:t>
      </w:r>
      <w:r w:rsidR="003E710F">
        <w:t>t</w:t>
      </w:r>
      <w:r>
        <w:t xml:space="preserve">a  </w:t>
      </w:r>
      <w:r w:rsidR="003E710F">
        <w:t>la</w:t>
      </w:r>
      <w:proofErr w:type="gramEnd"/>
      <w:r w:rsidR="003E710F">
        <w:t xml:space="preserve"> cual </w:t>
      </w:r>
      <w:r>
        <w:t>puede</w:t>
      </w:r>
      <w:r w:rsidR="003E710F">
        <w:t xml:space="preserve"> </w:t>
      </w:r>
      <w:r>
        <w:t xml:space="preserve">llegar </w:t>
      </w:r>
      <w:r w:rsidR="003E710F">
        <w:t xml:space="preserve">a ser impuesta </w:t>
      </w:r>
      <w:r>
        <w:t xml:space="preserve">hasta </w:t>
      </w:r>
      <w:r w:rsidR="003E710F">
        <w:t xml:space="preserve">por la suma </w:t>
      </w:r>
      <w:r w:rsidR="002F2E78">
        <w:t>200.000 SMMLV.</w:t>
      </w:r>
    </w:p>
    <w:p w14:paraId="5DC02EF6" w14:textId="77777777" w:rsidR="002F2E78" w:rsidRDefault="002F2E78" w:rsidP="002F2E78">
      <w:pPr>
        <w:pStyle w:val="Ttulo3"/>
        <w:ind w:left="709" w:hanging="737"/>
        <w:rPr>
          <w:b w:val="0"/>
          <w:bCs w:val="0"/>
        </w:rPr>
      </w:pPr>
      <w:r w:rsidRPr="004B37D2">
        <w:rPr>
          <w:b w:val="0"/>
          <w:bCs w:val="0"/>
        </w:rPr>
        <w:t xml:space="preserve">La Resolución 200-000816 de </w:t>
      </w:r>
      <w:proofErr w:type="gramStart"/>
      <w:r w:rsidRPr="004B37D2">
        <w:rPr>
          <w:b w:val="0"/>
          <w:bCs w:val="0"/>
        </w:rPr>
        <w:t xml:space="preserve">2018, </w:t>
      </w:r>
      <w:r w:rsidR="00004179" w:rsidRPr="004B37D2">
        <w:rPr>
          <w:b w:val="0"/>
          <w:bCs w:val="0"/>
        </w:rPr>
        <w:t xml:space="preserve"> </w:t>
      </w:r>
      <w:r w:rsidRPr="004B37D2">
        <w:rPr>
          <w:b w:val="0"/>
          <w:bCs w:val="0"/>
        </w:rPr>
        <w:t>por</w:t>
      </w:r>
      <w:proofErr w:type="gramEnd"/>
      <w:r w:rsidRPr="004B37D2">
        <w:rPr>
          <w:b w:val="0"/>
          <w:bCs w:val="0"/>
        </w:rPr>
        <w:t xml:space="preserve"> la cual se imparten instrucciones sobre la forma en que se conceden los beneficios por colaboración de que trata el artículo 19 de la Ley 1778 de 2016</w:t>
      </w:r>
      <w:r>
        <w:rPr>
          <w:b w:val="0"/>
          <w:bCs w:val="0"/>
        </w:rPr>
        <w:t xml:space="preserve"> y en la cual se definen los criterios de utilidad, temporalidad y conducencia de la información y pruebas para personas jurídicas puedan acogerse a tales beneficios. </w:t>
      </w:r>
    </w:p>
    <w:p w14:paraId="15D24344" w14:textId="6CDE1377" w:rsidR="00BB17D5" w:rsidRDefault="00BB17D5" w:rsidP="00BB17D5">
      <w:pPr>
        <w:pStyle w:val="Ttulo3"/>
        <w:ind w:left="709" w:hanging="737"/>
        <w:rPr>
          <w:b w:val="0"/>
          <w:bCs w:val="0"/>
        </w:rPr>
      </w:pPr>
      <w:r>
        <w:rPr>
          <w:b w:val="0"/>
          <w:bCs w:val="0"/>
        </w:rPr>
        <w:t xml:space="preserve">La Resolución 100-006261 de 2020 que define los criterios bajo los cuales las empresas quedan obligadas a adoptar un programa de transparencia y ética empresarial en materia de soborno transnacional. </w:t>
      </w:r>
    </w:p>
    <w:p w14:paraId="6114EF8C" w14:textId="0BE442E3" w:rsidR="00004179" w:rsidRPr="004B37D2" w:rsidRDefault="00BB17D5" w:rsidP="00BB17D5">
      <w:pPr>
        <w:pStyle w:val="Ttulo3"/>
        <w:ind w:left="709" w:hanging="737"/>
      </w:pPr>
      <w:r w:rsidRPr="004B37D2">
        <w:rPr>
          <w:b w:val="0"/>
          <w:bCs w:val="0"/>
        </w:rPr>
        <w:t xml:space="preserve">La Circular externa 100-000003 de 2016 que contiene la guía </w:t>
      </w:r>
      <w:r w:rsidRPr="00BB17D5">
        <w:rPr>
          <w:b w:val="0"/>
          <w:bCs w:val="0"/>
        </w:rPr>
        <w:t>destinada</w:t>
      </w:r>
      <w:r w:rsidRPr="004B37D2">
        <w:rPr>
          <w:b w:val="0"/>
          <w:bCs w:val="0"/>
        </w:rPr>
        <w:t xml:space="preserve"> a poner en marcha los programas de ética empresarial para la prevención de las condutas previstas en el artículo 2º de Ley 1778 de 2016, la cual contiene los principios que las empresas obligadas deben tener en cuenta para </w:t>
      </w:r>
      <w:r>
        <w:rPr>
          <w:b w:val="0"/>
          <w:bCs w:val="0"/>
        </w:rPr>
        <w:t xml:space="preserve">adoptar los mecanismos internos de auditoria para gestionar el riesgo de soborno transnacional. </w:t>
      </w:r>
    </w:p>
    <w:p w14:paraId="0F4E1B11" w14:textId="77777777" w:rsidR="004753B1" w:rsidRPr="004B37D2" w:rsidRDefault="004753B1" w:rsidP="004B37D2"/>
    <w:p w14:paraId="0B004504" w14:textId="253A90EE" w:rsidR="003C0A02" w:rsidRPr="005738BE" w:rsidRDefault="00093DA0" w:rsidP="00093DA0">
      <w:pPr>
        <w:pStyle w:val="Ttulo"/>
        <w:rPr>
          <w:rFonts w:cs="Arial"/>
          <w:sz w:val="22"/>
          <w:szCs w:val="22"/>
        </w:rPr>
      </w:pPr>
      <w:r w:rsidRPr="004B37D2">
        <w:rPr>
          <w:rFonts w:cs="Arial"/>
          <w:sz w:val="22"/>
          <w:szCs w:val="22"/>
          <w:lang w:val="es-MX"/>
        </w:rPr>
        <w:t xml:space="preserve">ASPECTOS GENERALES DEL SOBORNO </w:t>
      </w:r>
      <w:r w:rsidR="00352539" w:rsidRPr="004B37D2">
        <w:rPr>
          <w:rFonts w:cs="Arial"/>
          <w:sz w:val="22"/>
          <w:szCs w:val="22"/>
          <w:lang w:val="es-MX"/>
        </w:rPr>
        <w:t>TRANSNACIONAL</w:t>
      </w:r>
    </w:p>
    <w:p w14:paraId="24646892" w14:textId="77777777" w:rsidR="004F482F" w:rsidRPr="00EC1202" w:rsidRDefault="004F482F" w:rsidP="003C0A02">
      <w:pPr>
        <w:rPr>
          <w:rFonts w:cs="Arial"/>
          <w:sz w:val="22"/>
          <w:szCs w:val="22"/>
        </w:rPr>
      </w:pPr>
    </w:p>
    <w:p w14:paraId="3B0C72C5" w14:textId="52D6D007" w:rsidR="003C0A02" w:rsidRPr="005738BE" w:rsidRDefault="006E781D" w:rsidP="003C0A02">
      <w:pPr>
        <w:rPr>
          <w:rFonts w:cs="Arial"/>
          <w:sz w:val="22"/>
          <w:szCs w:val="22"/>
        </w:rPr>
      </w:pPr>
      <w:r w:rsidRPr="00D902B7">
        <w:rPr>
          <w:rFonts w:cs="Arial"/>
          <w:sz w:val="22"/>
          <w:szCs w:val="22"/>
        </w:rPr>
        <w:t xml:space="preserve">El soborno </w:t>
      </w:r>
      <w:r w:rsidR="00352539" w:rsidRPr="00D902B7">
        <w:rPr>
          <w:rFonts w:cs="Arial"/>
          <w:sz w:val="22"/>
          <w:szCs w:val="22"/>
        </w:rPr>
        <w:t>transnacional</w:t>
      </w:r>
      <w:r w:rsidRPr="005738BE">
        <w:rPr>
          <w:rFonts w:cs="Arial"/>
          <w:sz w:val="22"/>
          <w:szCs w:val="22"/>
        </w:rPr>
        <w:t xml:space="preserve"> </w:t>
      </w:r>
      <w:r w:rsidR="00E121E1" w:rsidRPr="005738BE">
        <w:rPr>
          <w:rFonts w:cs="Arial"/>
          <w:sz w:val="22"/>
          <w:szCs w:val="22"/>
        </w:rPr>
        <w:t>socava</w:t>
      </w:r>
      <w:r w:rsidRPr="005738BE">
        <w:rPr>
          <w:rFonts w:cs="Arial"/>
          <w:sz w:val="22"/>
          <w:szCs w:val="22"/>
        </w:rPr>
        <w:t xml:space="preserve"> la confianza que se les confiere a los gobiernos</w:t>
      </w:r>
      <w:r w:rsidR="00E121E1" w:rsidRPr="005738BE">
        <w:rPr>
          <w:rFonts w:cs="Arial"/>
          <w:sz w:val="22"/>
          <w:szCs w:val="22"/>
        </w:rPr>
        <w:t>, a las sociedades</w:t>
      </w:r>
      <w:r w:rsidRPr="005738BE">
        <w:rPr>
          <w:rFonts w:cs="Arial"/>
          <w:sz w:val="22"/>
          <w:szCs w:val="22"/>
        </w:rPr>
        <w:t xml:space="preserve"> y</w:t>
      </w:r>
      <w:r w:rsidR="00E121E1" w:rsidRPr="005738BE">
        <w:rPr>
          <w:rFonts w:cs="Arial"/>
          <w:sz w:val="22"/>
          <w:szCs w:val="22"/>
        </w:rPr>
        <w:t xml:space="preserve"> las personas en general, afecta </w:t>
      </w:r>
      <w:r w:rsidRPr="005738BE">
        <w:rPr>
          <w:rFonts w:cs="Arial"/>
          <w:sz w:val="22"/>
          <w:szCs w:val="22"/>
        </w:rPr>
        <w:t>el o</w:t>
      </w:r>
      <w:r w:rsidR="00E121E1" w:rsidRPr="005738BE">
        <w:rPr>
          <w:rFonts w:cs="Arial"/>
          <w:sz w:val="22"/>
          <w:szCs w:val="22"/>
        </w:rPr>
        <w:t>rden público económico e impide</w:t>
      </w:r>
      <w:r w:rsidRPr="005738BE">
        <w:rPr>
          <w:rFonts w:cs="Arial"/>
          <w:sz w:val="22"/>
          <w:szCs w:val="22"/>
        </w:rPr>
        <w:t xml:space="preserve"> el crecimiento y desarrollo de cualquier nación. </w:t>
      </w:r>
      <w:r w:rsidR="0075080A" w:rsidRPr="005738BE">
        <w:rPr>
          <w:rFonts w:cs="Arial"/>
          <w:sz w:val="22"/>
          <w:szCs w:val="22"/>
        </w:rPr>
        <w:t xml:space="preserve">Es un fenómeno que </w:t>
      </w:r>
      <w:r w:rsidR="007E7F5D" w:rsidRPr="005738BE">
        <w:rPr>
          <w:rFonts w:cs="Arial"/>
          <w:sz w:val="22"/>
          <w:szCs w:val="22"/>
        </w:rPr>
        <w:t xml:space="preserve">afecta </w:t>
      </w:r>
      <w:r w:rsidR="00E121E1" w:rsidRPr="005738BE">
        <w:rPr>
          <w:rFonts w:cs="Arial"/>
          <w:sz w:val="22"/>
          <w:szCs w:val="22"/>
        </w:rPr>
        <w:t>la competitividad de los países y pone en riesgo la gobernanza</w:t>
      </w:r>
      <w:r w:rsidR="0075080A" w:rsidRPr="005738BE">
        <w:rPr>
          <w:rFonts w:cs="Arial"/>
          <w:sz w:val="22"/>
          <w:szCs w:val="22"/>
        </w:rPr>
        <w:t xml:space="preserve">. </w:t>
      </w:r>
    </w:p>
    <w:p w14:paraId="679BBF37" w14:textId="77777777" w:rsidR="003C0A02" w:rsidRPr="005738BE" w:rsidRDefault="003C0A02" w:rsidP="003C0A02">
      <w:pPr>
        <w:rPr>
          <w:rFonts w:cs="Arial"/>
          <w:sz w:val="22"/>
          <w:szCs w:val="22"/>
        </w:rPr>
      </w:pPr>
    </w:p>
    <w:p w14:paraId="5D037E0A" w14:textId="77777777" w:rsidR="003C0A02" w:rsidRPr="005738BE" w:rsidRDefault="0075080A" w:rsidP="003C0A02">
      <w:pPr>
        <w:rPr>
          <w:rFonts w:cs="Arial"/>
          <w:sz w:val="22"/>
          <w:szCs w:val="22"/>
        </w:rPr>
      </w:pPr>
      <w:r w:rsidRPr="005738BE">
        <w:rPr>
          <w:rFonts w:cs="Arial"/>
          <w:sz w:val="22"/>
          <w:szCs w:val="22"/>
        </w:rPr>
        <w:t>Según el informe de la OCDE sobre Cohecho Internacional</w:t>
      </w:r>
      <w:r w:rsidRPr="005738BE">
        <w:rPr>
          <w:rStyle w:val="Refdenotaalpie"/>
          <w:rFonts w:cs="Arial"/>
          <w:sz w:val="22"/>
          <w:szCs w:val="22"/>
        </w:rPr>
        <w:footnoteReference w:id="1"/>
      </w:r>
      <w:r w:rsidR="00E121E1" w:rsidRPr="005738BE">
        <w:rPr>
          <w:rFonts w:cs="Arial"/>
          <w:sz w:val="22"/>
          <w:szCs w:val="22"/>
        </w:rPr>
        <w:t xml:space="preserve">, </w:t>
      </w:r>
      <w:r w:rsidR="0012374F" w:rsidRPr="00EC1202">
        <w:rPr>
          <w:rFonts w:cs="Arial"/>
          <w:sz w:val="22"/>
          <w:szCs w:val="22"/>
        </w:rPr>
        <w:t>en 224 casos reportados</w:t>
      </w:r>
      <w:r w:rsidR="008A2C69" w:rsidRPr="00EC1202">
        <w:rPr>
          <w:rFonts w:cs="Arial"/>
          <w:sz w:val="22"/>
          <w:szCs w:val="22"/>
        </w:rPr>
        <w:t xml:space="preserve"> en el mundo (concluidos entre 1999 y 2014)</w:t>
      </w:r>
      <w:r w:rsidR="0012374F" w:rsidRPr="00D902B7">
        <w:rPr>
          <w:rFonts w:cs="Arial"/>
          <w:sz w:val="22"/>
          <w:szCs w:val="22"/>
        </w:rPr>
        <w:t xml:space="preserve">, el valor total de </w:t>
      </w:r>
      <w:r w:rsidR="0012374F" w:rsidRPr="002916F4">
        <w:rPr>
          <w:rFonts w:cs="Arial"/>
          <w:sz w:val="22"/>
          <w:szCs w:val="22"/>
        </w:rPr>
        <w:t>sobornos tra</w:t>
      </w:r>
      <w:r w:rsidR="0059073B" w:rsidRPr="005738BE">
        <w:rPr>
          <w:rFonts w:cs="Arial"/>
          <w:sz w:val="22"/>
          <w:szCs w:val="22"/>
        </w:rPr>
        <w:t>n</w:t>
      </w:r>
      <w:r w:rsidR="0012374F" w:rsidRPr="005738BE">
        <w:rPr>
          <w:rFonts w:cs="Arial"/>
          <w:sz w:val="22"/>
          <w:szCs w:val="22"/>
        </w:rPr>
        <w:t xml:space="preserve">snacionales pagados fue de </w:t>
      </w:r>
      <w:r w:rsidR="008A2C69" w:rsidRPr="005738BE">
        <w:rPr>
          <w:rFonts w:cs="Arial"/>
          <w:sz w:val="22"/>
          <w:szCs w:val="22"/>
        </w:rPr>
        <w:t>$</w:t>
      </w:r>
      <w:r w:rsidR="0012374F" w:rsidRPr="005738BE">
        <w:rPr>
          <w:rFonts w:cs="Arial"/>
          <w:sz w:val="22"/>
          <w:szCs w:val="22"/>
        </w:rPr>
        <w:t>3.1 mil millones</w:t>
      </w:r>
      <w:r w:rsidR="008A2C69" w:rsidRPr="005738BE">
        <w:rPr>
          <w:rFonts w:cs="Arial"/>
          <w:sz w:val="22"/>
          <w:szCs w:val="22"/>
        </w:rPr>
        <w:t xml:space="preserve"> de dólares</w:t>
      </w:r>
      <w:r w:rsidR="0012374F" w:rsidRPr="005738BE">
        <w:rPr>
          <w:rFonts w:cs="Arial"/>
          <w:sz w:val="22"/>
          <w:szCs w:val="22"/>
        </w:rPr>
        <w:t>. No obstante, el mayor impacto que tienen estos pa</w:t>
      </w:r>
      <w:r w:rsidR="00E121E1" w:rsidRPr="005738BE">
        <w:rPr>
          <w:rFonts w:cs="Arial"/>
          <w:sz w:val="22"/>
          <w:szCs w:val="22"/>
        </w:rPr>
        <w:t xml:space="preserve">gos en la </w:t>
      </w:r>
      <w:proofErr w:type="gramStart"/>
      <w:r w:rsidR="00E121E1" w:rsidRPr="005738BE">
        <w:rPr>
          <w:rFonts w:cs="Arial"/>
          <w:sz w:val="22"/>
          <w:szCs w:val="22"/>
        </w:rPr>
        <w:t>economía,</w:t>
      </w:r>
      <w:proofErr w:type="gramEnd"/>
      <w:r w:rsidR="00E121E1" w:rsidRPr="005738BE">
        <w:rPr>
          <w:rFonts w:cs="Arial"/>
          <w:sz w:val="22"/>
          <w:szCs w:val="22"/>
        </w:rPr>
        <w:t xml:space="preserve"> se refleja </w:t>
      </w:r>
      <w:r w:rsidR="0012374F" w:rsidRPr="005738BE">
        <w:rPr>
          <w:rFonts w:cs="Arial"/>
          <w:sz w:val="22"/>
          <w:szCs w:val="22"/>
        </w:rPr>
        <w:t xml:space="preserve">en las </w:t>
      </w:r>
      <w:r w:rsidR="008A2C69" w:rsidRPr="005738BE">
        <w:rPr>
          <w:rFonts w:cs="Arial"/>
          <w:sz w:val="22"/>
          <w:szCs w:val="22"/>
        </w:rPr>
        <w:t xml:space="preserve">ineficiencias </w:t>
      </w:r>
      <w:r w:rsidR="0012374F" w:rsidRPr="005738BE">
        <w:rPr>
          <w:rFonts w:cs="Arial"/>
          <w:sz w:val="22"/>
          <w:szCs w:val="22"/>
        </w:rPr>
        <w:t>que se producen en los mercados nacionales e internacionales.</w:t>
      </w:r>
    </w:p>
    <w:p w14:paraId="6A073666" w14:textId="77777777" w:rsidR="003C0A02" w:rsidRPr="005738BE" w:rsidRDefault="003C0A02" w:rsidP="003C0A02">
      <w:pPr>
        <w:rPr>
          <w:rFonts w:cs="Arial"/>
          <w:sz w:val="22"/>
          <w:szCs w:val="22"/>
        </w:rPr>
      </w:pPr>
    </w:p>
    <w:p w14:paraId="31BECF0E" w14:textId="77777777" w:rsidR="003C0A02" w:rsidRPr="005738BE" w:rsidRDefault="0012374F" w:rsidP="003C0A02">
      <w:pPr>
        <w:rPr>
          <w:rFonts w:cs="Arial"/>
          <w:sz w:val="22"/>
          <w:szCs w:val="22"/>
        </w:rPr>
      </w:pPr>
      <w:r w:rsidRPr="005738BE">
        <w:rPr>
          <w:rFonts w:cs="Arial"/>
          <w:sz w:val="22"/>
          <w:szCs w:val="22"/>
        </w:rPr>
        <w:t xml:space="preserve">En efecto, </w:t>
      </w:r>
      <w:r w:rsidR="008A2C69" w:rsidRPr="005738BE">
        <w:rPr>
          <w:rFonts w:cs="Arial"/>
          <w:sz w:val="22"/>
          <w:szCs w:val="22"/>
        </w:rPr>
        <w:t xml:space="preserve">señala el informe referido que, </w:t>
      </w:r>
      <w:r w:rsidRPr="005738BE">
        <w:rPr>
          <w:rFonts w:cs="Arial"/>
          <w:sz w:val="22"/>
          <w:szCs w:val="22"/>
        </w:rPr>
        <w:t>cuando una empresa paga un soborno, está obligada a recuperar o compensar es</w:t>
      </w:r>
      <w:r w:rsidR="008A2C69" w:rsidRPr="005738BE">
        <w:rPr>
          <w:rFonts w:cs="Arial"/>
          <w:sz w:val="22"/>
          <w:szCs w:val="22"/>
        </w:rPr>
        <w:t>e</w:t>
      </w:r>
      <w:r w:rsidRPr="005738BE">
        <w:rPr>
          <w:rFonts w:cs="Arial"/>
          <w:sz w:val="22"/>
          <w:szCs w:val="22"/>
        </w:rPr>
        <w:t xml:space="preserve"> costo. E</w:t>
      </w:r>
      <w:r w:rsidR="008A2C69" w:rsidRPr="005738BE">
        <w:rPr>
          <w:rFonts w:cs="Arial"/>
          <w:sz w:val="22"/>
          <w:szCs w:val="22"/>
        </w:rPr>
        <w:t>llo</w:t>
      </w:r>
      <w:r w:rsidRPr="005738BE">
        <w:rPr>
          <w:rFonts w:cs="Arial"/>
          <w:sz w:val="22"/>
          <w:szCs w:val="22"/>
        </w:rPr>
        <w:t xml:space="preserve"> se logra a través</w:t>
      </w:r>
      <w:r w:rsidR="008A2C69" w:rsidRPr="005738BE">
        <w:rPr>
          <w:rFonts w:cs="Arial"/>
          <w:sz w:val="22"/>
          <w:szCs w:val="22"/>
        </w:rPr>
        <w:t xml:space="preserve"> de diversas prácticas, dentro de las que se encuentran</w:t>
      </w:r>
      <w:r w:rsidR="005023CD" w:rsidRPr="005738BE">
        <w:rPr>
          <w:rFonts w:cs="Arial"/>
          <w:sz w:val="22"/>
          <w:szCs w:val="22"/>
        </w:rPr>
        <w:t xml:space="preserve"> las que se mencionan a continuación</w:t>
      </w:r>
      <w:r w:rsidR="008A2C69" w:rsidRPr="005738BE">
        <w:rPr>
          <w:rFonts w:cs="Arial"/>
          <w:sz w:val="22"/>
          <w:szCs w:val="22"/>
        </w:rPr>
        <w:t xml:space="preserve">: (i) el </w:t>
      </w:r>
      <w:r w:rsidRPr="005738BE">
        <w:rPr>
          <w:rFonts w:cs="Arial"/>
          <w:sz w:val="22"/>
          <w:szCs w:val="22"/>
        </w:rPr>
        <w:t xml:space="preserve">pago de menores salarios para </w:t>
      </w:r>
      <w:r w:rsidR="008A2C69" w:rsidRPr="005738BE">
        <w:rPr>
          <w:rFonts w:cs="Arial"/>
          <w:sz w:val="22"/>
          <w:szCs w:val="22"/>
        </w:rPr>
        <w:t xml:space="preserve">los </w:t>
      </w:r>
      <w:r w:rsidRPr="005738BE">
        <w:rPr>
          <w:rFonts w:cs="Arial"/>
          <w:sz w:val="22"/>
          <w:szCs w:val="22"/>
        </w:rPr>
        <w:t xml:space="preserve">empleados, </w:t>
      </w:r>
      <w:r w:rsidR="008A2C69" w:rsidRPr="005738BE">
        <w:rPr>
          <w:rFonts w:cs="Arial"/>
          <w:sz w:val="22"/>
          <w:szCs w:val="22"/>
        </w:rPr>
        <w:t>(</w:t>
      </w:r>
      <w:proofErr w:type="spellStart"/>
      <w:r w:rsidR="008A2C69" w:rsidRPr="005738BE">
        <w:rPr>
          <w:rFonts w:cs="Arial"/>
          <w:sz w:val="22"/>
          <w:szCs w:val="22"/>
        </w:rPr>
        <w:t>ii</w:t>
      </w:r>
      <w:proofErr w:type="spellEnd"/>
      <w:r w:rsidR="008A2C69" w:rsidRPr="005738BE">
        <w:rPr>
          <w:rFonts w:cs="Arial"/>
          <w:sz w:val="22"/>
          <w:szCs w:val="22"/>
        </w:rPr>
        <w:t>) el aumento</w:t>
      </w:r>
      <w:r w:rsidRPr="005738BE">
        <w:rPr>
          <w:rFonts w:cs="Arial"/>
          <w:sz w:val="22"/>
          <w:szCs w:val="22"/>
        </w:rPr>
        <w:t xml:space="preserve"> en la cotización de bienes o servicios ofrecidos</w:t>
      </w:r>
      <w:r w:rsidR="009F48AD" w:rsidRPr="005738BE">
        <w:rPr>
          <w:rFonts w:cs="Arial"/>
          <w:sz w:val="22"/>
          <w:szCs w:val="22"/>
        </w:rPr>
        <w:t>,</w:t>
      </w:r>
      <w:r w:rsidRPr="005738BE">
        <w:rPr>
          <w:rFonts w:cs="Arial"/>
          <w:sz w:val="22"/>
          <w:szCs w:val="22"/>
        </w:rPr>
        <w:t xml:space="preserve"> </w:t>
      </w:r>
      <w:r w:rsidR="008A2C69" w:rsidRPr="005738BE">
        <w:rPr>
          <w:rFonts w:cs="Arial"/>
          <w:sz w:val="22"/>
          <w:szCs w:val="22"/>
        </w:rPr>
        <w:t>lo que</w:t>
      </w:r>
      <w:r w:rsidRPr="005738BE">
        <w:rPr>
          <w:rFonts w:cs="Arial"/>
          <w:sz w:val="22"/>
          <w:szCs w:val="22"/>
        </w:rPr>
        <w:t xml:space="preserve"> incrementa el costo de vida de los ciudadanos</w:t>
      </w:r>
      <w:r w:rsidR="008A2C69" w:rsidRPr="005738BE">
        <w:rPr>
          <w:rFonts w:cs="Arial"/>
          <w:sz w:val="22"/>
          <w:szCs w:val="22"/>
        </w:rPr>
        <w:t>, o (</w:t>
      </w:r>
      <w:proofErr w:type="spellStart"/>
      <w:r w:rsidR="008A2C69" w:rsidRPr="005738BE">
        <w:rPr>
          <w:rFonts w:cs="Arial"/>
          <w:sz w:val="22"/>
          <w:szCs w:val="22"/>
        </w:rPr>
        <w:t>iii</w:t>
      </w:r>
      <w:proofErr w:type="spellEnd"/>
      <w:r w:rsidR="008A2C69" w:rsidRPr="005738BE">
        <w:rPr>
          <w:rFonts w:cs="Arial"/>
          <w:sz w:val="22"/>
          <w:szCs w:val="22"/>
        </w:rPr>
        <w:t>) l</w:t>
      </w:r>
      <w:r w:rsidR="00AE02AF" w:rsidRPr="005738BE">
        <w:rPr>
          <w:rFonts w:cs="Arial"/>
          <w:sz w:val="22"/>
          <w:szCs w:val="22"/>
        </w:rPr>
        <w:t>a reducción de</w:t>
      </w:r>
      <w:r w:rsidRPr="005738BE">
        <w:rPr>
          <w:rFonts w:cs="Arial"/>
          <w:sz w:val="22"/>
          <w:szCs w:val="22"/>
        </w:rPr>
        <w:t xml:space="preserve"> gastos en la prestación de servicios o la elaboración de los bienes</w:t>
      </w:r>
      <w:r w:rsidR="008A2C69" w:rsidRPr="005738BE">
        <w:rPr>
          <w:rFonts w:cs="Arial"/>
          <w:sz w:val="22"/>
          <w:szCs w:val="22"/>
        </w:rPr>
        <w:t>, l</w:t>
      </w:r>
      <w:r w:rsidR="00AE02AF" w:rsidRPr="005738BE">
        <w:rPr>
          <w:rFonts w:cs="Arial"/>
          <w:sz w:val="22"/>
          <w:szCs w:val="22"/>
        </w:rPr>
        <w:t xml:space="preserve">o </w:t>
      </w:r>
      <w:r w:rsidR="008A2C69" w:rsidRPr="005738BE">
        <w:rPr>
          <w:rFonts w:cs="Arial"/>
          <w:sz w:val="22"/>
          <w:szCs w:val="22"/>
        </w:rPr>
        <w:t xml:space="preserve">cual </w:t>
      </w:r>
      <w:r w:rsidR="00AE02AF" w:rsidRPr="005738BE">
        <w:rPr>
          <w:rFonts w:cs="Arial"/>
          <w:sz w:val="22"/>
          <w:szCs w:val="22"/>
        </w:rPr>
        <w:t xml:space="preserve">afecta </w:t>
      </w:r>
      <w:r w:rsidRPr="005738BE">
        <w:rPr>
          <w:rFonts w:cs="Arial"/>
          <w:sz w:val="22"/>
          <w:szCs w:val="22"/>
        </w:rPr>
        <w:t xml:space="preserve">los estándares de calidad </w:t>
      </w:r>
      <w:r w:rsidR="00227819" w:rsidRPr="005738BE">
        <w:rPr>
          <w:rFonts w:cs="Arial"/>
          <w:sz w:val="22"/>
          <w:szCs w:val="22"/>
        </w:rPr>
        <w:t>de é</w:t>
      </w:r>
      <w:r w:rsidR="008A2C69" w:rsidRPr="005738BE">
        <w:rPr>
          <w:rFonts w:cs="Arial"/>
          <w:sz w:val="22"/>
          <w:szCs w:val="22"/>
        </w:rPr>
        <w:t>stos.</w:t>
      </w:r>
    </w:p>
    <w:p w14:paraId="001A2A6D" w14:textId="77777777" w:rsidR="003C0A02" w:rsidRPr="005738BE" w:rsidRDefault="003C0A02" w:rsidP="003C0A02">
      <w:pPr>
        <w:rPr>
          <w:rFonts w:cs="Arial"/>
          <w:sz w:val="22"/>
          <w:szCs w:val="22"/>
        </w:rPr>
      </w:pPr>
    </w:p>
    <w:p w14:paraId="06DA3F04" w14:textId="6E1FC576" w:rsidR="003C0A02" w:rsidRPr="005738BE" w:rsidRDefault="0012374F" w:rsidP="003C0A02">
      <w:pPr>
        <w:rPr>
          <w:rFonts w:cs="Arial"/>
          <w:sz w:val="22"/>
          <w:szCs w:val="22"/>
        </w:rPr>
      </w:pPr>
      <w:r w:rsidRPr="005738BE">
        <w:rPr>
          <w:rFonts w:cs="Arial"/>
          <w:sz w:val="22"/>
          <w:szCs w:val="22"/>
        </w:rPr>
        <w:lastRenderedPageBreak/>
        <w:t xml:space="preserve">De acuerdo con </w:t>
      </w:r>
      <w:r w:rsidR="00AE02AF" w:rsidRPr="005738BE">
        <w:rPr>
          <w:rFonts w:cs="Arial"/>
          <w:sz w:val="22"/>
          <w:szCs w:val="22"/>
        </w:rPr>
        <w:t>el mismo informe</w:t>
      </w:r>
      <w:r w:rsidRPr="005738BE">
        <w:rPr>
          <w:rFonts w:cs="Arial"/>
          <w:sz w:val="22"/>
          <w:szCs w:val="22"/>
        </w:rPr>
        <w:t xml:space="preserve">, </w:t>
      </w:r>
      <w:r w:rsidR="004D4599" w:rsidRPr="005738BE">
        <w:rPr>
          <w:rFonts w:cs="Arial"/>
          <w:sz w:val="22"/>
          <w:szCs w:val="22"/>
        </w:rPr>
        <w:t xml:space="preserve">las empresas involucradas en el 60% de los casos de soborno </w:t>
      </w:r>
      <w:r w:rsidR="00352539" w:rsidRPr="005738BE">
        <w:rPr>
          <w:rFonts w:cs="Arial"/>
          <w:sz w:val="22"/>
          <w:szCs w:val="22"/>
        </w:rPr>
        <w:t>transnacional</w:t>
      </w:r>
      <w:r w:rsidR="004D4599" w:rsidRPr="005738BE">
        <w:rPr>
          <w:rFonts w:cs="Arial"/>
          <w:sz w:val="22"/>
          <w:szCs w:val="22"/>
        </w:rPr>
        <w:t xml:space="preserve"> </w:t>
      </w:r>
      <w:r w:rsidR="00AE02AF" w:rsidRPr="005738BE">
        <w:rPr>
          <w:rFonts w:cs="Arial"/>
          <w:sz w:val="22"/>
          <w:szCs w:val="22"/>
        </w:rPr>
        <w:t>analizados</w:t>
      </w:r>
      <w:r w:rsidR="004D4599" w:rsidRPr="005738BE">
        <w:rPr>
          <w:rFonts w:cs="Arial"/>
          <w:sz w:val="22"/>
          <w:szCs w:val="22"/>
        </w:rPr>
        <w:t xml:space="preserve"> </w:t>
      </w:r>
      <w:r w:rsidRPr="005738BE">
        <w:rPr>
          <w:rFonts w:cs="Arial"/>
          <w:sz w:val="22"/>
          <w:szCs w:val="22"/>
        </w:rPr>
        <w:t>tenían más de 250 empleados</w:t>
      </w:r>
      <w:r w:rsidR="00E121E1" w:rsidRPr="005738BE">
        <w:rPr>
          <w:rFonts w:cs="Arial"/>
          <w:sz w:val="22"/>
          <w:szCs w:val="22"/>
        </w:rPr>
        <w:t xml:space="preserve">. </w:t>
      </w:r>
      <w:r w:rsidR="004D4599" w:rsidRPr="005738BE">
        <w:rPr>
          <w:rFonts w:cs="Arial"/>
          <w:sz w:val="22"/>
          <w:szCs w:val="22"/>
        </w:rPr>
        <w:t>La</w:t>
      </w:r>
      <w:r w:rsidR="00E10801" w:rsidRPr="005738BE">
        <w:rPr>
          <w:rFonts w:cs="Arial"/>
          <w:sz w:val="22"/>
          <w:szCs w:val="22"/>
        </w:rPr>
        <w:t>s</w:t>
      </w:r>
      <w:r w:rsidR="004D4599" w:rsidRPr="005738BE">
        <w:rPr>
          <w:rFonts w:cs="Arial"/>
          <w:sz w:val="22"/>
          <w:szCs w:val="22"/>
        </w:rPr>
        <w:t xml:space="preserve"> estadística</w:t>
      </w:r>
      <w:r w:rsidR="00E10801" w:rsidRPr="005738BE">
        <w:rPr>
          <w:rFonts w:cs="Arial"/>
          <w:sz w:val="22"/>
          <w:szCs w:val="22"/>
        </w:rPr>
        <w:t>s</w:t>
      </w:r>
      <w:r w:rsidR="004D4599" w:rsidRPr="005738BE">
        <w:rPr>
          <w:rFonts w:cs="Arial"/>
          <w:sz w:val="22"/>
          <w:szCs w:val="22"/>
        </w:rPr>
        <w:t xml:space="preserve"> indica</w:t>
      </w:r>
      <w:r w:rsidR="00E10801" w:rsidRPr="005738BE">
        <w:rPr>
          <w:rFonts w:cs="Arial"/>
          <w:sz w:val="22"/>
          <w:szCs w:val="22"/>
        </w:rPr>
        <w:t>n</w:t>
      </w:r>
      <w:r w:rsidR="004D4599" w:rsidRPr="005738BE">
        <w:rPr>
          <w:rFonts w:cs="Arial"/>
          <w:sz w:val="22"/>
          <w:szCs w:val="22"/>
        </w:rPr>
        <w:t xml:space="preserve"> </w:t>
      </w:r>
      <w:r w:rsidRPr="005738BE">
        <w:rPr>
          <w:rFonts w:cs="Arial"/>
          <w:sz w:val="22"/>
          <w:szCs w:val="22"/>
        </w:rPr>
        <w:t xml:space="preserve">que este fenómeno ocurre en los principales </w:t>
      </w:r>
      <w:r w:rsidR="004D4599" w:rsidRPr="005738BE">
        <w:rPr>
          <w:rFonts w:cs="Arial"/>
          <w:sz w:val="22"/>
          <w:szCs w:val="22"/>
        </w:rPr>
        <w:t xml:space="preserve">generadores </w:t>
      </w:r>
      <w:r w:rsidRPr="005738BE">
        <w:rPr>
          <w:rFonts w:cs="Arial"/>
          <w:sz w:val="22"/>
          <w:szCs w:val="22"/>
        </w:rPr>
        <w:t>de empleo y riqueza del mundo, lo que afecta</w:t>
      </w:r>
      <w:r w:rsidR="00AE02AF" w:rsidRPr="005738BE">
        <w:rPr>
          <w:rFonts w:cs="Arial"/>
          <w:sz w:val="22"/>
          <w:szCs w:val="22"/>
        </w:rPr>
        <w:t xml:space="preserve"> drásticamente las economías</w:t>
      </w:r>
      <w:r w:rsidRPr="005738BE">
        <w:rPr>
          <w:rFonts w:cs="Arial"/>
          <w:sz w:val="22"/>
          <w:szCs w:val="22"/>
        </w:rPr>
        <w:t xml:space="preserve">. </w:t>
      </w:r>
    </w:p>
    <w:p w14:paraId="7DB01E65" w14:textId="77777777" w:rsidR="00F72FE1" w:rsidRPr="005738BE" w:rsidRDefault="00F72FE1" w:rsidP="003C0A02">
      <w:pPr>
        <w:rPr>
          <w:rFonts w:cs="Arial"/>
          <w:sz w:val="22"/>
          <w:szCs w:val="22"/>
        </w:rPr>
      </w:pPr>
    </w:p>
    <w:p w14:paraId="688AFBC5" w14:textId="53E7411E" w:rsidR="003C0A02" w:rsidRPr="005738BE" w:rsidRDefault="0012374F" w:rsidP="003C0A02">
      <w:pPr>
        <w:rPr>
          <w:rFonts w:cs="Arial"/>
          <w:sz w:val="22"/>
          <w:szCs w:val="22"/>
        </w:rPr>
      </w:pPr>
      <w:r w:rsidRPr="005738BE">
        <w:rPr>
          <w:rFonts w:cs="Arial"/>
          <w:sz w:val="22"/>
          <w:szCs w:val="22"/>
        </w:rPr>
        <w:t xml:space="preserve">Así mismo, </w:t>
      </w:r>
      <w:r w:rsidR="00E121E1" w:rsidRPr="005738BE">
        <w:rPr>
          <w:rFonts w:cs="Arial"/>
          <w:sz w:val="22"/>
          <w:szCs w:val="22"/>
        </w:rPr>
        <w:t xml:space="preserve">la OCDE </w:t>
      </w:r>
      <w:r w:rsidRPr="005738BE">
        <w:rPr>
          <w:rFonts w:cs="Arial"/>
          <w:sz w:val="22"/>
          <w:szCs w:val="22"/>
        </w:rPr>
        <w:t>determinó que las conduc</w:t>
      </w:r>
      <w:r w:rsidR="00E121E1" w:rsidRPr="005738BE">
        <w:rPr>
          <w:rFonts w:cs="Arial"/>
          <w:sz w:val="22"/>
          <w:szCs w:val="22"/>
        </w:rPr>
        <w:t>tas asociadas con este fenómeno</w:t>
      </w:r>
      <w:r w:rsidRPr="005738BE">
        <w:rPr>
          <w:rFonts w:cs="Arial"/>
          <w:sz w:val="22"/>
          <w:szCs w:val="22"/>
        </w:rPr>
        <w:t xml:space="preserve"> </w:t>
      </w:r>
      <w:r w:rsidR="004D4599" w:rsidRPr="005738BE">
        <w:rPr>
          <w:rFonts w:cs="Arial"/>
          <w:sz w:val="22"/>
          <w:szCs w:val="22"/>
        </w:rPr>
        <w:t xml:space="preserve">tuvieron lugar, </w:t>
      </w:r>
      <w:r w:rsidR="00E121E1" w:rsidRPr="005738BE">
        <w:rPr>
          <w:rFonts w:cs="Arial"/>
          <w:sz w:val="22"/>
          <w:szCs w:val="22"/>
        </w:rPr>
        <w:t>principalmente</w:t>
      </w:r>
      <w:r w:rsidR="004D4599" w:rsidRPr="005738BE">
        <w:rPr>
          <w:rFonts w:cs="Arial"/>
          <w:sz w:val="22"/>
          <w:szCs w:val="22"/>
        </w:rPr>
        <w:t>,</w:t>
      </w:r>
      <w:r w:rsidR="00E121E1" w:rsidRPr="005738BE">
        <w:rPr>
          <w:rFonts w:cs="Arial"/>
          <w:sz w:val="22"/>
          <w:szCs w:val="22"/>
        </w:rPr>
        <w:t xml:space="preserve"> </w:t>
      </w:r>
      <w:r w:rsidRPr="005738BE">
        <w:rPr>
          <w:rFonts w:cs="Arial"/>
          <w:sz w:val="22"/>
          <w:szCs w:val="22"/>
        </w:rPr>
        <w:t xml:space="preserve">en países con niveles altos (22%) y muy altos (21%) de </w:t>
      </w:r>
      <w:r w:rsidR="00AE02AF" w:rsidRPr="005738BE">
        <w:rPr>
          <w:rFonts w:cs="Arial"/>
          <w:sz w:val="22"/>
          <w:szCs w:val="22"/>
        </w:rPr>
        <w:t xml:space="preserve">desarrollo humano. </w:t>
      </w:r>
      <w:r w:rsidR="007E7F5D" w:rsidRPr="005738BE">
        <w:rPr>
          <w:rFonts w:cs="Arial"/>
          <w:sz w:val="22"/>
          <w:szCs w:val="22"/>
        </w:rPr>
        <w:t>Lo anterior, permite ver que</w:t>
      </w:r>
      <w:r w:rsidR="00AE02AF" w:rsidRPr="005738BE">
        <w:rPr>
          <w:rFonts w:cs="Arial"/>
          <w:sz w:val="22"/>
          <w:szCs w:val="22"/>
        </w:rPr>
        <w:t xml:space="preserve"> el soborno </w:t>
      </w:r>
      <w:r w:rsidR="00352539" w:rsidRPr="005738BE">
        <w:rPr>
          <w:rFonts w:cs="Arial"/>
          <w:sz w:val="22"/>
          <w:szCs w:val="22"/>
        </w:rPr>
        <w:t xml:space="preserve">transnacional </w:t>
      </w:r>
      <w:r w:rsidR="00AE02AF" w:rsidRPr="005738BE">
        <w:rPr>
          <w:rFonts w:cs="Arial"/>
          <w:sz w:val="22"/>
          <w:szCs w:val="22"/>
        </w:rPr>
        <w:t>se presenta</w:t>
      </w:r>
      <w:r w:rsidR="004D4599" w:rsidRPr="005738BE">
        <w:rPr>
          <w:rFonts w:cs="Arial"/>
          <w:sz w:val="22"/>
          <w:szCs w:val="22"/>
        </w:rPr>
        <w:t xml:space="preserve">, </w:t>
      </w:r>
      <w:r w:rsidR="00AE02AF" w:rsidRPr="005738BE">
        <w:rPr>
          <w:rFonts w:cs="Arial"/>
          <w:sz w:val="22"/>
          <w:szCs w:val="22"/>
        </w:rPr>
        <w:t>incluso</w:t>
      </w:r>
      <w:r w:rsidR="004D4599" w:rsidRPr="005738BE">
        <w:rPr>
          <w:rFonts w:cs="Arial"/>
          <w:sz w:val="22"/>
          <w:szCs w:val="22"/>
        </w:rPr>
        <w:t xml:space="preserve">, </w:t>
      </w:r>
      <w:r w:rsidR="00AE02AF" w:rsidRPr="005738BE">
        <w:rPr>
          <w:rFonts w:cs="Arial"/>
          <w:sz w:val="22"/>
          <w:szCs w:val="22"/>
        </w:rPr>
        <w:t xml:space="preserve">en países de economías robustas y desarrolladas, </w:t>
      </w:r>
      <w:r w:rsidR="00191289" w:rsidRPr="005738BE">
        <w:rPr>
          <w:rFonts w:cs="Arial"/>
          <w:sz w:val="22"/>
          <w:szCs w:val="22"/>
        </w:rPr>
        <w:t xml:space="preserve">es decir, </w:t>
      </w:r>
      <w:r w:rsidR="00AE02AF" w:rsidRPr="005738BE">
        <w:rPr>
          <w:rFonts w:cs="Arial"/>
          <w:sz w:val="22"/>
          <w:szCs w:val="22"/>
        </w:rPr>
        <w:t>no sólo en los países en vía de desarrollo.</w:t>
      </w:r>
    </w:p>
    <w:p w14:paraId="36E9A5A2" w14:textId="77777777" w:rsidR="00857FC7" w:rsidRPr="005738BE" w:rsidRDefault="00857FC7" w:rsidP="003C0A02">
      <w:pPr>
        <w:rPr>
          <w:rFonts w:cs="Arial"/>
          <w:sz w:val="22"/>
          <w:szCs w:val="22"/>
        </w:rPr>
      </w:pPr>
    </w:p>
    <w:p w14:paraId="3C84155D" w14:textId="77777777" w:rsidR="003C0A02" w:rsidRPr="005738BE" w:rsidRDefault="004D4599" w:rsidP="003C0A02">
      <w:pPr>
        <w:rPr>
          <w:rFonts w:cs="Arial"/>
          <w:sz w:val="22"/>
          <w:szCs w:val="22"/>
        </w:rPr>
      </w:pPr>
      <w:r w:rsidRPr="005738BE">
        <w:rPr>
          <w:rFonts w:cs="Arial"/>
          <w:sz w:val="22"/>
          <w:szCs w:val="22"/>
        </w:rPr>
        <w:t xml:space="preserve">Debido a la extendida presencia de estas conductas, </w:t>
      </w:r>
      <w:r w:rsidR="006E781D" w:rsidRPr="005738BE">
        <w:rPr>
          <w:rFonts w:cs="Arial"/>
          <w:sz w:val="22"/>
          <w:szCs w:val="22"/>
        </w:rPr>
        <w:t xml:space="preserve">algunos Estados han adoptado diversos mecanismos de naturaleza </w:t>
      </w:r>
      <w:r w:rsidRPr="005738BE">
        <w:rPr>
          <w:rFonts w:cs="Arial"/>
          <w:sz w:val="22"/>
          <w:szCs w:val="22"/>
        </w:rPr>
        <w:t xml:space="preserve">preventiva y </w:t>
      </w:r>
      <w:r w:rsidR="006E781D" w:rsidRPr="005738BE">
        <w:rPr>
          <w:rFonts w:cs="Arial"/>
          <w:sz w:val="22"/>
          <w:szCs w:val="22"/>
        </w:rPr>
        <w:t xml:space="preserve">represiva para </w:t>
      </w:r>
      <w:r w:rsidRPr="005738BE">
        <w:rPr>
          <w:rFonts w:cs="Arial"/>
          <w:sz w:val="22"/>
          <w:szCs w:val="22"/>
        </w:rPr>
        <w:t>combatirlas de manera efectiva</w:t>
      </w:r>
      <w:r w:rsidR="006E781D" w:rsidRPr="005738BE">
        <w:rPr>
          <w:rFonts w:cs="Arial"/>
          <w:sz w:val="22"/>
          <w:szCs w:val="22"/>
        </w:rPr>
        <w:t>.</w:t>
      </w:r>
    </w:p>
    <w:p w14:paraId="32345EA3" w14:textId="77777777" w:rsidR="003C0A02" w:rsidRPr="005738BE" w:rsidRDefault="003C0A02" w:rsidP="003C0A02">
      <w:pPr>
        <w:rPr>
          <w:rFonts w:cs="Arial"/>
          <w:sz w:val="22"/>
          <w:szCs w:val="22"/>
        </w:rPr>
      </w:pPr>
    </w:p>
    <w:p w14:paraId="30BA71B7" w14:textId="69BA0279" w:rsidR="00000474" w:rsidRPr="005738BE" w:rsidRDefault="006E781D" w:rsidP="00EF31F8">
      <w:pPr>
        <w:rPr>
          <w:rFonts w:cs="Arial"/>
          <w:sz w:val="22"/>
          <w:szCs w:val="22"/>
          <w:lang w:val="es-CO"/>
        </w:rPr>
      </w:pPr>
      <w:r w:rsidRPr="005738BE">
        <w:rPr>
          <w:rFonts w:cs="Arial"/>
          <w:sz w:val="22"/>
          <w:szCs w:val="22"/>
          <w:lang w:val="es-ES_tradnl"/>
        </w:rPr>
        <w:t>Colombia no ha sido ajena a este esfuerzo</w:t>
      </w:r>
      <w:r w:rsidR="00191289" w:rsidRPr="005738BE">
        <w:rPr>
          <w:rFonts w:cs="Arial"/>
          <w:sz w:val="22"/>
          <w:szCs w:val="22"/>
          <w:lang w:val="es-ES_tradnl"/>
        </w:rPr>
        <w:t xml:space="preserve">. Por ello en el país se </w:t>
      </w:r>
      <w:r w:rsidR="004D4599" w:rsidRPr="005738BE">
        <w:rPr>
          <w:rFonts w:cs="Arial"/>
          <w:sz w:val="22"/>
          <w:szCs w:val="22"/>
          <w:lang w:val="es-ES_tradnl"/>
        </w:rPr>
        <w:t>promulgó</w:t>
      </w:r>
      <w:r w:rsidR="00A85F41" w:rsidRPr="005738BE">
        <w:rPr>
          <w:rFonts w:cs="Arial"/>
          <w:sz w:val="22"/>
          <w:szCs w:val="22"/>
          <w:lang w:val="es-ES_tradnl"/>
        </w:rPr>
        <w:t xml:space="preserve"> </w:t>
      </w:r>
      <w:r w:rsidRPr="005738BE">
        <w:rPr>
          <w:rFonts w:cs="Arial"/>
          <w:sz w:val="22"/>
          <w:szCs w:val="22"/>
          <w:lang w:val="es-ES_tradnl"/>
        </w:rPr>
        <w:t>la Ley 1778 de 2016</w:t>
      </w:r>
      <w:r w:rsidR="004D4599" w:rsidRPr="005738BE">
        <w:rPr>
          <w:rFonts w:cs="Arial"/>
          <w:sz w:val="22"/>
          <w:szCs w:val="22"/>
          <w:lang w:val="es-ES_tradnl"/>
        </w:rPr>
        <w:t xml:space="preserve">. </w:t>
      </w:r>
      <w:r w:rsidR="004D4599" w:rsidRPr="005738BE">
        <w:rPr>
          <w:rFonts w:cs="Arial"/>
          <w:sz w:val="22"/>
          <w:szCs w:val="22"/>
          <w:lang w:val="es-CO"/>
        </w:rPr>
        <w:t xml:space="preserve">Esta </w:t>
      </w:r>
      <w:r w:rsidR="00191289" w:rsidRPr="005738BE">
        <w:rPr>
          <w:rFonts w:cs="Arial"/>
          <w:sz w:val="22"/>
          <w:szCs w:val="22"/>
          <w:lang w:val="es-CO"/>
        </w:rPr>
        <w:t>norma,</w:t>
      </w:r>
      <w:r w:rsidR="004D4599" w:rsidRPr="005738BE">
        <w:rPr>
          <w:rFonts w:cs="Arial"/>
          <w:sz w:val="22"/>
          <w:szCs w:val="22"/>
          <w:lang w:val="es-CO"/>
        </w:rPr>
        <w:t xml:space="preserve"> además de definir claramente el alcance de la conducta de soborno </w:t>
      </w:r>
      <w:r w:rsidR="00352539" w:rsidRPr="005738BE">
        <w:rPr>
          <w:rFonts w:cs="Arial"/>
          <w:sz w:val="22"/>
          <w:szCs w:val="22"/>
          <w:lang w:val="es-CO"/>
        </w:rPr>
        <w:t>transnacional como infracción administrativa</w:t>
      </w:r>
      <w:r w:rsidR="004D4599" w:rsidRPr="005738BE">
        <w:rPr>
          <w:rFonts w:cs="Arial"/>
          <w:sz w:val="22"/>
          <w:szCs w:val="22"/>
          <w:lang w:val="es-CO"/>
        </w:rPr>
        <w:t xml:space="preserve">, determinó los destinatarios de dicho régimen y asignó funciones de prevención, investigación y sanción en esta materia a la Superintendencia de Sociedades. </w:t>
      </w:r>
      <w:r w:rsidR="00352539" w:rsidRPr="005738BE">
        <w:rPr>
          <w:rFonts w:cs="Arial"/>
          <w:sz w:val="22"/>
          <w:szCs w:val="22"/>
          <w:lang w:val="es-CO"/>
        </w:rPr>
        <w:t xml:space="preserve">También, creó la posibilidad de acceder a beneficios por colaboración pudiéndose obtener una exoneración total o parcial de la sanción, </w:t>
      </w:r>
      <w:r w:rsidR="00000474" w:rsidRPr="005738BE">
        <w:rPr>
          <w:rFonts w:cs="Arial"/>
          <w:sz w:val="22"/>
          <w:szCs w:val="22"/>
          <w:lang w:val="es-CO"/>
        </w:rPr>
        <w:t xml:space="preserve">cuando se ponga en conocimiento de la Superintendencia de Sociedades y se haga entrega de manera oportuna de información y pruebas relacionadas con la comisión de dicha conducta. </w:t>
      </w:r>
    </w:p>
    <w:p w14:paraId="351235FE" w14:textId="77777777" w:rsidR="004F482F" w:rsidRPr="005738BE" w:rsidRDefault="004F482F" w:rsidP="0070671E">
      <w:pPr>
        <w:rPr>
          <w:rFonts w:cs="Arial"/>
          <w:sz w:val="22"/>
          <w:szCs w:val="22"/>
          <w:lang w:val="es-ES_tradnl"/>
        </w:rPr>
      </w:pPr>
      <w:bookmarkStart w:id="9" w:name="_Toc511124554"/>
    </w:p>
    <w:p w14:paraId="16AE3049" w14:textId="1FFDCF59" w:rsidR="006E781D" w:rsidRPr="005738BE" w:rsidRDefault="00093DA0" w:rsidP="006F02F4">
      <w:pPr>
        <w:pStyle w:val="Ttulo2"/>
        <w:numPr>
          <w:ilvl w:val="0"/>
          <w:numId w:val="0"/>
        </w:numPr>
        <w:rPr>
          <w:rFonts w:cs="Arial"/>
          <w:sz w:val="22"/>
          <w:szCs w:val="22"/>
        </w:rPr>
      </w:pPr>
      <w:r w:rsidRPr="005738BE">
        <w:rPr>
          <w:rFonts w:cs="Arial"/>
          <w:sz w:val="22"/>
          <w:szCs w:val="22"/>
        </w:rPr>
        <w:t>4</w:t>
      </w:r>
      <w:r w:rsidR="00CB10D6" w:rsidRPr="005738BE">
        <w:rPr>
          <w:rFonts w:cs="Arial"/>
          <w:sz w:val="22"/>
          <w:szCs w:val="22"/>
        </w:rPr>
        <w:t>.1</w:t>
      </w:r>
      <w:r w:rsidRPr="005738BE">
        <w:rPr>
          <w:rFonts w:cs="Arial"/>
          <w:sz w:val="22"/>
          <w:szCs w:val="22"/>
        </w:rPr>
        <w:t xml:space="preserve"> </w:t>
      </w:r>
      <w:r w:rsidR="00676F48" w:rsidRPr="005738BE">
        <w:rPr>
          <w:rFonts w:cs="Arial"/>
          <w:sz w:val="22"/>
          <w:szCs w:val="22"/>
        </w:rPr>
        <w:t xml:space="preserve">¿Qué es el soborno </w:t>
      </w:r>
      <w:r w:rsidR="00000474" w:rsidRPr="005738BE">
        <w:rPr>
          <w:rFonts w:cs="Arial"/>
          <w:sz w:val="22"/>
          <w:szCs w:val="22"/>
        </w:rPr>
        <w:t>transnacional</w:t>
      </w:r>
      <w:r w:rsidR="00676F48" w:rsidRPr="005738BE">
        <w:rPr>
          <w:rFonts w:cs="Arial"/>
          <w:sz w:val="22"/>
          <w:szCs w:val="22"/>
        </w:rPr>
        <w:t>?</w:t>
      </w:r>
      <w:bookmarkEnd w:id="9"/>
    </w:p>
    <w:p w14:paraId="337F2049" w14:textId="77777777" w:rsidR="006E781D" w:rsidRPr="005738BE" w:rsidRDefault="006E781D" w:rsidP="006E781D">
      <w:pPr>
        <w:rPr>
          <w:rFonts w:cs="Arial"/>
          <w:sz w:val="22"/>
          <w:szCs w:val="22"/>
          <w:highlight w:val="yellow"/>
        </w:rPr>
      </w:pPr>
    </w:p>
    <w:p w14:paraId="2F065A1A" w14:textId="77777777" w:rsidR="001655E6" w:rsidRPr="005738BE" w:rsidRDefault="00676F48" w:rsidP="003C0A02">
      <w:pPr>
        <w:rPr>
          <w:rFonts w:eastAsia="Calibri" w:cs="Arial"/>
          <w:sz w:val="22"/>
          <w:szCs w:val="22"/>
          <w:lang w:val="es-ES_tradnl"/>
        </w:rPr>
      </w:pPr>
      <w:r w:rsidRPr="005738BE">
        <w:rPr>
          <w:rFonts w:cs="Arial"/>
          <w:sz w:val="22"/>
          <w:szCs w:val="22"/>
        </w:rPr>
        <w:t>Es</w:t>
      </w:r>
      <w:r w:rsidR="006E781D" w:rsidRPr="005738BE">
        <w:rPr>
          <w:rFonts w:eastAsia="Calibri" w:cs="Arial"/>
          <w:sz w:val="22"/>
          <w:szCs w:val="22"/>
          <w:lang w:val="es-ES_tradnl"/>
        </w:rPr>
        <w:t xml:space="preserve"> la conducta que </w:t>
      </w:r>
      <w:r w:rsidR="000B2102" w:rsidRPr="005738BE">
        <w:rPr>
          <w:rFonts w:eastAsia="Calibri" w:cs="Arial"/>
          <w:sz w:val="22"/>
          <w:szCs w:val="22"/>
          <w:lang w:val="es-ES_tradnl"/>
        </w:rPr>
        <w:t xml:space="preserve">lleva a cabo </w:t>
      </w:r>
      <w:r w:rsidR="006E781D" w:rsidRPr="005738BE">
        <w:rPr>
          <w:rFonts w:eastAsia="Calibri" w:cs="Arial"/>
          <w:sz w:val="22"/>
          <w:szCs w:val="22"/>
          <w:lang w:val="es-ES_tradnl"/>
        </w:rPr>
        <w:t xml:space="preserve">una persona jurídica o una sucursal de sociedad extranjera con domicilio en Colombia, </w:t>
      </w:r>
      <w:r w:rsidRPr="005738BE">
        <w:rPr>
          <w:rFonts w:eastAsia="Calibri" w:cs="Arial"/>
          <w:sz w:val="22"/>
          <w:szCs w:val="22"/>
          <w:lang w:val="es-ES_tradnl"/>
        </w:rPr>
        <w:t xml:space="preserve">por medio de </w:t>
      </w:r>
      <w:r w:rsidR="001655E6" w:rsidRPr="005738BE">
        <w:rPr>
          <w:rFonts w:eastAsia="Calibri" w:cs="Arial"/>
          <w:sz w:val="22"/>
          <w:szCs w:val="22"/>
          <w:lang w:val="es-ES_tradnl"/>
        </w:rPr>
        <w:t>cualquiera de sus:</w:t>
      </w:r>
    </w:p>
    <w:p w14:paraId="21BB5929" w14:textId="77777777" w:rsidR="00F839B0" w:rsidRPr="005738BE" w:rsidRDefault="00F839B0" w:rsidP="003C0A02">
      <w:pPr>
        <w:rPr>
          <w:rFonts w:eastAsia="Calibri" w:cs="Arial"/>
          <w:sz w:val="22"/>
          <w:szCs w:val="22"/>
          <w:lang w:val="es-ES_tradnl"/>
        </w:rPr>
      </w:pPr>
    </w:p>
    <w:p w14:paraId="2B5838D6" w14:textId="77777777" w:rsidR="001655E6" w:rsidRPr="005738BE" w:rsidRDefault="000B2102" w:rsidP="004B37D2">
      <w:pPr>
        <w:pStyle w:val="Prrafodelista"/>
        <w:numPr>
          <w:ilvl w:val="0"/>
          <w:numId w:val="35"/>
        </w:numPr>
        <w:rPr>
          <w:rFonts w:cs="Arial"/>
          <w:sz w:val="22"/>
          <w:szCs w:val="22"/>
        </w:rPr>
      </w:pPr>
      <w:r w:rsidRPr="005738BE">
        <w:rPr>
          <w:rFonts w:eastAsia="Calibri" w:cs="Arial"/>
          <w:sz w:val="22"/>
          <w:szCs w:val="22"/>
          <w:lang w:val="es-ES_tradnl"/>
        </w:rPr>
        <w:t>empleados</w:t>
      </w:r>
    </w:p>
    <w:p w14:paraId="72893365" w14:textId="77777777" w:rsidR="001655E6" w:rsidRPr="005738BE" w:rsidRDefault="000B2102" w:rsidP="004B37D2">
      <w:pPr>
        <w:pStyle w:val="Prrafodelista"/>
        <w:numPr>
          <w:ilvl w:val="0"/>
          <w:numId w:val="35"/>
        </w:numPr>
        <w:rPr>
          <w:rFonts w:cs="Arial"/>
          <w:sz w:val="22"/>
          <w:szCs w:val="22"/>
        </w:rPr>
      </w:pPr>
      <w:r w:rsidRPr="005738BE">
        <w:rPr>
          <w:rFonts w:eastAsia="Calibri" w:cs="Arial"/>
          <w:sz w:val="22"/>
          <w:szCs w:val="22"/>
          <w:lang w:val="es-ES_tradnl"/>
        </w:rPr>
        <w:t>administradores</w:t>
      </w:r>
    </w:p>
    <w:p w14:paraId="148598BD" w14:textId="77777777" w:rsidR="001655E6" w:rsidRPr="005738BE" w:rsidRDefault="000B2102" w:rsidP="004B37D2">
      <w:pPr>
        <w:pStyle w:val="Prrafodelista"/>
        <w:numPr>
          <w:ilvl w:val="0"/>
          <w:numId w:val="35"/>
        </w:numPr>
        <w:rPr>
          <w:rFonts w:cs="Arial"/>
          <w:sz w:val="22"/>
          <w:szCs w:val="22"/>
        </w:rPr>
      </w:pPr>
      <w:r w:rsidRPr="005738BE">
        <w:rPr>
          <w:rFonts w:eastAsia="Calibri" w:cs="Arial"/>
          <w:sz w:val="22"/>
          <w:szCs w:val="22"/>
          <w:lang w:val="es-ES_tradnl"/>
        </w:rPr>
        <w:t>asociados</w:t>
      </w:r>
    </w:p>
    <w:p w14:paraId="644145A0" w14:textId="77777777" w:rsidR="001655E6" w:rsidRPr="005738BE" w:rsidRDefault="000B2102" w:rsidP="004B37D2">
      <w:pPr>
        <w:pStyle w:val="Prrafodelista"/>
        <w:numPr>
          <w:ilvl w:val="0"/>
          <w:numId w:val="35"/>
        </w:numPr>
        <w:rPr>
          <w:rFonts w:cs="Arial"/>
          <w:sz w:val="22"/>
          <w:szCs w:val="22"/>
        </w:rPr>
      </w:pPr>
      <w:r w:rsidRPr="005738BE">
        <w:rPr>
          <w:rFonts w:eastAsia="Calibri" w:cs="Arial"/>
          <w:sz w:val="22"/>
          <w:szCs w:val="22"/>
          <w:lang w:val="es-ES_tradnl"/>
        </w:rPr>
        <w:t>contratistas</w:t>
      </w:r>
      <w:r w:rsidRPr="005738BE">
        <w:rPr>
          <w:rFonts w:eastAsia="Calibri" w:cs="Arial"/>
          <w:b/>
          <w:sz w:val="22"/>
          <w:szCs w:val="22"/>
          <w:lang w:val="es-ES_tradnl"/>
        </w:rPr>
        <w:t xml:space="preserve"> </w:t>
      </w:r>
      <w:r w:rsidRPr="005738BE">
        <w:rPr>
          <w:rFonts w:eastAsia="Calibri" w:cs="Arial"/>
          <w:sz w:val="22"/>
          <w:szCs w:val="22"/>
          <w:lang w:val="es-ES_tradnl"/>
        </w:rPr>
        <w:t xml:space="preserve">o </w:t>
      </w:r>
    </w:p>
    <w:p w14:paraId="37190974" w14:textId="77777777" w:rsidR="001655E6" w:rsidRPr="005738BE" w:rsidRDefault="000B2102" w:rsidP="004B37D2">
      <w:pPr>
        <w:pStyle w:val="Prrafodelista"/>
        <w:numPr>
          <w:ilvl w:val="0"/>
          <w:numId w:val="35"/>
        </w:numPr>
        <w:rPr>
          <w:rFonts w:cs="Arial"/>
          <w:sz w:val="22"/>
          <w:szCs w:val="22"/>
        </w:rPr>
      </w:pPr>
      <w:r w:rsidRPr="005738BE">
        <w:rPr>
          <w:rFonts w:eastAsia="Calibri" w:cs="Arial"/>
          <w:sz w:val="22"/>
          <w:szCs w:val="22"/>
          <w:lang w:val="es-ES_tradnl"/>
        </w:rPr>
        <w:t>sociedades subordinadas</w:t>
      </w:r>
    </w:p>
    <w:p w14:paraId="568C8A6B" w14:textId="77777777" w:rsidR="001655E6" w:rsidRPr="005738BE" w:rsidRDefault="001655E6" w:rsidP="003C0A02">
      <w:pPr>
        <w:rPr>
          <w:rFonts w:eastAsia="Calibri" w:cs="Arial"/>
          <w:sz w:val="22"/>
          <w:szCs w:val="22"/>
          <w:lang w:val="es-ES_tradnl"/>
        </w:rPr>
      </w:pPr>
    </w:p>
    <w:p w14:paraId="68A71E8F" w14:textId="77777777" w:rsidR="006E781D" w:rsidRPr="005738BE" w:rsidRDefault="000B2102" w:rsidP="003C0A02">
      <w:pPr>
        <w:rPr>
          <w:rFonts w:eastAsia="Calibri" w:cs="Arial"/>
          <w:sz w:val="22"/>
          <w:szCs w:val="22"/>
          <w:lang w:val="es-ES_tradnl"/>
        </w:rPr>
      </w:pPr>
      <w:r w:rsidRPr="005738BE">
        <w:rPr>
          <w:rFonts w:eastAsia="Calibri" w:cs="Arial"/>
          <w:sz w:val="22"/>
          <w:szCs w:val="22"/>
          <w:lang w:val="es-ES_tradnl"/>
        </w:rPr>
        <w:t xml:space="preserve">Con el propósito de </w:t>
      </w:r>
      <w:r w:rsidR="001655E6" w:rsidRPr="005738BE">
        <w:rPr>
          <w:rFonts w:eastAsia="Calibri" w:cs="Arial"/>
          <w:sz w:val="22"/>
          <w:szCs w:val="22"/>
          <w:lang w:val="es-ES_tradnl"/>
        </w:rPr>
        <w:t xml:space="preserve">dar, ofrecer o prometer </w:t>
      </w:r>
      <w:r w:rsidR="006E781D" w:rsidRPr="005738BE">
        <w:rPr>
          <w:rFonts w:eastAsia="Calibri" w:cs="Arial"/>
          <w:sz w:val="22"/>
          <w:szCs w:val="22"/>
          <w:lang w:val="es-ES_tradnl"/>
        </w:rPr>
        <w:t xml:space="preserve">a un servidor público extranjero, de manera directa o indirecta: </w:t>
      </w:r>
    </w:p>
    <w:p w14:paraId="6E4C3F2B" w14:textId="77777777" w:rsidR="00F839B0" w:rsidRPr="005738BE" w:rsidRDefault="00F839B0" w:rsidP="003C0A02">
      <w:pPr>
        <w:rPr>
          <w:rFonts w:cs="Arial"/>
          <w:sz w:val="22"/>
          <w:szCs w:val="22"/>
        </w:rPr>
      </w:pPr>
    </w:p>
    <w:p w14:paraId="7E20520C" w14:textId="77777777" w:rsidR="003C0A02" w:rsidRPr="004B37D2" w:rsidRDefault="001655E6" w:rsidP="004B37D2">
      <w:pPr>
        <w:pStyle w:val="Prrafodelista"/>
        <w:numPr>
          <w:ilvl w:val="0"/>
          <w:numId w:val="36"/>
        </w:numPr>
        <w:ind w:left="709"/>
        <w:rPr>
          <w:rFonts w:eastAsia="Calibri" w:cs="Arial"/>
          <w:sz w:val="22"/>
          <w:szCs w:val="22"/>
          <w:lang w:val="es-ES_tradnl" w:eastAsia="en-US"/>
        </w:rPr>
      </w:pPr>
      <w:r w:rsidRPr="004B37D2">
        <w:rPr>
          <w:rFonts w:eastAsia="Calibri" w:cs="Arial"/>
          <w:sz w:val="22"/>
          <w:szCs w:val="22"/>
          <w:lang w:val="es-ES_tradnl" w:eastAsia="en-US"/>
        </w:rPr>
        <w:t>s</w:t>
      </w:r>
      <w:r w:rsidR="00DC1B1F" w:rsidRPr="004B37D2">
        <w:rPr>
          <w:rFonts w:eastAsia="Calibri" w:cs="Arial"/>
          <w:sz w:val="22"/>
          <w:szCs w:val="22"/>
          <w:lang w:val="es-ES_tradnl" w:eastAsia="en-US"/>
        </w:rPr>
        <w:t>umas de dinero</w:t>
      </w:r>
    </w:p>
    <w:p w14:paraId="38F89943" w14:textId="77777777" w:rsidR="003C0A02" w:rsidRPr="004B37D2" w:rsidRDefault="006E781D" w:rsidP="004B37D2">
      <w:pPr>
        <w:pStyle w:val="Prrafodelista"/>
        <w:numPr>
          <w:ilvl w:val="0"/>
          <w:numId w:val="36"/>
        </w:numPr>
        <w:ind w:left="709"/>
        <w:rPr>
          <w:rFonts w:eastAsia="Calibri" w:cs="Arial"/>
          <w:sz w:val="22"/>
          <w:szCs w:val="22"/>
          <w:lang w:val="es-ES_tradnl" w:eastAsia="en-US"/>
        </w:rPr>
      </w:pPr>
      <w:r w:rsidRPr="004B37D2">
        <w:rPr>
          <w:rFonts w:eastAsia="Calibri" w:cs="Arial"/>
          <w:sz w:val="22"/>
          <w:szCs w:val="22"/>
          <w:lang w:val="es-ES_tradnl" w:eastAsia="en-US"/>
        </w:rPr>
        <w:t xml:space="preserve">objetos de valor pecuniario o </w:t>
      </w:r>
    </w:p>
    <w:p w14:paraId="341C5F68" w14:textId="77777777" w:rsidR="006E781D" w:rsidRPr="004B37D2" w:rsidRDefault="006E781D" w:rsidP="004B37D2">
      <w:pPr>
        <w:pStyle w:val="Prrafodelista"/>
        <w:numPr>
          <w:ilvl w:val="0"/>
          <w:numId w:val="36"/>
        </w:numPr>
        <w:ind w:left="709"/>
        <w:rPr>
          <w:rFonts w:eastAsia="Calibri" w:cs="Arial"/>
          <w:sz w:val="22"/>
          <w:szCs w:val="22"/>
          <w:lang w:val="es-ES_tradnl" w:eastAsia="en-US"/>
        </w:rPr>
      </w:pPr>
      <w:r w:rsidRPr="004B37D2">
        <w:rPr>
          <w:rFonts w:eastAsia="Calibri" w:cs="Arial"/>
          <w:sz w:val="22"/>
          <w:szCs w:val="22"/>
          <w:lang w:val="es-ES_tradnl" w:eastAsia="en-US"/>
        </w:rPr>
        <w:t xml:space="preserve">cualquier beneficio o utilidad </w:t>
      </w:r>
    </w:p>
    <w:p w14:paraId="3F84D7DF" w14:textId="77777777" w:rsidR="006E781D" w:rsidRPr="005738BE" w:rsidRDefault="006E781D" w:rsidP="00DC1B1F">
      <w:pPr>
        <w:ind w:left="360"/>
        <w:rPr>
          <w:rFonts w:eastAsia="Calibri" w:cs="Arial"/>
          <w:sz w:val="22"/>
          <w:szCs w:val="22"/>
          <w:lang w:val="es-ES_tradnl" w:eastAsia="en-US"/>
        </w:rPr>
      </w:pPr>
    </w:p>
    <w:p w14:paraId="6443CCEB" w14:textId="77777777" w:rsidR="00FC72D6" w:rsidRDefault="00FC72D6" w:rsidP="003C0A02">
      <w:pPr>
        <w:rPr>
          <w:rFonts w:eastAsia="Calibri" w:cs="Arial"/>
          <w:sz w:val="22"/>
          <w:szCs w:val="22"/>
          <w:lang w:val="es-ES_tradnl" w:eastAsia="en-US"/>
        </w:rPr>
      </w:pPr>
    </w:p>
    <w:p w14:paraId="665A5D9A" w14:textId="693D005D" w:rsidR="006E781D" w:rsidRPr="00D902B7" w:rsidRDefault="006E781D" w:rsidP="003C0A02">
      <w:pPr>
        <w:rPr>
          <w:rFonts w:cs="Arial"/>
          <w:noProof/>
          <w:sz w:val="22"/>
          <w:szCs w:val="22"/>
          <w:lang w:val="es-CO" w:eastAsia="es-CO"/>
        </w:rPr>
      </w:pPr>
      <w:r w:rsidRPr="00EC1202">
        <w:rPr>
          <w:rFonts w:eastAsia="Calibri" w:cs="Arial"/>
          <w:sz w:val="22"/>
          <w:szCs w:val="22"/>
          <w:lang w:val="es-ES_tradnl" w:eastAsia="en-US"/>
        </w:rPr>
        <w:lastRenderedPageBreak/>
        <w:t xml:space="preserve">A cambio de que dicho servidor </w:t>
      </w:r>
      <w:r w:rsidRPr="00D902B7">
        <w:rPr>
          <w:rFonts w:eastAsia="Calibri" w:cs="Arial"/>
          <w:sz w:val="22"/>
          <w:szCs w:val="22"/>
          <w:lang w:val="es-ES_tradnl" w:eastAsia="en-US"/>
        </w:rPr>
        <w:t>público realice, omita o retarde cualquier acto relacionado con sus funciones y en relación con un negocio o transacción internacional</w:t>
      </w:r>
      <w:r w:rsidR="000B2102" w:rsidRPr="00D902B7">
        <w:rPr>
          <w:rFonts w:cs="Arial"/>
          <w:noProof/>
          <w:sz w:val="22"/>
          <w:szCs w:val="22"/>
          <w:lang w:val="es-CO" w:eastAsia="es-CO"/>
        </w:rPr>
        <w:t>, tal como se ilustra a continuación:</w:t>
      </w:r>
    </w:p>
    <w:p w14:paraId="33C5C3BF" w14:textId="77777777" w:rsidR="00F839B0" w:rsidRPr="00D902B7" w:rsidRDefault="00F839B0" w:rsidP="003C0A02">
      <w:pPr>
        <w:rPr>
          <w:rFonts w:cs="Arial"/>
          <w:noProof/>
          <w:sz w:val="22"/>
          <w:szCs w:val="22"/>
          <w:lang w:val="es-CO" w:eastAsia="es-CO"/>
        </w:rPr>
      </w:pPr>
    </w:p>
    <w:p w14:paraId="44F35851" w14:textId="77777777" w:rsidR="00F839B0" w:rsidRPr="002916F4" w:rsidRDefault="00F839B0" w:rsidP="003C0A02">
      <w:pPr>
        <w:rPr>
          <w:rFonts w:cs="Arial"/>
          <w:noProof/>
          <w:sz w:val="22"/>
          <w:szCs w:val="22"/>
          <w:lang w:val="es-CO" w:eastAsia="es-CO"/>
        </w:rPr>
      </w:pPr>
    </w:p>
    <w:p w14:paraId="469004C6" w14:textId="0BE676FD" w:rsidR="0085367E" w:rsidRPr="005738BE" w:rsidRDefault="00FC72D6" w:rsidP="004B37D2">
      <w:pPr>
        <w:jc w:val="center"/>
        <w:rPr>
          <w:rFonts w:cs="Arial"/>
          <w:noProof/>
          <w:sz w:val="22"/>
          <w:szCs w:val="22"/>
          <w:lang w:val="es-CO" w:eastAsia="es-CO"/>
        </w:rPr>
      </w:pPr>
      <w:r w:rsidRPr="00FC72D6">
        <w:rPr>
          <w:rFonts w:cs="Arial"/>
          <w:noProof/>
          <w:sz w:val="22"/>
          <w:szCs w:val="22"/>
          <w:lang w:val="es-CO" w:eastAsia="es-CO"/>
        </w:rPr>
        <w:drawing>
          <wp:inline distT="0" distB="0" distL="0" distR="0" wp14:anchorId="1BF1C65E" wp14:editId="03BA6790">
            <wp:extent cx="5612130" cy="21545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2154555"/>
                    </a:xfrm>
                    <a:prstGeom prst="rect">
                      <a:avLst/>
                    </a:prstGeom>
                    <a:noFill/>
                    <a:ln>
                      <a:noFill/>
                    </a:ln>
                  </pic:spPr>
                </pic:pic>
              </a:graphicData>
            </a:graphic>
          </wp:inline>
        </w:drawing>
      </w:r>
    </w:p>
    <w:p w14:paraId="70D9A933" w14:textId="77777777" w:rsidR="00FC72D6" w:rsidRDefault="00FC72D6" w:rsidP="00F839B0">
      <w:pPr>
        <w:spacing w:after="200" w:line="276" w:lineRule="auto"/>
        <w:jc w:val="left"/>
        <w:rPr>
          <w:rFonts w:cs="Arial"/>
          <w:sz w:val="22"/>
          <w:szCs w:val="22"/>
        </w:rPr>
      </w:pPr>
      <w:bookmarkStart w:id="10" w:name="_Toc511124555"/>
    </w:p>
    <w:p w14:paraId="1E14089B" w14:textId="67F5B5DF" w:rsidR="00E121E1" w:rsidRPr="005738BE" w:rsidRDefault="00093DA0" w:rsidP="00F839B0">
      <w:pPr>
        <w:spacing w:after="200" w:line="276" w:lineRule="auto"/>
        <w:jc w:val="left"/>
        <w:rPr>
          <w:rFonts w:cs="Arial"/>
          <w:b/>
          <w:sz w:val="22"/>
          <w:szCs w:val="22"/>
        </w:rPr>
      </w:pPr>
      <w:r w:rsidRPr="005738BE">
        <w:rPr>
          <w:rFonts w:cs="Arial"/>
          <w:b/>
          <w:sz w:val="22"/>
          <w:szCs w:val="22"/>
        </w:rPr>
        <w:t>4</w:t>
      </w:r>
      <w:r w:rsidR="00CB10D6" w:rsidRPr="005738BE">
        <w:rPr>
          <w:rFonts w:cs="Arial"/>
          <w:b/>
          <w:sz w:val="22"/>
          <w:szCs w:val="22"/>
        </w:rPr>
        <w:t xml:space="preserve">.2 </w:t>
      </w:r>
      <w:r w:rsidR="00E121E1" w:rsidRPr="005738BE">
        <w:rPr>
          <w:rFonts w:cs="Arial"/>
          <w:b/>
          <w:sz w:val="22"/>
          <w:szCs w:val="22"/>
        </w:rPr>
        <w:t xml:space="preserve">¿A quiénes </w:t>
      </w:r>
      <w:r w:rsidR="000B2102" w:rsidRPr="005738BE">
        <w:rPr>
          <w:rFonts w:cs="Arial"/>
          <w:b/>
          <w:sz w:val="22"/>
          <w:szCs w:val="22"/>
        </w:rPr>
        <w:t xml:space="preserve">se dirigen </w:t>
      </w:r>
      <w:r w:rsidR="00E121E1" w:rsidRPr="005738BE">
        <w:rPr>
          <w:rFonts w:cs="Arial"/>
          <w:b/>
          <w:sz w:val="22"/>
          <w:szCs w:val="22"/>
        </w:rPr>
        <w:t xml:space="preserve">las normas de soborno </w:t>
      </w:r>
      <w:r w:rsidR="00413412" w:rsidRPr="005738BE">
        <w:rPr>
          <w:rFonts w:cs="Arial"/>
          <w:b/>
          <w:sz w:val="22"/>
          <w:szCs w:val="22"/>
        </w:rPr>
        <w:t>transnacional</w:t>
      </w:r>
      <w:r w:rsidR="00E121E1" w:rsidRPr="005738BE">
        <w:rPr>
          <w:rFonts w:cs="Arial"/>
          <w:b/>
          <w:sz w:val="22"/>
          <w:szCs w:val="22"/>
        </w:rPr>
        <w:t>?</w:t>
      </w:r>
      <w:bookmarkEnd w:id="10"/>
    </w:p>
    <w:p w14:paraId="019AF2A3" w14:textId="140C2EA0" w:rsidR="00E121E1" w:rsidRPr="005738BE" w:rsidRDefault="0085367E" w:rsidP="00E121E1">
      <w:pPr>
        <w:rPr>
          <w:rFonts w:cs="Arial"/>
          <w:bCs/>
          <w:sz w:val="22"/>
          <w:szCs w:val="22"/>
        </w:rPr>
      </w:pPr>
      <w:r w:rsidRPr="005738BE">
        <w:rPr>
          <w:rFonts w:cs="Arial"/>
          <w:bCs/>
          <w:sz w:val="22"/>
          <w:szCs w:val="22"/>
        </w:rPr>
        <w:t xml:space="preserve">La </w:t>
      </w:r>
      <w:r w:rsidR="000972A2" w:rsidRPr="005738BE">
        <w:rPr>
          <w:rFonts w:cs="Arial"/>
          <w:bCs/>
          <w:sz w:val="22"/>
          <w:szCs w:val="22"/>
        </w:rPr>
        <w:t xml:space="preserve">Ley 1778 de 2016 fue expedida como un mecanismo </w:t>
      </w:r>
      <w:r w:rsidR="00E121E1" w:rsidRPr="005738BE">
        <w:rPr>
          <w:rFonts w:cs="Arial"/>
          <w:bCs/>
          <w:sz w:val="22"/>
          <w:szCs w:val="22"/>
        </w:rPr>
        <w:t xml:space="preserve">para combatir las conductas de soborno </w:t>
      </w:r>
      <w:r w:rsidR="00413412" w:rsidRPr="005738BE">
        <w:rPr>
          <w:rFonts w:cs="Arial"/>
          <w:bCs/>
          <w:sz w:val="22"/>
          <w:szCs w:val="22"/>
        </w:rPr>
        <w:t>transnacional</w:t>
      </w:r>
      <w:r w:rsidR="00E121E1" w:rsidRPr="005738BE">
        <w:rPr>
          <w:rFonts w:cs="Arial"/>
          <w:bCs/>
          <w:sz w:val="22"/>
          <w:szCs w:val="22"/>
        </w:rPr>
        <w:t xml:space="preserve">. </w:t>
      </w:r>
      <w:r w:rsidR="000B2102" w:rsidRPr="005738BE">
        <w:rPr>
          <w:rFonts w:cs="Arial"/>
          <w:bCs/>
          <w:sz w:val="22"/>
          <w:szCs w:val="22"/>
        </w:rPr>
        <w:t>Tiene como finalidad</w:t>
      </w:r>
      <w:r w:rsidR="000972A2" w:rsidRPr="005738BE">
        <w:rPr>
          <w:rFonts w:cs="Arial"/>
          <w:bCs/>
          <w:sz w:val="22"/>
          <w:szCs w:val="22"/>
        </w:rPr>
        <w:t xml:space="preserve"> </w:t>
      </w:r>
      <w:r w:rsidR="000B2102" w:rsidRPr="005738BE">
        <w:rPr>
          <w:rFonts w:cs="Arial"/>
          <w:bCs/>
          <w:sz w:val="22"/>
          <w:szCs w:val="22"/>
        </w:rPr>
        <w:t xml:space="preserve">definir los actos de </w:t>
      </w:r>
      <w:r w:rsidR="000972A2" w:rsidRPr="005738BE">
        <w:rPr>
          <w:rFonts w:cs="Arial"/>
          <w:bCs/>
          <w:sz w:val="22"/>
          <w:szCs w:val="22"/>
        </w:rPr>
        <w:t>soborno internacional y establece</w:t>
      </w:r>
      <w:r w:rsidR="000B2102" w:rsidRPr="005738BE">
        <w:rPr>
          <w:rFonts w:cs="Arial"/>
          <w:bCs/>
          <w:sz w:val="22"/>
          <w:szCs w:val="22"/>
        </w:rPr>
        <w:t>r</w:t>
      </w:r>
      <w:r w:rsidR="000972A2" w:rsidRPr="005738BE">
        <w:rPr>
          <w:rFonts w:cs="Arial"/>
          <w:bCs/>
          <w:sz w:val="22"/>
          <w:szCs w:val="22"/>
        </w:rPr>
        <w:t xml:space="preserve"> </w:t>
      </w:r>
      <w:r w:rsidR="000B2102" w:rsidRPr="005738BE">
        <w:rPr>
          <w:rFonts w:cs="Arial"/>
          <w:bCs/>
          <w:sz w:val="22"/>
          <w:szCs w:val="22"/>
        </w:rPr>
        <w:t xml:space="preserve">la </w:t>
      </w:r>
      <w:r w:rsidR="000972A2" w:rsidRPr="005738BE">
        <w:rPr>
          <w:rFonts w:cs="Arial"/>
          <w:bCs/>
          <w:sz w:val="22"/>
          <w:szCs w:val="22"/>
        </w:rPr>
        <w:t xml:space="preserve">responsabilidad para </w:t>
      </w:r>
      <w:r w:rsidR="000B2102" w:rsidRPr="005738BE">
        <w:rPr>
          <w:rFonts w:cs="Arial"/>
          <w:bCs/>
          <w:sz w:val="22"/>
          <w:szCs w:val="22"/>
        </w:rPr>
        <w:t xml:space="preserve">quienes se encuentren involucradas en ellas. </w:t>
      </w:r>
    </w:p>
    <w:p w14:paraId="305AFFE7" w14:textId="77777777" w:rsidR="00E121E1" w:rsidRPr="005738BE" w:rsidRDefault="00E121E1" w:rsidP="000972A2">
      <w:pPr>
        <w:rPr>
          <w:rFonts w:cs="Arial"/>
          <w:sz w:val="22"/>
          <w:szCs w:val="22"/>
        </w:rPr>
      </w:pPr>
    </w:p>
    <w:p w14:paraId="2E180C99" w14:textId="0627FAFD" w:rsidR="00F83552" w:rsidRPr="005738BE" w:rsidRDefault="000B2102">
      <w:pPr>
        <w:rPr>
          <w:rFonts w:cs="Arial"/>
          <w:sz w:val="22"/>
          <w:szCs w:val="22"/>
        </w:rPr>
      </w:pPr>
      <w:r w:rsidRPr="005738BE">
        <w:rPr>
          <w:rFonts w:cs="Arial"/>
          <w:bCs/>
          <w:sz w:val="22"/>
          <w:szCs w:val="22"/>
        </w:rPr>
        <w:t>De esta manera</w:t>
      </w:r>
      <w:r w:rsidR="00E121E1" w:rsidRPr="005738BE">
        <w:rPr>
          <w:rFonts w:cs="Arial"/>
          <w:bCs/>
          <w:sz w:val="22"/>
          <w:szCs w:val="22"/>
        </w:rPr>
        <w:t xml:space="preserve">, </w:t>
      </w:r>
      <w:r w:rsidRPr="005738BE">
        <w:rPr>
          <w:rFonts w:cs="Arial"/>
          <w:bCs/>
          <w:sz w:val="22"/>
          <w:szCs w:val="22"/>
        </w:rPr>
        <w:t xml:space="preserve">la </w:t>
      </w:r>
      <w:r w:rsidR="00E121E1" w:rsidRPr="005738BE">
        <w:rPr>
          <w:rFonts w:cs="Arial"/>
          <w:bCs/>
          <w:sz w:val="22"/>
          <w:szCs w:val="22"/>
        </w:rPr>
        <w:t>ley</w:t>
      </w:r>
      <w:r w:rsidRPr="005738BE">
        <w:rPr>
          <w:rFonts w:cs="Arial"/>
          <w:bCs/>
          <w:sz w:val="22"/>
          <w:szCs w:val="22"/>
        </w:rPr>
        <w:t xml:space="preserve"> circunscribe el ámbito de aplicación a</w:t>
      </w:r>
      <w:r w:rsidRPr="005738BE">
        <w:rPr>
          <w:rFonts w:cs="Arial"/>
          <w:sz w:val="22"/>
          <w:szCs w:val="22"/>
        </w:rPr>
        <w:t xml:space="preserve"> las personas jurídica</w:t>
      </w:r>
      <w:r w:rsidR="00A900C5" w:rsidRPr="005738BE">
        <w:rPr>
          <w:rFonts w:cs="Arial"/>
          <w:sz w:val="22"/>
          <w:szCs w:val="22"/>
        </w:rPr>
        <w:t>s</w:t>
      </w:r>
      <w:r w:rsidRPr="005738BE">
        <w:rPr>
          <w:rFonts w:cs="Arial"/>
          <w:sz w:val="22"/>
          <w:szCs w:val="22"/>
        </w:rPr>
        <w:t xml:space="preserve"> y a las sucursales de sociedad</w:t>
      </w:r>
      <w:r w:rsidR="00BC22B2" w:rsidRPr="005738BE">
        <w:rPr>
          <w:rFonts w:cs="Arial"/>
          <w:sz w:val="22"/>
          <w:szCs w:val="22"/>
        </w:rPr>
        <w:t>es</w:t>
      </w:r>
      <w:r w:rsidRPr="005738BE">
        <w:rPr>
          <w:rFonts w:cs="Arial"/>
          <w:sz w:val="22"/>
          <w:szCs w:val="22"/>
        </w:rPr>
        <w:t xml:space="preserve"> extranjera</w:t>
      </w:r>
      <w:r w:rsidR="00BC22B2" w:rsidRPr="005738BE">
        <w:rPr>
          <w:rFonts w:cs="Arial"/>
          <w:sz w:val="22"/>
          <w:szCs w:val="22"/>
        </w:rPr>
        <w:t>s</w:t>
      </w:r>
      <w:r w:rsidRPr="005738BE">
        <w:rPr>
          <w:rFonts w:cs="Arial"/>
          <w:sz w:val="22"/>
          <w:szCs w:val="22"/>
        </w:rPr>
        <w:t xml:space="preserve"> siempre que estén ubicadas en Colombia. Lo anterior, con independencia de que estén o no sometidas a la vigilancia de la Superintendencia de Sociedades</w:t>
      </w:r>
      <w:r w:rsidR="00FC72D6">
        <w:rPr>
          <w:rFonts w:cs="Arial"/>
          <w:sz w:val="22"/>
          <w:szCs w:val="22"/>
        </w:rPr>
        <w:t>, lo que implica que la Entidad puede investigar y sancionar a cualquier persona jurídica o sucursal de sociedad extranjera que se encuentre domiciliada en territorio colombiano</w:t>
      </w:r>
      <w:r w:rsidRPr="005738BE">
        <w:rPr>
          <w:rFonts w:cs="Arial"/>
          <w:sz w:val="22"/>
          <w:szCs w:val="22"/>
        </w:rPr>
        <w:t>.</w:t>
      </w:r>
      <w:r w:rsidRPr="005738BE">
        <w:rPr>
          <w:rFonts w:cs="Arial"/>
          <w:bCs/>
          <w:sz w:val="22"/>
          <w:szCs w:val="22"/>
        </w:rPr>
        <w:t xml:space="preserve"> </w:t>
      </w:r>
      <w:r w:rsidR="00F83552" w:rsidRPr="005738BE">
        <w:rPr>
          <w:rFonts w:cs="Arial"/>
          <w:sz w:val="22"/>
          <w:szCs w:val="22"/>
        </w:rPr>
        <w:t>En consecuencia, las personas naturales no se encuentran cobijadas por esta ley</w:t>
      </w:r>
      <w:r w:rsidR="00FC72D6">
        <w:rPr>
          <w:rFonts w:cs="Arial"/>
          <w:sz w:val="22"/>
          <w:szCs w:val="22"/>
        </w:rPr>
        <w:t xml:space="preserve">, sino por la normatividad penal establecida para tal efecto y que se encuentra </w:t>
      </w:r>
      <w:r w:rsidR="007F19E3">
        <w:rPr>
          <w:rFonts w:cs="Arial"/>
          <w:sz w:val="22"/>
          <w:szCs w:val="22"/>
        </w:rPr>
        <w:t>consagrado</w:t>
      </w:r>
      <w:r w:rsidR="00FC72D6">
        <w:rPr>
          <w:rFonts w:cs="Arial"/>
          <w:sz w:val="22"/>
          <w:szCs w:val="22"/>
        </w:rPr>
        <w:t xml:space="preserve"> en el artículo 433 del Código Penal.</w:t>
      </w:r>
    </w:p>
    <w:p w14:paraId="6BA81A17" w14:textId="77777777" w:rsidR="00E121E1" w:rsidRPr="005738BE" w:rsidRDefault="00E121E1">
      <w:pPr>
        <w:rPr>
          <w:rFonts w:cs="Arial"/>
          <w:sz w:val="22"/>
          <w:szCs w:val="22"/>
        </w:rPr>
      </w:pPr>
    </w:p>
    <w:p w14:paraId="2AFDD802" w14:textId="32656001" w:rsidR="00E121E1" w:rsidRPr="005738BE" w:rsidRDefault="007F19E3" w:rsidP="00E121E1">
      <w:pPr>
        <w:rPr>
          <w:rFonts w:cs="Arial"/>
          <w:b/>
          <w:bCs/>
          <w:sz w:val="22"/>
          <w:szCs w:val="22"/>
        </w:rPr>
      </w:pPr>
      <w:r>
        <w:rPr>
          <w:rFonts w:cs="Arial"/>
          <w:bCs/>
          <w:sz w:val="22"/>
          <w:szCs w:val="22"/>
        </w:rPr>
        <w:t>De acuerdo con esto</w:t>
      </w:r>
      <w:r w:rsidR="00E121E1" w:rsidRPr="005738BE">
        <w:rPr>
          <w:rFonts w:cs="Arial"/>
          <w:bCs/>
          <w:sz w:val="22"/>
          <w:szCs w:val="22"/>
        </w:rPr>
        <w:t>, la Superintendencia de Sociedades podrá investigar a una entidad financiera</w:t>
      </w:r>
      <w:r w:rsidR="00E121E1" w:rsidRPr="005738BE">
        <w:rPr>
          <w:rFonts w:cs="Arial"/>
          <w:sz w:val="22"/>
          <w:szCs w:val="22"/>
        </w:rPr>
        <w:t xml:space="preserve">, </w:t>
      </w:r>
      <w:r w:rsidR="00E121E1" w:rsidRPr="005738BE">
        <w:rPr>
          <w:rFonts w:cs="Arial"/>
          <w:bCs/>
          <w:sz w:val="22"/>
          <w:szCs w:val="22"/>
        </w:rPr>
        <w:t xml:space="preserve">a </w:t>
      </w:r>
      <w:r w:rsidR="00E121E1" w:rsidRPr="005738BE">
        <w:rPr>
          <w:rFonts w:cs="Arial"/>
          <w:sz w:val="22"/>
          <w:szCs w:val="22"/>
        </w:rPr>
        <w:t xml:space="preserve">una sociedad </w:t>
      </w:r>
      <w:r w:rsidR="00F83552" w:rsidRPr="005738BE">
        <w:rPr>
          <w:rFonts w:cs="Arial"/>
          <w:sz w:val="22"/>
          <w:szCs w:val="22"/>
        </w:rPr>
        <w:t>cotizada</w:t>
      </w:r>
      <w:r w:rsidR="000B2102" w:rsidRPr="005738BE">
        <w:rPr>
          <w:rFonts w:cs="Arial"/>
          <w:sz w:val="22"/>
          <w:szCs w:val="22"/>
        </w:rPr>
        <w:t xml:space="preserve"> </w:t>
      </w:r>
      <w:r w:rsidR="00E121E1" w:rsidRPr="005738BE">
        <w:rPr>
          <w:rFonts w:cs="Arial"/>
          <w:sz w:val="22"/>
          <w:szCs w:val="22"/>
        </w:rPr>
        <w:t xml:space="preserve">en la Bolsa de Valores de Colombia, </w:t>
      </w:r>
      <w:r w:rsidR="00E121E1" w:rsidRPr="005738BE">
        <w:rPr>
          <w:rFonts w:cs="Arial"/>
          <w:bCs/>
          <w:sz w:val="22"/>
          <w:szCs w:val="22"/>
        </w:rPr>
        <w:t xml:space="preserve">a </w:t>
      </w:r>
      <w:r w:rsidR="00E121E1" w:rsidRPr="005738BE">
        <w:rPr>
          <w:rFonts w:cs="Arial"/>
          <w:sz w:val="22"/>
          <w:szCs w:val="22"/>
        </w:rPr>
        <w:t xml:space="preserve">una </w:t>
      </w:r>
      <w:r w:rsidR="000B2102" w:rsidRPr="005738BE">
        <w:rPr>
          <w:rFonts w:cs="Arial"/>
          <w:sz w:val="22"/>
          <w:szCs w:val="22"/>
        </w:rPr>
        <w:t xml:space="preserve">empresa de servicios públicos domiciliarios </w:t>
      </w:r>
      <w:r w:rsidR="00E121E1" w:rsidRPr="005738BE">
        <w:rPr>
          <w:rFonts w:cs="Arial"/>
          <w:sz w:val="22"/>
          <w:szCs w:val="22"/>
        </w:rPr>
        <w:t>o</w:t>
      </w:r>
      <w:r w:rsidR="00F83552" w:rsidRPr="005738BE">
        <w:rPr>
          <w:rFonts w:cs="Arial"/>
          <w:sz w:val="22"/>
          <w:szCs w:val="22"/>
        </w:rPr>
        <w:t xml:space="preserve">, </w:t>
      </w:r>
      <w:r w:rsidR="00E121E1" w:rsidRPr="005738BE">
        <w:rPr>
          <w:rFonts w:cs="Arial"/>
          <w:sz w:val="22"/>
          <w:szCs w:val="22"/>
        </w:rPr>
        <w:t>incluso</w:t>
      </w:r>
      <w:r w:rsidR="00F83552" w:rsidRPr="005738BE">
        <w:rPr>
          <w:rFonts w:cs="Arial"/>
          <w:sz w:val="22"/>
          <w:szCs w:val="22"/>
        </w:rPr>
        <w:t>,</w:t>
      </w:r>
      <w:r w:rsidR="00E121E1" w:rsidRPr="005738BE">
        <w:rPr>
          <w:rFonts w:cs="Arial"/>
          <w:sz w:val="22"/>
          <w:szCs w:val="22"/>
        </w:rPr>
        <w:t xml:space="preserve"> </w:t>
      </w:r>
      <w:r w:rsidR="00BC22B2" w:rsidRPr="005738BE">
        <w:rPr>
          <w:rFonts w:cs="Arial"/>
          <w:sz w:val="22"/>
          <w:szCs w:val="22"/>
        </w:rPr>
        <w:t xml:space="preserve">a </w:t>
      </w:r>
      <w:r w:rsidR="00E121E1" w:rsidRPr="005738BE">
        <w:rPr>
          <w:rFonts w:cs="Arial"/>
          <w:sz w:val="22"/>
          <w:szCs w:val="22"/>
        </w:rPr>
        <w:t>una entidad sin ánimo de lucro</w:t>
      </w:r>
      <w:r w:rsidR="00F83552" w:rsidRPr="005738BE">
        <w:rPr>
          <w:rFonts w:cs="Arial"/>
          <w:sz w:val="22"/>
          <w:szCs w:val="22"/>
        </w:rPr>
        <w:t xml:space="preserve">. </w:t>
      </w:r>
    </w:p>
    <w:p w14:paraId="67549952" w14:textId="77777777" w:rsidR="0092004E" w:rsidRPr="005738BE" w:rsidRDefault="0092004E" w:rsidP="0092004E">
      <w:pPr>
        <w:rPr>
          <w:rFonts w:cs="Arial"/>
          <w:sz w:val="22"/>
          <w:szCs w:val="22"/>
        </w:rPr>
      </w:pPr>
    </w:p>
    <w:p w14:paraId="338ABB67" w14:textId="02481396" w:rsidR="00F83552" w:rsidRPr="005738BE" w:rsidRDefault="0092004E" w:rsidP="0092004E">
      <w:pPr>
        <w:rPr>
          <w:rFonts w:cs="Arial"/>
          <w:sz w:val="22"/>
          <w:szCs w:val="22"/>
        </w:rPr>
      </w:pPr>
      <w:r w:rsidRPr="005738BE">
        <w:rPr>
          <w:rFonts w:cs="Arial"/>
          <w:sz w:val="22"/>
          <w:szCs w:val="22"/>
        </w:rPr>
        <w:t>Se debe tener presente</w:t>
      </w:r>
      <w:r w:rsidR="00F83552" w:rsidRPr="005738BE">
        <w:rPr>
          <w:rFonts w:cs="Arial"/>
          <w:sz w:val="22"/>
          <w:szCs w:val="22"/>
        </w:rPr>
        <w:t xml:space="preserve"> que, el </w:t>
      </w:r>
      <w:r w:rsidR="00413412" w:rsidRPr="005738BE">
        <w:rPr>
          <w:rFonts w:cs="Arial"/>
          <w:sz w:val="22"/>
          <w:szCs w:val="22"/>
        </w:rPr>
        <w:t>soborno transnacional</w:t>
      </w:r>
      <w:r w:rsidR="00F83552" w:rsidRPr="005738BE">
        <w:rPr>
          <w:rFonts w:cs="Arial"/>
          <w:sz w:val="22"/>
          <w:szCs w:val="22"/>
        </w:rPr>
        <w:t xml:space="preserve"> implica que haya un ofrecimiento, promesa o pago de dinero o beneficios de cualquier tipo a un funcionario público </w:t>
      </w:r>
      <w:r w:rsidR="00BC22B2" w:rsidRPr="005738BE">
        <w:rPr>
          <w:rFonts w:cs="Arial"/>
          <w:sz w:val="22"/>
          <w:szCs w:val="22"/>
        </w:rPr>
        <w:t>extranjero</w:t>
      </w:r>
      <w:r w:rsidR="00F83552" w:rsidRPr="005738BE">
        <w:rPr>
          <w:rFonts w:cs="Arial"/>
          <w:sz w:val="22"/>
          <w:szCs w:val="22"/>
        </w:rPr>
        <w:t xml:space="preserve">. En consecuencia, la Superintendencia de Sociedades es competente para investigar </w:t>
      </w:r>
      <w:r w:rsidR="00F83552" w:rsidRPr="005738BE">
        <w:rPr>
          <w:rFonts w:cs="Arial"/>
          <w:bCs/>
          <w:sz w:val="22"/>
          <w:szCs w:val="22"/>
        </w:rPr>
        <w:t xml:space="preserve">y sancionar las conductas </w:t>
      </w:r>
      <w:r w:rsidR="007F19E3" w:rsidRPr="005738BE">
        <w:rPr>
          <w:rFonts w:cs="Arial"/>
          <w:bCs/>
          <w:sz w:val="22"/>
          <w:szCs w:val="22"/>
        </w:rPr>
        <w:t>referidas</w:t>
      </w:r>
      <w:r w:rsidR="007F19E3">
        <w:rPr>
          <w:rFonts w:cs="Arial"/>
          <w:bCs/>
          <w:sz w:val="22"/>
          <w:szCs w:val="22"/>
        </w:rPr>
        <w:t>, cometidas únicamente en territorio extranjero</w:t>
      </w:r>
      <w:r w:rsidR="00BC22B2" w:rsidRPr="005738BE">
        <w:rPr>
          <w:rFonts w:cs="Arial"/>
          <w:bCs/>
          <w:sz w:val="22"/>
          <w:szCs w:val="22"/>
        </w:rPr>
        <w:t xml:space="preserve"> y no las ocurridas en Colombia</w:t>
      </w:r>
      <w:r w:rsidR="00F83552" w:rsidRPr="005738BE">
        <w:rPr>
          <w:rFonts w:cs="Arial"/>
          <w:bCs/>
          <w:sz w:val="22"/>
          <w:szCs w:val="22"/>
        </w:rPr>
        <w:t>.</w:t>
      </w:r>
    </w:p>
    <w:p w14:paraId="6C44255F" w14:textId="77777777" w:rsidR="0092004E" w:rsidRPr="005738BE" w:rsidRDefault="0092004E" w:rsidP="00E121E1">
      <w:pPr>
        <w:rPr>
          <w:rFonts w:cs="Arial"/>
          <w:bCs/>
          <w:sz w:val="22"/>
          <w:szCs w:val="22"/>
        </w:rPr>
      </w:pPr>
    </w:p>
    <w:p w14:paraId="0D5AAE3E" w14:textId="4230CCA4" w:rsidR="0092004E" w:rsidRPr="005738BE" w:rsidRDefault="0092004E" w:rsidP="00E121E1">
      <w:pPr>
        <w:rPr>
          <w:rFonts w:cs="Arial"/>
          <w:bCs/>
          <w:sz w:val="22"/>
          <w:szCs w:val="22"/>
        </w:rPr>
      </w:pPr>
      <w:r w:rsidRPr="005738BE">
        <w:rPr>
          <w:rFonts w:cs="Arial"/>
          <w:bCs/>
          <w:sz w:val="22"/>
          <w:szCs w:val="22"/>
        </w:rPr>
        <w:lastRenderedPageBreak/>
        <w:t xml:space="preserve">Ahora bien, </w:t>
      </w:r>
      <w:r w:rsidR="00F83552" w:rsidRPr="005738BE">
        <w:rPr>
          <w:rFonts w:cs="Arial"/>
          <w:bCs/>
          <w:sz w:val="22"/>
          <w:szCs w:val="22"/>
        </w:rPr>
        <w:t>en cuanto a los</w:t>
      </w:r>
      <w:r w:rsidR="002D7C05" w:rsidRPr="005738BE">
        <w:rPr>
          <w:rFonts w:cs="Arial"/>
          <w:bCs/>
          <w:sz w:val="22"/>
          <w:szCs w:val="22"/>
        </w:rPr>
        <w:t xml:space="preserve"> actos constitutivos de soborno transnacional,</w:t>
      </w:r>
      <w:r w:rsidR="00F83552" w:rsidRPr="005738BE">
        <w:rPr>
          <w:rFonts w:cs="Arial"/>
          <w:bCs/>
          <w:sz w:val="22"/>
          <w:szCs w:val="22"/>
        </w:rPr>
        <w:t xml:space="preserve"> cometidos por personas naturales, la competencia para su investigación y sanción </w:t>
      </w:r>
      <w:r w:rsidR="001C27F5" w:rsidRPr="005738BE">
        <w:rPr>
          <w:rFonts w:cs="Arial"/>
          <w:bCs/>
          <w:sz w:val="22"/>
          <w:szCs w:val="22"/>
        </w:rPr>
        <w:t xml:space="preserve">le </w:t>
      </w:r>
      <w:r w:rsidR="00F83552" w:rsidRPr="005738BE">
        <w:rPr>
          <w:rFonts w:cs="Arial"/>
          <w:bCs/>
          <w:sz w:val="22"/>
          <w:szCs w:val="22"/>
        </w:rPr>
        <w:t xml:space="preserve">corresponde a </w:t>
      </w:r>
      <w:r w:rsidRPr="005738BE">
        <w:rPr>
          <w:rFonts w:cs="Arial"/>
          <w:bCs/>
          <w:sz w:val="22"/>
          <w:szCs w:val="22"/>
        </w:rPr>
        <w:t xml:space="preserve">la </w:t>
      </w:r>
      <w:proofErr w:type="gramStart"/>
      <w:r w:rsidRPr="005738BE">
        <w:rPr>
          <w:rFonts w:cs="Arial"/>
          <w:bCs/>
          <w:sz w:val="22"/>
          <w:szCs w:val="22"/>
        </w:rPr>
        <w:t>Fiscalía General</w:t>
      </w:r>
      <w:proofErr w:type="gramEnd"/>
      <w:r w:rsidRPr="005738BE">
        <w:rPr>
          <w:rFonts w:cs="Arial"/>
          <w:bCs/>
          <w:sz w:val="22"/>
          <w:szCs w:val="22"/>
        </w:rPr>
        <w:t xml:space="preserve"> de la Nación.</w:t>
      </w:r>
    </w:p>
    <w:p w14:paraId="6ADB3665" w14:textId="00832FEF" w:rsidR="00285D54" w:rsidRDefault="00285D54" w:rsidP="00946F61">
      <w:pPr>
        <w:pStyle w:val="Ttulo"/>
        <w:numPr>
          <w:ilvl w:val="0"/>
          <w:numId w:val="0"/>
        </w:numPr>
        <w:rPr>
          <w:rFonts w:cs="Arial"/>
          <w:b w:val="0"/>
          <w:bCs w:val="0"/>
          <w:sz w:val="22"/>
          <w:szCs w:val="22"/>
        </w:rPr>
      </w:pPr>
    </w:p>
    <w:p w14:paraId="43D29474" w14:textId="4F2CB7E7" w:rsidR="007F19E3" w:rsidRDefault="007F19E3" w:rsidP="00946F61">
      <w:pPr>
        <w:pStyle w:val="Ttulo"/>
        <w:numPr>
          <w:ilvl w:val="0"/>
          <w:numId w:val="0"/>
        </w:numPr>
        <w:rPr>
          <w:rFonts w:cs="Arial"/>
          <w:b w:val="0"/>
          <w:bCs w:val="0"/>
          <w:sz w:val="22"/>
          <w:szCs w:val="22"/>
        </w:rPr>
      </w:pPr>
    </w:p>
    <w:p w14:paraId="1A062307" w14:textId="77777777" w:rsidR="007F19E3" w:rsidRDefault="007F19E3" w:rsidP="006F02F4">
      <w:pPr>
        <w:pStyle w:val="Ttulo2"/>
        <w:numPr>
          <w:ilvl w:val="0"/>
          <w:numId w:val="0"/>
        </w:numPr>
        <w:rPr>
          <w:rFonts w:cs="Arial"/>
          <w:sz w:val="22"/>
          <w:szCs w:val="22"/>
        </w:rPr>
      </w:pPr>
      <w:bookmarkStart w:id="11" w:name="_Toc511124556"/>
    </w:p>
    <w:p w14:paraId="76C2B188" w14:textId="65277DE0" w:rsidR="003E716C" w:rsidRPr="005738BE" w:rsidRDefault="00093DA0" w:rsidP="006F02F4">
      <w:pPr>
        <w:pStyle w:val="Ttulo2"/>
        <w:numPr>
          <w:ilvl w:val="0"/>
          <w:numId w:val="0"/>
        </w:numPr>
        <w:rPr>
          <w:rFonts w:cs="Arial"/>
          <w:sz w:val="22"/>
          <w:szCs w:val="22"/>
        </w:rPr>
      </w:pPr>
      <w:r w:rsidRPr="005738BE">
        <w:rPr>
          <w:rFonts w:cs="Arial"/>
          <w:sz w:val="22"/>
          <w:szCs w:val="22"/>
        </w:rPr>
        <w:t>4</w:t>
      </w:r>
      <w:r w:rsidR="00CB10D6" w:rsidRPr="005738BE">
        <w:rPr>
          <w:rFonts w:cs="Arial"/>
          <w:sz w:val="22"/>
          <w:szCs w:val="22"/>
        </w:rPr>
        <w:t xml:space="preserve">.3 </w:t>
      </w:r>
      <w:r w:rsidR="003E716C" w:rsidRPr="005738BE">
        <w:rPr>
          <w:rFonts w:cs="Arial"/>
          <w:sz w:val="22"/>
          <w:szCs w:val="22"/>
        </w:rPr>
        <w:t xml:space="preserve">¿Cuándo </w:t>
      </w:r>
      <w:r w:rsidR="00387653" w:rsidRPr="005738BE">
        <w:rPr>
          <w:rFonts w:cs="Arial"/>
          <w:sz w:val="22"/>
          <w:szCs w:val="22"/>
        </w:rPr>
        <w:t xml:space="preserve">puede </w:t>
      </w:r>
      <w:r w:rsidR="00A41CD3" w:rsidRPr="005738BE">
        <w:rPr>
          <w:rFonts w:cs="Arial"/>
          <w:sz w:val="22"/>
          <w:szCs w:val="22"/>
        </w:rPr>
        <w:t xml:space="preserve">existir </w:t>
      </w:r>
      <w:r w:rsidR="00387653" w:rsidRPr="005738BE">
        <w:rPr>
          <w:rFonts w:cs="Arial"/>
          <w:sz w:val="22"/>
          <w:szCs w:val="22"/>
        </w:rPr>
        <w:t xml:space="preserve">soborno </w:t>
      </w:r>
      <w:r w:rsidR="002D7C05" w:rsidRPr="005738BE">
        <w:rPr>
          <w:rFonts w:cs="Arial"/>
          <w:sz w:val="22"/>
          <w:szCs w:val="22"/>
        </w:rPr>
        <w:t>transnacional</w:t>
      </w:r>
      <w:r w:rsidR="00A41CD3" w:rsidRPr="005738BE">
        <w:rPr>
          <w:rFonts w:cs="Arial"/>
          <w:sz w:val="22"/>
          <w:szCs w:val="22"/>
        </w:rPr>
        <w:t>?</w:t>
      </w:r>
    </w:p>
    <w:p w14:paraId="26219D87" w14:textId="77777777" w:rsidR="00A41CD3" w:rsidRPr="005738BE" w:rsidRDefault="00A41CD3" w:rsidP="00A41CD3">
      <w:pPr>
        <w:rPr>
          <w:rFonts w:eastAsia="Calibri" w:cs="Arial"/>
          <w:sz w:val="22"/>
          <w:szCs w:val="22"/>
        </w:rPr>
      </w:pPr>
    </w:p>
    <w:p w14:paraId="72A505E7" w14:textId="77777777" w:rsidR="000972A2" w:rsidRPr="00EC1202" w:rsidRDefault="003E716C" w:rsidP="000972A2">
      <w:pPr>
        <w:rPr>
          <w:rFonts w:eastAsia="Calibri" w:cs="Arial"/>
          <w:sz w:val="22"/>
          <w:szCs w:val="22"/>
          <w:lang w:val="es-ES_tradnl" w:eastAsia="en-US"/>
        </w:rPr>
      </w:pPr>
      <w:r w:rsidRPr="005738BE">
        <w:rPr>
          <w:rFonts w:eastAsia="Calibri" w:cs="Arial"/>
          <w:sz w:val="22"/>
          <w:szCs w:val="22"/>
          <w:lang w:val="es-ES_tradnl" w:eastAsia="en-US"/>
        </w:rPr>
        <w:t>De acuerdo con la</w:t>
      </w:r>
      <w:r w:rsidR="00387653" w:rsidRPr="005738BE">
        <w:rPr>
          <w:rFonts w:eastAsia="Calibri" w:cs="Arial"/>
          <w:sz w:val="22"/>
          <w:szCs w:val="22"/>
          <w:lang w:val="es-ES_tradnl" w:eastAsia="en-US"/>
        </w:rPr>
        <w:t xml:space="preserve">s investigaciones </w:t>
      </w:r>
      <w:r w:rsidRPr="005738BE">
        <w:rPr>
          <w:rFonts w:eastAsia="Calibri" w:cs="Arial"/>
          <w:sz w:val="22"/>
          <w:szCs w:val="22"/>
          <w:lang w:val="es-ES_tradnl" w:eastAsia="en-US"/>
        </w:rPr>
        <w:t>internacional</w:t>
      </w:r>
      <w:r w:rsidR="00387653" w:rsidRPr="005738BE">
        <w:rPr>
          <w:rFonts w:eastAsia="Calibri" w:cs="Arial"/>
          <w:sz w:val="22"/>
          <w:szCs w:val="22"/>
          <w:lang w:val="es-ES_tradnl" w:eastAsia="en-US"/>
        </w:rPr>
        <w:t xml:space="preserve">es que se adelantan en el contexto de las disposiciones del </w:t>
      </w:r>
      <w:r w:rsidR="00C26B51" w:rsidRPr="005738BE">
        <w:rPr>
          <w:rFonts w:eastAsia="Calibri" w:cs="Arial"/>
          <w:sz w:val="22"/>
          <w:szCs w:val="22"/>
          <w:lang w:val="es-ES_tradnl" w:eastAsia="en-US"/>
        </w:rPr>
        <w:t>“</w:t>
      </w:r>
      <w:proofErr w:type="spellStart"/>
      <w:r w:rsidR="00387653" w:rsidRPr="005738BE">
        <w:rPr>
          <w:rFonts w:eastAsia="Calibri" w:cs="Arial"/>
          <w:sz w:val="22"/>
          <w:szCs w:val="22"/>
          <w:lang w:val="es-ES_tradnl" w:eastAsia="en-US"/>
        </w:rPr>
        <w:t>Foreign</w:t>
      </w:r>
      <w:proofErr w:type="spellEnd"/>
      <w:r w:rsidR="00387653" w:rsidRPr="005738BE">
        <w:rPr>
          <w:rFonts w:eastAsia="Calibri" w:cs="Arial"/>
          <w:sz w:val="22"/>
          <w:szCs w:val="22"/>
          <w:lang w:val="es-ES_tradnl" w:eastAsia="en-US"/>
        </w:rPr>
        <w:t xml:space="preserve"> </w:t>
      </w:r>
      <w:proofErr w:type="spellStart"/>
      <w:r w:rsidR="00387653" w:rsidRPr="005738BE">
        <w:rPr>
          <w:rFonts w:eastAsia="Calibri" w:cs="Arial"/>
          <w:sz w:val="22"/>
          <w:szCs w:val="22"/>
          <w:lang w:val="es-ES_tradnl" w:eastAsia="en-US"/>
        </w:rPr>
        <w:t>Corrupt</w:t>
      </w:r>
      <w:proofErr w:type="spellEnd"/>
      <w:r w:rsidR="00387653" w:rsidRPr="005738BE">
        <w:rPr>
          <w:rFonts w:eastAsia="Calibri" w:cs="Arial"/>
          <w:sz w:val="22"/>
          <w:szCs w:val="22"/>
          <w:lang w:val="es-ES_tradnl" w:eastAsia="en-US"/>
        </w:rPr>
        <w:t xml:space="preserve"> </w:t>
      </w:r>
      <w:proofErr w:type="spellStart"/>
      <w:r w:rsidR="00387653" w:rsidRPr="005738BE">
        <w:rPr>
          <w:rFonts w:eastAsia="Calibri" w:cs="Arial"/>
          <w:sz w:val="22"/>
          <w:szCs w:val="22"/>
          <w:lang w:val="es-ES_tradnl" w:eastAsia="en-US"/>
        </w:rPr>
        <w:t>Practices</w:t>
      </w:r>
      <w:proofErr w:type="spellEnd"/>
      <w:r w:rsidR="00387653" w:rsidRPr="005738BE">
        <w:rPr>
          <w:rFonts w:eastAsia="Calibri" w:cs="Arial"/>
          <w:sz w:val="22"/>
          <w:szCs w:val="22"/>
          <w:lang w:val="es-ES_tradnl" w:eastAsia="en-US"/>
        </w:rPr>
        <w:t xml:space="preserve"> </w:t>
      </w:r>
      <w:proofErr w:type="spellStart"/>
      <w:r w:rsidR="00387653" w:rsidRPr="005738BE">
        <w:rPr>
          <w:rFonts w:eastAsia="Calibri" w:cs="Arial"/>
          <w:sz w:val="22"/>
          <w:szCs w:val="22"/>
          <w:lang w:val="es-ES_tradnl" w:eastAsia="en-US"/>
        </w:rPr>
        <w:t>Act</w:t>
      </w:r>
      <w:proofErr w:type="spellEnd"/>
      <w:r w:rsidR="00387653" w:rsidRPr="005738BE">
        <w:rPr>
          <w:rFonts w:eastAsia="Calibri" w:cs="Arial"/>
          <w:sz w:val="22"/>
          <w:szCs w:val="22"/>
          <w:lang w:val="es-ES_tradnl" w:eastAsia="en-US"/>
        </w:rPr>
        <w:t xml:space="preserve"> – FCPA</w:t>
      </w:r>
      <w:r w:rsidR="00C26B51" w:rsidRPr="005738BE">
        <w:rPr>
          <w:rFonts w:eastAsia="Calibri" w:cs="Arial"/>
          <w:sz w:val="22"/>
          <w:szCs w:val="22"/>
          <w:lang w:val="es-ES_tradnl" w:eastAsia="en-US"/>
        </w:rPr>
        <w:t>”</w:t>
      </w:r>
      <w:r w:rsidRPr="005738BE">
        <w:rPr>
          <w:rFonts w:eastAsia="Calibri" w:cs="Arial"/>
          <w:sz w:val="22"/>
          <w:szCs w:val="22"/>
          <w:vertAlign w:val="superscript"/>
          <w:lang w:val="es-ES_tradnl" w:eastAsia="en-US"/>
        </w:rPr>
        <w:footnoteReference w:id="2"/>
      </w:r>
      <w:r w:rsidRPr="005738BE">
        <w:rPr>
          <w:rFonts w:eastAsia="Calibri" w:cs="Arial"/>
          <w:sz w:val="22"/>
          <w:szCs w:val="22"/>
          <w:lang w:val="es-ES_tradnl" w:eastAsia="en-US"/>
        </w:rPr>
        <w:t xml:space="preserve">, </w:t>
      </w:r>
      <w:r w:rsidR="000972A2" w:rsidRPr="00EC1202">
        <w:rPr>
          <w:rFonts w:cs="Arial"/>
          <w:sz w:val="22"/>
          <w:szCs w:val="22"/>
        </w:rPr>
        <w:t>los sobornos están representados, en su mayoría</w:t>
      </w:r>
      <w:r w:rsidR="00387653" w:rsidRPr="00D902B7">
        <w:rPr>
          <w:rFonts w:cs="Arial"/>
          <w:sz w:val="22"/>
          <w:szCs w:val="22"/>
        </w:rPr>
        <w:t>,</w:t>
      </w:r>
      <w:r w:rsidR="000972A2" w:rsidRPr="00D902B7">
        <w:rPr>
          <w:rFonts w:cs="Arial"/>
          <w:sz w:val="22"/>
          <w:szCs w:val="22"/>
        </w:rPr>
        <w:t xml:space="preserve"> en pagos en dinero, especie y en algunos casos, una combinación de los anteriores. Las siguientes son las modalidades más usuales </w:t>
      </w:r>
      <w:r w:rsidR="00387653" w:rsidRPr="00D902B7">
        <w:rPr>
          <w:rFonts w:cs="Arial"/>
          <w:sz w:val="22"/>
          <w:szCs w:val="22"/>
        </w:rPr>
        <w:t xml:space="preserve">de acuerdo con el </w:t>
      </w:r>
      <w:r w:rsidR="000972A2" w:rsidRPr="005738BE">
        <w:rPr>
          <w:rFonts w:cs="Arial"/>
          <w:sz w:val="22"/>
          <w:szCs w:val="22"/>
        </w:rPr>
        <w:t>Departamento de Justicia de los Estados Unidos</w:t>
      </w:r>
      <w:r w:rsidR="00387653" w:rsidRPr="005738BE">
        <w:rPr>
          <w:rFonts w:eastAsia="Calibri" w:cs="Arial"/>
          <w:sz w:val="22"/>
          <w:szCs w:val="22"/>
          <w:vertAlign w:val="superscript"/>
          <w:lang w:val="es-ES_tradnl" w:eastAsia="en-US"/>
        </w:rPr>
        <w:footnoteReference w:id="3"/>
      </w:r>
      <w:r w:rsidR="000972A2" w:rsidRPr="005738BE">
        <w:rPr>
          <w:rFonts w:cs="Arial"/>
          <w:sz w:val="22"/>
          <w:szCs w:val="22"/>
        </w:rPr>
        <w:t>:</w:t>
      </w:r>
    </w:p>
    <w:p w14:paraId="3FE06228" w14:textId="77777777" w:rsidR="000972A2" w:rsidRPr="00EC1202" w:rsidRDefault="000972A2" w:rsidP="000972A2">
      <w:pPr>
        <w:rPr>
          <w:rFonts w:eastAsia="Calibri" w:cs="Arial"/>
          <w:sz w:val="22"/>
          <w:szCs w:val="22"/>
          <w:lang w:val="es-ES_tradnl" w:eastAsia="en-US"/>
        </w:rPr>
      </w:pPr>
    </w:p>
    <w:p w14:paraId="1E228076" w14:textId="1016818D" w:rsidR="000972A2" w:rsidRPr="005738BE" w:rsidRDefault="000972A2" w:rsidP="000972A2">
      <w:pPr>
        <w:pStyle w:val="Ttulo2"/>
        <w:numPr>
          <w:ilvl w:val="0"/>
          <w:numId w:val="2"/>
        </w:numPr>
        <w:rPr>
          <w:rFonts w:eastAsia="Calibri" w:cs="Arial"/>
          <w:sz w:val="22"/>
          <w:szCs w:val="22"/>
          <w:lang w:val="es-ES_tradnl" w:eastAsia="en-US"/>
        </w:rPr>
      </w:pPr>
      <w:r w:rsidRPr="00D902B7">
        <w:rPr>
          <w:rFonts w:cs="Arial"/>
          <w:b w:val="0"/>
          <w:sz w:val="22"/>
          <w:szCs w:val="22"/>
        </w:rPr>
        <w:t xml:space="preserve">Pagos </w:t>
      </w:r>
      <w:r w:rsidR="00387653" w:rsidRPr="00D902B7">
        <w:rPr>
          <w:rFonts w:cs="Arial"/>
          <w:b w:val="0"/>
          <w:sz w:val="22"/>
          <w:szCs w:val="22"/>
        </w:rPr>
        <w:t>en efectivo</w:t>
      </w:r>
      <w:r w:rsidRPr="00D902B7">
        <w:rPr>
          <w:rFonts w:cs="Arial"/>
          <w:b w:val="0"/>
          <w:sz w:val="22"/>
          <w:szCs w:val="22"/>
        </w:rPr>
        <w:t>:</w:t>
      </w:r>
      <w:r w:rsidRPr="0028490D">
        <w:rPr>
          <w:rFonts w:cs="Arial"/>
          <w:sz w:val="22"/>
          <w:szCs w:val="22"/>
        </w:rPr>
        <w:t xml:space="preserve"> </w:t>
      </w:r>
      <w:r w:rsidR="002D7C05" w:rsidRPr="005738BE">
        <w:rPr>
          <w:rFonts w:cs="Arial"/>
          <w:b w:val="0"/>
          <w:sz w:val="22"/>
          <w:szCs w:val="22"/>
        </w:rPr>
        <w:t>h</w:t>
      </w:r>
      <w:r w:rsidRPr="005738BE">
        <w:rPr>
          <w:rFonts w:cs="Arial"/>
          <w:b w:val="0"/>
          <w:sz w:val="22"/>
          <w:szCs w:val="22"/>
        </w:rPr>
        <w:t xml:space="preserve">ace referencia a la entrega de sumas de dinero a servidores públicos </w:t>
      </w:r>
      <w:proofErr w:type="gramStart"/>
      <w:r w:rsidRPr="005738BE">
        <w:rPr>
          <w:rFonts w:cs="Arial"/>
          <w:b w:val="0"/>
          <w:sz w:val="22"/>
          <w:szCs w:val="22"/>
        </w:rPr>
        <w:t xml:space="preserve">extranjeros </w:t>
      </w:r>
      <w:r w:rsidR="002D7C05" w:rsidRPr="005738BE">
        <w:rPr>
          <w:rFonts w:cs="Arial"/>
          <w:b w:val="0"/>
          <w:sz w:val="22"/>
          <w:szCs w:val="22"/>
        </w:rPr>
        <w:t xml:space="preserve"> dentro</w:t>
      </w:r>
      <w:proofErr w:type="gramEnd"/>
      <w:r w:rsidR="002D7C05" w:rsidRPr="005738BE">
        <w:rPr>
          <w:rFonts w:cs="Arial"/>
          <w:b w:val="0"/>
          <w:sz w:val="22"/>
          <w:szCs w:val="22"/>
        </w:rPr>
        <w:t xml:space="preserve"> del contexto de un negocio o transacción internacional. </w:t>
      </w:r>
    </w:p>
    <w:p w14:paraId="2CA6DFDF" w14:textId="77777777" w:rsidR="000972A2" w:rsidRPr="005738BE" w:rsidRDefault="000972A2" w:rsidP="000972A2">
      <w:pPr>
        <w:pStyle w:val="Ttulo2"/>
        <w:numPr>
          <w:ilvl w:val="0"/>
          <w:numId w:val="0"/>
        </w:numPr>
        <w:ind w:left="720"/>
        <w:rPr>
          <w:rFonts w:eastAsia="Calibri" w:cs="Arial"/>
          <w:sz w:val="22"/>
          <w:szCs w:val="22"/>
          <w:lang w:val="es-ES_tradnl" w:eastAsia="en-US"/>
        </w:rPr>
      </w:pPr>
    </w:p>
    <w:p w14:paraId="18E73FE9" w14:textId="4A74ABC7" w:rsidR="000972A2" w:rsidRPr="005738BE" w:rsidRDefault="000972A2" w:rsidP="000972A2">
      <w:pPr>
        <w:pStyle w:val="Ttulo2"/>
        <w:numPr>
          <w:ilvl w:val="0"/>
          <w:numId w:val="2"/>
        </w:numPr>
        <w:rPr>
          <w:rFonts w:eastAsia="Calibri" w:cs="Arial"/>
          <w:sz w:val="22"/>
          <w:szCs w:val="22"/>
          <w:lang w:val="es-ES_tradnl" w:eastAsia="en-US"/>
        </w:rPr>
      </w:pPr>
      <w:r w:rsidRPr="005738BE">
        <w:rPr>
          <w:rFonts w:cs="Arial"/>
          <w:b w:val="0"/>
          <w:sz w:val="22"/>
          <w:szCs w:val="22"/>
        </w:rPr>
        <w:t>Pagos de gastos de entretenimiento:</w:t>
      </w:r>
      <w:r w:rsidRPr="005738BE">
        <w:rPr>
          <w:rFonts w:cs="Arial"/>
          <w:sz w:val="22"/>
          <w:szCs w:val="22"/>
        </w:rPr>
        <w:t xml:space="preserve"> </w:t>
      </w:r>
      <w:r w:rsidR="002D7C05" w:rsidRPr="005738BE">
        <w:rPr>
          <w:rFonts w:cs="Arial"/>
          <w:b w:val="0"/>
          <w:sz w:val="22"/>
          <w:szCs w:val="22"/>
        </w:rPr>
        <w:t>e</w:t>
      </w:r>
      <w:r w:rsidR="001D5DCE" w:rsidRPr="005738BE">
        <w:rPr>
          <w:rFonts w:cs="Arial"/>
          <w:b w:val="0"/>
          <w:sz w:val="22"/>
          <w:szCs w:val="22"/>
        </w:rPr>
        <w:t xml:space="preserve">rogaciones </w:t>
      </w:r>
      <w:r w:rsidRPr="005738BE">
        <w:rPr>
          <w:rFonts w:cs="Arial"/>
          <w:b w:val="0"/>
          <w:sz w:val="22"/>
          <w:szCs w:val="22"/>
        </w:rPr>
        <w:t xml:space="preserve">que </w:t>
      </w:r>
      <w:r w:rsidR="001D5DCE" w:rsidRPr="005738BE">
        <w:rPr>
          <w:rFonts w:cs="Arial"/>
          <w:b w:val="0"/>
          <w:sz w:val="22"/>
          <w:szCs w:val="22"/>
        </w:rPr>
        <w:t xml:space="preserve">hace </w:t>
      </w:r>
      <w:r w:rsidRPr="005738BE">
        <w:rPr>
          <w:rFonts w:cs="Arial"/>
          <w:b w:val="0"/>
          <w:sz w:val="22"/>
          <w:szCs w:val="22"/>
        </w:rPr>
        <w:t xml:space="preserve">la persona jurídica </w:t>
      </w:r>
      <w:r w:rsidR="00A900C5" w:rsidRPr="005738BE">
        <w:rPr>
          <w:rFonts w:cs="Arial"/>
          <w:b w:val="0"/>
          <w:sz w:val="22"/>
          <w:szCs w:val="22"/>
        </w:rPr>
        <w:t xml:space="preserve">al </w:t>
      </w:r>
      <w:r w:rsidRPr="005738BE">
        <w:rPr>
          <w:rFonts w:cs="Arial"/>
          <w:b w:val="0"/>
          <w:sz w:val="22"/>
          <w:szCs w:val="22"/>
        </w:rPr>
        <w:t xml:space="preserve">servidor público extranjero por concepto de viajes </w:t>
      </w:r>
      <w:r w:rsidR="00A900C5" w:rsidRPr="005738BE">
        <w:rPr>
          <w:rFonts w:cs="Arial"/>
          <w:b w:val="0"/>
          <w:sz w:val="22"/>
          <w:szCs w:val="22"/>
        </w:rPr>
        <w:t>o</w:t>
      </w:r>
      <w:r w:rsidRPr="005738BE">
        <w:rPr>
          <w:rFonts w:cs="Arial"/>
          <w:b w:val="0"/>
          <w:sz w:val="22"/>
          <w:szCs w:val="22"/>
        </w:rPr>
        <w:t xml:space="preserve"> cualquier tipo de entretenimiento, </w:t>
      </w:r>
      <w:r w:rsidR="001D5DCE" w:rsidRPr="005738BE">
        <w:rPr>
          <w:rFonts w:cs="Arial"/>
          <w:b w:val="0"/>
          <w:sz w:val="22"/>
          <w:szCs w:val="22"/>
        </w:rPr>
        <w:t>sin que guarden relación</w:t>
      </w:r>
      <w:r w:rsidRPr="005738BE">
        <w:rPr>
          <w:rFonts w:cs="Arial"/>
          <w:b w:val="0"/>
          <w:sz w:val="22"/>
          <w:szCs w:val="22"/>
        </w:rPr>
        <w:t xml:space="preserve"> directa con los bienes o servicios contratados por el Estado al que pertenece tal </w:t>
      </w:r>
      <w:r w:rsidR="001D5DCE" w:rsidRPr="005738BE">
        <w:rPr>
          <w:rFonts w:cs="Arial"/>
          <w:b w:val="0"/>
          <w:sz w:val="22"/>
          <w:szCs w:val="22"/>
        </w:rPr>
        <w:t>funcionario</w:t>
      </w:r>
      <w:r w:rsidRPr="005738BE">
        <w:rPr>
          <w:rFonts w:cs="Arial"/>
          <w:b w:val="0"/>
          <w:sz w:val="22"/>
          <w:szCs w:val="22"/>
        </w:rPr>
        <w:t>.</w:t>
      </w:r>
    </w:p>
    <w:p w14:paraId="7A8B9593" w14:textId="77777777" w:rsidR="00387653" w:rsidRPr="005738BE" w:rsidRDefault="00387653" w:rsidP="00872764">
      <w:pPr>
        <w:pStyle w:val="Ttulo2"/>
        <w:numPr>
          <w:ilvl w:val="0"/>
          <w:numId w:val="0"/>
        </w:numPr>
        <w:ind w:left="720"/>
        <w:rPr>
          <w:rFonts w:eastAsia="Calibri" w:cs="Arial"/>
          <w:sz w:val="22"/>
          <w:szCs w:val="22"/>
          <w:lang w:val="es-ES_tradnl" w:eastAsia="en-US"/>
        </w:rPr>
      </w:pPr>
    </w:p>
    <w:p w14:paraId="57F610A0" w14:textId="77777777" w:rsidR="000972A2" w:rsidRPr="005738BE" w:rsidRDefault="0070064B" w:rsidP="000972A2">
      <w:pPr>
        <w:pStyle w:val="Ttulo2"/>
        <w:numPr>
          <w:ilvl w:val="0"/>
          <w:numId w:val="2"/>
        </w:numPr>
        <w:rPr>
          <w:rFonts w:eastAsia="Calibri" w:cs="Arial"/>
          <w:sz w:val="22"/>
          <w:szCs w:val="22"/>
          <w:lang w:val="es-ES_tradnl" w:eastAsia="en-US"/>
        </w:rPr>
      </w:pPr>
      <w:r w:rsidRPr="005738BE">
        <w:rPr>
          <w:rFonts w:cs="Arial"/>
          <w:b w:val="0"/>
          <w:sz w:val="22"/>
          <w:szCs w:val="22"/>
          <w:lang w:val="es-ES_tradnl"/>
        </w:rPr>
        <w:t xml:space="preserve">Entrega de </w:t>
      </w:r>
      <w:r w:rsidRPr="005738BE">
        <w:rPr>
          <w:rFonts w:cs="Arial"/>
          <w:b w:val="0"/>
          <w:sz w:val="22"/>
          <w:szCs w:val="22"/>
        </w:rPr>
        <w:t>r</w:t>
      </w:r>
      <w:r w:rsidR="000972A2" w:rsidRPr="005738BE">
        <w:rPr>
          <w:rFonts w:cs="Arial"/>
          <w:b w:val="0"/>
          <w:sz w:val="22"/>
          <w:szCs w:val="22"/>
        </w:rPr>
        <w:t>egalos:</w:t>
      </w:r>
      <w:r w:rsidR="000972A2" w:rsidRPr="005738BE">
        <w:rPr>
          <w:rFonts w:cs="Arial"/>
          <w:sz w:val="22"/>
          <w:szCs w:val="22"/>
        </w:rPr>
        <w:t xml:space="preserve"> </w:t>
      </w:r>
      <w:r w:rsidRPr="005738BE">
        <w:rPr>
          <w:rFonts w:cs="Arial"/>
          <w:b w:val="0"/>
          <w:sz w:val="22"/>
          <w:szCs w:val="22"/>
        </w:rPr>
        <w:t>Comprende</w:t>
      </w:r>
      <w:r w:rsidR="001D5DCE" w:rsidRPr="005738BE">
        <w:rPr>
          <w:rFonts w:cs="Arial"/>
          <w:b w:val="0"/>
          <w:sz w:val="22"/>
          <w:szCs w:val="22"/>
        </w:rPr>
        <w:t xml:space="preserve"> </w:t>
      </w:r>
      <w:r w:rsidR="000972A2" w:rsidRPr="005738BE">
        <w:rPr>
          <w:rFonts w:cs="Arial"/>
          <w:b w:val="0"/>
          <w:sz w:val="22"/>
          <w:szCs w:val="22"/>
        </w:rPr>
        <w:t xml:space="preserve">objetos de valor pecuniario que la persona jurídica </w:t>
      </w:r>
      <w:r w:rsidR="00C26B51" w:rsidRPr="005738BE">
        <w:rPr>
          <w:rFonts w:cs="Arial"/>
          <w:b w:val="0"/>
          <w:sz w:val="22"/>
          <w:szCs w:val="22"/>
        </w:rPr>
        <w:t xml:space="preserve">le promete o entrega </w:t>
      </w:r>
      <w:r w:rsidR="000972A2" w:rsidRPr="005738BE">
        <w:rPr>
          <w:rFonts w:cs="Arial"/>
          <w:b w:val="0"/>
          <w:sz w:val="22"/>
          <w:szCs w:val="22"/>
        </w:rPr>
        <w:t>al servidor público extranjero</w:t>
      </w:r>
      <w:r w:rsidR="00C26B51" w:rsidRPr="005738BE">
        <w:rPr>
          <w:rFonts w:cs="Arial"/>
          <w:b w:val="0"/>
          <w:sz w:val="22"/>
          <w:szCs w:val="22"/>
        </w:rPr>
        <w:t>,</w:t>
      </w:r>
      <w:r w:rsidR="000972A2" w:rsidRPr="005738BE">
        <w:rPr>
          <w:rFonts w:cs="Arial"/>
          <w:b w:val="0"/>
          <w:sz w:val="22"/>
          <w:szCs w:val="22"/>
        </w:rPr>
        <w:t xml:space="preserve"> </w:t>
      </w:r>
      <w:r w:rsidR="001D5DCE" w:rsidRPr="005738BE">
        <w:rPr>
          <w:rFonts w:cs="Arial"/>
          <w:b w:val="0"/>
          <w:sz w:val="22"/>
          <w:szCs w:val="22"/>
        </w:rPr>
        <w:t xml:space="preserve">sin que </w:t>
      </w:r>
      <w:r w:rsidR="00C26B51" w:rsidRPr="005738BE">
        <w:rPr>
          <w:rFonts w:cs="Arial"/>
          <w:b w:val="0"/>
          <w:sz w:val="22"/>
          <w:szCs w:val="22"/>
        </w:rPr>
        <w:t xml:space="preserve">éstos </w:t>
      </w:r>
      <w:r w:rsidR="001D5DCE" w:rsidRPr="005738BE">
        <w:rPr>
          <w:rFonts w:cs="Arial"/>
          <w:b w:val="0"/>
          <w:sz w:val="22"/>
          <w:szCs w:val="22"/>
        </w:rPr>
        <w:t>guarden relación directa con los bienes o servicios contratados por el Estado al que pertenece tal funcionario</w:t>
      </w:r>
      <w:r w:rsidR="000972A2" w:rsidRPr="005738BE">
        <w:rPr>
          <w:rFonts w:cs="Arial"/>
          <w:b w:val="0"/>
          <w:sz w:val="22"/>
          <w:szCs w:val="22"/>
        </w:rPr>
        <w:t>.</w:t>
      </w:r>
    </w:p>
    <w:p w14:paraId="15E8BD71" w14:textId="77777777" w:rsidR="000972A2" w:rsidRPr="005738BE" w:rsidRDefault="000972A2" w:rsidP="000972A2">
      <w:pPr>
        <w:pStyle w:val="Ttulo2"/>
        <w:numPr>
          <w:ilvl w:val="0"/>
          <w:numId w:val="0"/>
        </w:numPr>
        <w:ind w:left="720"/>
        <w:rPr>
          <w:rFonts w:eastAsia="Calibri" w:cs="Arial"/>
          <w:b w:val="0"/>
          <w:sz w:val="22"/>
          <w:szCs w:val="22"/>
          <w:lang w:val="es-ES_tradnl" w:eastAsia="en-US"/>
        </w:rPr>
      </w:pPr>
    </w:p>
    <w:p w14:paraId="1CB8606F" w14:textId="77777777" w:rsidR="003E716C" w:rsidRPr="005738BE" w:rsidRDefault="000972A2" w:rsidP="000972A2">
      <w:pPr>
        <w:pStyle w:val="Ttulo2"/>
        <w:numPr>
          <w:ilvl w:val="0"/>
          <w:numId w:val="2"/>
        </w:numPr>
        <w:rPr>
          <w:rFonts w:eastAsia="Calibri" w:cs="Arial"/>
          <w:b w:val="0"/>
          <w:sz w:val="22"/>
          <w:szCs w:val="22"/>
          <w:lang w:val="es-ES_tradnl" w:eastAsia="en-US"/>
        </w:rPr>
      </w:pPr>
      <w:r w:rsidRPr="005738BE">
        <w:rPr>
          <w:rFonts w:cs="Arial"/>
          <w:b w:val="0"/>
          <w:sz w:val="22"/>
          <w:szCs w:val="22"/>
        </w:rPr>
        <w:t xml:space="preserve">Contribuciones </w:t>
      </w:r>
      <w:r w:rsidR="0070064B" w:rsidRPr="005738BE">
        <w:rPr>
          <w:rFonts w:cs="Arial"/>
          <w:b w:val="0"/>
          <w:sz w:val="22"/>
          <w:szCs w:val="22"/>
        </w:rPr>
        <w:t>p</w:t>
      </w:r>
      <w:r w:rsidRPr="005738BE">
        <w:rPr>
          <w:rFonts w:cs="Arial"/>
          <w:b w:val="0"/>
          <w:sz w:val="22"/>
          <w:szCs w:val="22"/>
        </w:rPr>
        <w:t xml:space="preserve">olíticas: </w:t>
      </w:r>
      <w:r w:rsidR="0070064B" w:rsidRPr="005738BE">
        <w:rPr>
          <w:rFonts w:cs="Arial"/>
          <w:b w:val="0"/>
          <w:sz w:val="22"/>
          <w:szCs w:val="22"/>
        </w:rPr>
        <w:t>Abarca</w:t>
      </w:r>
      <w:r w:rsidRPr="005738BE">
        <w:rPr>
          <w:rFonts w:cs="Arial"/>
          <w:b w:val="0"/>
          <w:sz w:val="22"/>
          <w:szCs w:val="22"/>
        </w:rPr>
        <w:t xml:space="preserve"> los pagos en dinero o en especie que la persona jurídica realiza a campañas políticas en </w:t>
      </w:r>
      <w:r w:rsidR="0070064B" w:rsidRPr="005738BE">
        <w:rPr>
          <w:rFonts w:cs="Arial"/>
          <w:b w:val="0"/>
          <w:sz w:val="22"/>
          <w:szCs w:val="22"/>
        </w:rPr>
        <w:t xml:space="preserve">el </w:t>
      </w:r>
      <w:r w:rsidRPr="005738BE">
        <w:rPr>
          <w:rFonts w:cs="Arial"/>
          <w:b w:val="0"/>
          <w:sz w:val="22"/>
          <w:szCs w:val="22"/>
        </w:rPr>
        <w:t>país extranjero</w:t>
      </w:r>
      <w:r w:rsidR="0070064B" w:rsidRPr="005738BE">
        <w:rPr>
          <w:rFonts w:cs="Arial"/>
          <w:b w:val="0"/>
          <w:sz w:val="22"/>
          <w:szCs w:val="22"/>
        </w:rPr>
        <w:t>,</w:t>
      </w:r>
      <w:r w:rsidRPr="005738BE">
        <w:rPr>
          <w:rFonts w:cs="Arial"/>
          <w:b w:val="0"/>
          <w:sz w:val="22"/>
          <w:szCs w:val="22"/>
        </w:rPr>
        <w:t xml:space="preserve"> </w:t>
      </w:r>
      <w:r w:rsidR="0070064B" w:rsidRPr="005738BE">
        <w:rPr>
          <w:rFonts w:cs="Arial"/>
          <w:b w:val="0"/>
          <w:sz w:val="22"/>
          <w:szCs w:val="22"/>
        </w:rPr>
        <w:t>sin que guarden relación directa con los bienes o servicios contratados por el Estado al que pertenece tal funcionario</w:t>
      </w:r>
      <w:r w:rsidRPr="005738BE">
        <w:rPr>
          <w:rFonts w:cs="Arial"/>
          <w:b w:val="0"/>
          <w:sz w:val="22"/>
          <w:szCs w:val="22"/>
        </w:rPr>
        <w:t>.</w:t>
      </w:r>
    </w:p>
    <w:p w14:paraId="685847A1" w14:textId="77777777" w:rsidR="00E9408B" w:rsidRPr="005738BE" w:rsidRDefault="00E9408B" w:rsidP="00E9408B">
      <w:pPr>
        <w:rPr>
          <w:rFonts w:cs="Arial"/>
          <w:sz w:val="22"/>
          <w:szCs w:val="22"/>
        </w:rPr>
      </w:pPr>
    </w:p>
    <w:p w14:paraId="1DC0EC5E" w14:textId="77777777" w:rsidR="000972A2" w:rsidRPr="005738BE" w:rsidRDefault="00093DA0" w:rsidP="006F02F4">
      <w:pPr>
        <w:pStyle w:val="Ttulo2"/>
        <w:numPr>
          <w:ilvl w:val="0"/>
          <w:numId w:val="0"/>
        </w:numPr>
        <w:rPr>
          <w:rFonts w:cs="Arial"/>
          <w:sz w:val="22"/>
          <w:szCs w:val="22"/>
        </w:rPr>
      </w:pPr>
      <w:r w:rsidRPr="005738BE">
        <w:rPr>
          <w:rFonts w:cs="Arial"/>
          <w:sz w:val="22"/>
          <w:szCs w:val="22"/>
        </w:rPr>
        <w:t>4</w:t>
      </w:r>
      <w:r w:rsidR="00CB10D6" w:rsidRPr="005738BE">
        <w:rPr>
          <w:rFonts w:cs="Arial"/>
          <w:sz w:val="22"/>
          <w:szCs w:val="22"/>
        </w:rPr>
        <w:t xml:space="preserve">.4 </w:t>
      </w:r>
      <w:r w:rsidR="000972A2" w:rsidRPr="005738BE">
        <w:rPr>
          <w:rFonts w:cs="Arial"/>
          <w:sz w:val="22"/>
          <w:szCs w:val="22"/>
        </w:rPr>
        <w:t>Algunas tipologías de soborno internacional</w:t>
      </w:r>
    </w:p>
    <w:p w14:paraId="0D3895D0" w14:textId="77777777" w:rsidR="000972A2" w:rsidRPr="005738BE" w:rsidRDefault="000972A2" w:rsidP="000972A2">
      <w:pPr>
        <w:rPr>
          <w:rFonts w:cs="Arial"/>
          <w:sz w:val="22"/>
          <w:szCs w:val="22"/>
        </w:rPr>
      </w:pPr>
    </w:p>
    <w:p w14:paraId="4ED800DD" w14:textId="77777777" w:rsidR="00CB10D6" w:rsidRPr="005738BE" w:rsidRDefault="000972A2" w:rsidP="000972A2">
      <w:pPr>
        <w:rPr>
          <w:rFonts w:cs="Arial"/>
          <w:sz w:val="22"/>
          <w:szCs w:val="22"/>
        </w:rPr>
      </w:pPr>
      <w:r w:rsidRPr="005738BE">
        <w:rPr>
          <w:rFonts w:cs="Arial"/>
          <w:sz w:val="22"/>
          <w:szCs w:val="22"/>
        </w:rPr>
        <w:t>El Departamento de Justicia de los Estados Unidos</w:t>
      </w:r>
      <w:r w:rsidRPr="005738BE">
        <w:rPr>
          <w:rStyle w:val="Refdenotaalpie"/>
          <w:rFonts w:cs="Arial"/>
          <w:sz w:val="22"/>
          <w:szCs w:val="22"/>
        </w:rPr>
        <w:footnoteReference w:id="4"/>
      </w:r>
      <w:r w:rsidRPr="005738BE">
        <w:rPr>
          <w:rFonts w:cs="Arial"/>
          <w:sz w:val="22"/>
          <w:szCs w:val="22"/>
        </w:rPr>
        <w:t xml:space="preserve"> definió algunas </w:t>
      </w:r>
      <w:r w:rsidR="00540618" w:rsidRPr="00FB10EA">
        <w:rPr>
          <w:rFonts w:cs="Arial"/>
          <w:sz w:val="22"/>
          <w:szCs w:val="22"/>
        </w:rPr>
        <w:t xml:space="preserve">modalidades </w:t>
      </w:r>
      <w:r w:rsidR="00597C3C" w:rsidRPr="00EC1202">
        <w:rPr>
          <w:rFonts w:cs="Arial"/>
          <w:sz w:val="22"/>
          <w:szCs w:val="22"/>
        </w:rPr>
        <w:t>de</w:t>
      </w:r>
      <w:r w:rsidR="00A900C5" w:rsidRPr="00D902B7">
        <w:rPr>
          <w:rFonts w:cs="Arial"/>
          <w:sz w:val="22"/>
          <w:szCs w:val="22"/>
        </w:rPr>
        <w:t xml:space="preserve"> </w:t>
      </w:r>
      <w:r w:rsidRPr="00D902B7">
        <w:rPr>
          <w:rFonts w:cs="Arial"/>
          <w:sz w:val="22"/>
          <w:szCs w:val="22"/>
        </w:rPr>
        <w:t>soborno internacional</w:t>
      </w:r>
      <w:r w:rsidR="00540618" w:rsidRPr="00D902B7">
        <w:rPr>
          <w:rFonts w:cs="Arial"/>
          <w:sz w:val="22"/>
          <w:szCs w:val="22"/>
        </w:rPr>
        <w:t>, dentro las que se destacan las siguientes</w:t>
      </w:r>
      <w:r w:rsidR="00DC5ACF" w:rsidRPr="0028490D">
        <w:rPr>
          <w:rFonts w:cs="Arial"/>
          <w:sz w:val="22"/>
          <w:szCs w:val="22"/>
        </w:rPr>
        <w:t>:</w:t>
      </w:r>
    </w:p>
    <w:p w14:paraId="4FA5EFE2" w14:textId="77777777" w:rsidR="00DC5ACF" w:rsidRPr="005738BE" w:rsidRDefault="00DC5ACF" w:rsidP="000972A2">
      <w:pPr>
        <w:rPr>
          <w:rFonts w:cs="Arial"/>
          <w:sz w:val="22"/>
          <w:szCs w:val="22"/>
        </w:rPr>
      </w:pPr>
    </w:p>
    <w:p w14:paraId="2BF08386" w14:textId="78EEDBEA" w:rsidR="00E9408B" w:rsidRPr="004B37D2" w:rsidRDefault="00093DA0" w:rsidP="006F02F4">
      <w:pPr>
        <w:rPr>
          <w:rFonts w:cs="Arial"/>
          <w:iCs/>
          <w:sz w:val="22"/>
          <w:szCs w:val="22"/>
        </w:rPr>
      </w:pPr>
      <w:r w:rsidRPr="004B37D2">
        <w:rPr>
          <w:rFonts w:cs="Arial"/>
          <w:iCs/>
          <w:sz w:val="22"/>
          <w:szCs w:val="22"/>
        </w:rPr>
        <w:t>4</w:t>
      </w:r>
      <w:r w:rsidR="00CB10D6" w:rsidRPr="004B37D2">
        <w:rPr>
          <w:rFonts w:cs="Arial"/>
          <w:iCs/>
          <w:sz w:val="22"/>
          <w:szCs w:val="22"/>
        </w:rPr>
        <w:t xml:space="preserve">.4.1 </w:t>
      </w:r>
      <w:r w:rsidR="002D7C05" w:rsidRPr="004B37D2">
        <w:rPr>
          <w:rFonts w:cs="Arial"/>
          <w:iCs/>
          <w:sz w:val="22"/>
          <w:szCs w:val="22"/>
        </w:rPr>
        <w:t>T</w:t>
      </w:r>
      <w:r w:rsidR="00DC5ACF" w:rsidRPr="004B37D2">
        <w:rPr>
          <w:rFonts w:cs="Arial"/>
          <w:iCs/>
          <w:sz w:val="22"/>
          <w:szCs w:val="22"/>
        </w:rPr>
        <w:t>ráfico</w:t>
      </w:r>
      <w:r w:rsidR="00E9408B" w:rsidRPr="004B37D2">
        <w:rPr>
          <w:rFonts w:cs="Arial"/>
          <w:iCs/>
          <w:sz w:val="22"/>
          <w:szCs w:val="22"/>
        </w:rPr>
        <w:t xml:space="preserve"> de influencias</w:t>
      </w:r>
    </w:p>
    <w:p w14:paraId="44F27E07" w14:textId="77777777" w:rsidR="00E9408B" w:rsidRPr="005738BE" w:rsidRDefault="00E9408B" w:rsidP="00E9408B">
      <w:pPr>
        <w:rPr>
          <w:rFonts w:cs="Arial"/>
          <w:sz w:val="22"/>
          <w:szCs w:val="22"/>
        </w:rPr>
      </w:pPr>
    </w:p>
    <w:p w14:paraId="25D99DEC" w14:textId="77777777" w:rsidR="00E9408B" w:rsidRPr="005738BE" w:rsidRDefault="00E9408B" w:rsidP="00E9408B">
      <w:pPr>
        <w:autoSpaceDE w:val="0"/>
        <w:autoSpaceDN w:val="0"/>
        <w:adjustRightInd w:val="0"/>
        <w:rPr>
          <w:rFonts w:eastAsia="Calibri" w:cs="Arial"/>
          <w:sz w:val="22"/>
          <w:szCs w:val="22"/>
          <w:lang w:val="es-ES_tradnl" w:eastAsia="en-US"/>
        </w:rPr>
      </w:pPr>
      <w:r w:rsidRPr="00EC1202">
        <w:rPr>
          <w:rFonts w:eastAsia="Calibri" w:cs="Arial"/>
          <w:sz w:val="22"/>
          <w:szCs w:val="22"/>
          <w:lang w:val="es-ES_tradnl" w:eastAsia="en-US"/>
        </w:rPr>
        <w:t xml:space="preserve">El </w:t>
      </w:r>
      <w:r w:rsidR="00540618" w:rsidRPr="00EC1202">
        <w:rPr>
          <w:rFonts w:eastAsia="Calibri" w:cs="Arial"/>
          <w:sz w:val="22"/>
          <w:szCs w:val="22"/>
          <w:lang w:val="es-ES_tradnl" w:eastAsia="en-US"/>
        </w:rPr>
        <w:t xml:space="preserve">servidor público </w:t>
      </w:r>
      <w:r w:rsidRPr="00D902B7">
        <w:rPr>
          <w:rFonts w:eastAsia="Calibri" w:cs="Arial"/>
          <w:sz w:val="22"/>
          <w:szCs w:val="22"/>
          <w:lang w:val="es-ES_tradnl" w:eastAsia="en-US"/>
        </w:rPr>
        <w:t xml:space="preserve">utiliza su </w:t>
      </w:r>
      <w:r w:rsidR="00597C3C" w:rsidRPr="00D902B7">
        <w:rPr>
          <w:rFonts w:eastAsia="Calibri" w:cs="Arial"/>
          <w:sz w:val="22"/>
          <w:szCs w:val="22"/>
          <w:lang w:val="es-ES_tradnl" w:eastAsia="en-US"/>
        </w:rPr>
        <w:t xml:space="preserve">cargo de manera indebida, </w:t>
      </w:r>
      <w:r w:rsidRPr="00D902B7">
        <w:rPr>
          <w:rFonts w:eastAsia="Calibri" w:cs="Arial"/>
          <w:sz w:val="22"/>
          <w:szCs w:val="22"/>
          <w:lang w:val="es-ES_tradnl" w:eastAsia="en-US"/>
        </w:rPr>
        <w:t xml:space="preserve">para presionar el direccionamiento de un proceso precontractual e incidir en la adjudicación de una licitación a favor de un </w:t>
      </w:r>
      <w:r w:rsidRPr="00D902B7">
        <w:rPr>
          <w:rFonts w:eastAsia="Calibri" w:cs="Arial"/>
          <w:sz w:val="22"/>
          <w:szCs w:val="22"/>
          <w:lang w:val="es-ES_tradnl" w:eastAsia="en-US"/>
        </w:rPr>
        <w:lastRenderedPageBreak/>
        <w:t>proponente en particular</w:t>
      </w:r>
      <w:r w:rsidR="00540618" w:rsidRPr="005738BE">
        <w:rPr>
          <w:rFonts w:eastAsia="Calibri" w:cs="Arial"/>
          <w:sz w:val="22"/>
          <w:szCs w:val="22"/>
          <w:lang w:val="es-ES_tradnl" w:eastAsia="en-US"/>
        </w:rPr>
        <w:t xml:space="preserve">. De esta </w:t>
      </w:r>
      <w:r w:rsidRPr="005738BE">
        <w:rPr>
          <w:rFonts w:eastAsia="Calibri" w:cs="Arial"/>
          <w:sz w:val="22"/>
          <w:szCs w:val="22"/>
          <w:lang w:val="es-ES_tradnl" w:eastAsia="en-US"/>
        </w:rPr>
        <w:t>manera</w:t>
      </w:r>
      <w:r w:rsidR="00597C3C" w:rsidRPr="005738BE">
        <w:rPr>
          <w:rFonts w:eastAsia="Calibri" w:cs="Arial"/>
          <w:sz w:val="22"/>
          <w:szCs w:val="22"/>
          <w:lang w:val="es-ES_tradnl" w:eastAsia="en-US"/>
        </w:rPr>
        <w:t>,</w:t>
      </w:r>
      <w:r w:rsidRPr="005738BE">
        <w:rPr>
          <w:rFonts w:eastAsia="Calibri" w:cs="Arial"/>
          <w:sz w:val="22"/>
          <w:szCs w:val="22"/>
          <w:lang w:val="es-ES_tradnl" w:eastAsia="en-US"/>
        </w:rPr>
        <w:t xml:space="preserve"> </w:t>
      </w:r>
      <w:r w:rsidR="00540618" w:rsidRPr="005738BE">
        <w:rPr>
          <w:rFonts w:eastAsia="Calibri" w:cs="Arial"/>
          <w:sz w:val="22"/>
          <w:szCs w:val="22"/>
          <w:lang w:val="es-ES_tradnl" w:eastAsia="en-US"/>
        </w:rPr>
        <w:t xml:space="preserve">se afectan </w:t>
      </w:r>
      <w:r w:rsidRPr="005738BE">
        <w:rPr>
          <w:rFonts w:eastAsia="Calibri" w:cs="Arial"/>
          <w:sz w:val="22"/>
          <w:szCs w:val="22"/>
          <w:lang w:val="es-ES_tradnl" w:eastAsia="en-US"/>
        </w:rPr>
        <w:t>grave</w:t>
      </w:r>
      <w:r w:rsidR="00540618" w:rsidRPr="005738BE">
        <w:rPr>
          <w:rFonts w:eastAsia="Calibri" w:cs="Arial"/>
          <w:sz w:val="22"/>
          <w:szCs w:val="22"/>
          <w:lang w:val="es-ES_tradnl" w:eastAsia="en-US"/>
        </w:rPr>
        <w:t>mente</w:t>
      </w:r>
      <w:r w:rsidRPr="005738BE">
        <w:rPr>
          <w:rFonts w:eastAsia="Calibri" w:cs="Arial"/>
          <w:sz w:val="22"/>
          <w:szCs w:val="22"/>
          <w:lang w:val="es-ES_tradnl" w:eastAsia="en-US"/>
        </w:rPr>
        <w:t xml:space="preserve"> los principios de selección objetiva, transparencia, responsabilidad, igualdad y economía, previstos en el estatuto de contratación pública</w:t>
      </w:r>
      <w:r w:rsidR="00540618" w:rsidRPr="005738BE">
        <w:rPr>
          <w:rFonts w:eastAsia="Calibri" w:cs="Arial"/>
          <w:sz w:val="22"/>
          <w:szCs w:val="22"/>
          <w:lang w:val="es-ES_tradnl" w:eastAsia="en-US"/>
        </w:rPr>
        <w:t>.</w:t>
      </w:r>
    </w:p>
    <w:p w14:paraId="288C363C" w14:textId="77777777" w:rsidR="00E9408B" w:rsidRPr="005738BE" w:rsidRDefault="00E9408B" w:rsidP="00E9408B">
      <w:pPr>
        <w:autoSpaceDE w:val="0"/>
        <w:autoSpaceDN w:val="0"/>
        <w:adjustRightInd w:val="0"/>
        <w:rPr>
          <w:rFonts w:eastAsia="Calibri" w:cs="Arial"/>
          <w:sz w:val="22"/>
          <w:szCs w:val="22"/>
          <w:lang w:val="es-ES_tradnl" w:eastAsia="en-US"/>
        </w:rPr>
      </w:pPr>
    </w:p>
    <w:p w14:paraId="26096AEC" w14:textId="77777777" w:rsidR="00E9408B" w:rsidRPr="005738BE" w:rsidRDefault="00E9408B" w:rsidP="00E9408B">
      <w:pPr>
        <w:autoSpaceDE w:val="0"/>
        <w:autoSpaceDN w:val="0"/>
        <w:adjustRightInd w:val="0"/>
        <w:rPr>
          <w:rFonts w:eastAsia="Calibri" w:cs="Arial"/>
          <w:sz w:val="22"/>
          <w:szCs w:val="22"/>
          <w:lang w:val="es-ES_tradnl" w:eastAsia="en-US"/>
        </w:rPr>
      </w:pPr>
      <w:r w:rsidRPr="005738BE">
        <w:rPr>
          <w:rFonts w:eastAsia="Calibri" w:cs="Arial"/>
          <w:sz w:val="22"/>
          <w:szCs w:val="22"/>
          <w:lang w:val="es-ES_tradnl" w:eastAsia="en-US"/>
        </w:rPr>
        <w:t xml:space="preserve">El </w:t>
      </w:r>
      <w:r w:rsidR="00540618" w:rsidRPr="005738BE">
        <w:rPr>
          <w:rFonts w:eastAsia="Calibri" w:cs="Arial"/>
          <w:sz w:val="22"/>
          <w:szCs w:val="22"/>
          <w:lang w:val="es-ES_tradnl" w:eastAsia="en-US"/>
        </w:rPr>
        <w:t xml:space="preserve">servidor público </w:t>
      </w:r>
      <w:r w:rsidRPr="005738BE">
        <w:rPr>
          <w:rFonts w:eastAsia="Calibri" w:cs="Arial"/>
          <w:sz w:val="22"/>
          <w:szCs w:val="22"/>
          <w:lang w:val="es-ES_tradnl" w:eastAsia="en-US"/>
        </w:rPr>
        <w:t xml:space="preserve">se beneficia del pago de comisiones y otro tipo de beneficios que recibe del proponente que fue favorecido en el proceso. </w:t>
      </w:r>
    </w:p>
    <w:p w14:paraId="5257B261" w14:textId="77777777" w:rsidR="003E716C" w:rsidRPr="004B37D2" w:rsidRDefault="00093DA0" w:rsidP="006F02F4">
      <w:pPr>
        <w:pStyle w:val="Ttulo3"/>
        <w:numPr>
          <w:ilvl w:val="0"/>
          <w:numId w:val="0"/>
        </w:numPr>
        <w:rPr>
          <w:rFonts w:cs="Arial"/>
          <w:b w:val="0"/>
          <w:iCs/>
          <w:sz w:val="22"/>
          <w:szCs w:val="22"/>
        </w:rPr>
      </w:pPr>
      <w:r w:rsidRPr="004B37D2">
        <w:rPr>
          <w:rFonts w:cs="Arial"/>
          <w:b w:val="0"/>
          <w:iCs/>
          <w:sz w:val="22"/>
          <w:szCs w:val="22"/>
        </w:rPr>
        <w:t>4</w:t>
      </w:r>
      <w:r w:rsidR="00CB10D6" w:rsidRPr="004B37D2">
        <w:rPr>
          <w:rFonts w:cs="Arial"/>
          <w:b w:val="0"/>
          <w:iCs/>
          <w:sz w:val="22"/>
          <w:szCs w:val="22"/>
        </w:rPr>
        <w:t xml:space="preserve">.4.2 </w:t>
      </w:r>
      <w:r w:rsidR="00E9408B" w:rsidRPr="004B37D2">
        <w:rPr>
          <w:rFonts w:cs="Arial"/>
          <w:b w:val="0"/>
          <w:iCs/>
          <w:sz w:val="22"/>
          <w:szCs w:val="22"/>
        </w:rPr>
        <w:t>Solicitud y pago de “coimas”</w:t>
      </w:r>
    </w:p>
    <w:p w14:paraId="09631A7E" w14:textId="77777777" w:rsidR="00E9408B" w:rsidRPr="005738BE" w:rsidRDefault="00E9408B" w:rsidP="00E9408B">
      <w:pPr>
        <w:rPr>
          <w:rFonts w:cs="Arial"/>
          <w:iCs/>
          <w:sz w:val="22"/>
          <w:szCs w:val="22"/>
        </w:rPr>
      </w:pPr>
    </w:p>
    <w:p w14:paraId="39FC12CA" w14:textId="77777777" w:rsidR="00E9408B" w:rsidRPr="005738BE" w:rsidRDefault="00E9408B" w:rsidP="00E9408B">
      <w:pPr>
        <w:rPr>
          <w:rFonts w:cs="Arial"/>
          <w:sz w:val="22"/>
          <w:szCs w:val="22"/>
          <w:lang w:val="es-CO"/>
        </w:rPr>
      </w:pPr>
      <w:r w:rsidRPr="00EC1202">
        <w:rPr>
          <w:rFonts w:cs="Arial"/>
          <w:sz w:val="22"/>
          <w:szCs w:val="22"/>
          <w:lang w:val="es-CO"/>
        </w:rPr>
        <w:t xml:space="preserve">Esta </w:t>
      </w:r>
      <w:r w:rsidR="00540618" w:rsidRPr="00EC1202">
        <w:rPr>
          <w:rFonts w:cs="Arial"/>
          <w:sz w:val="22"/>
          <w:szCs w:val="22"/>
          <w:lang w:val="es-CO"/>
        </w:rPr>
        <w:t xml:space="preserve">modalidad hace referencia </w:t>
      </w:r>
      <w:r w:rsidRPr="00D902B7">
        <w:rPr>
          <w:rFonts w:cs="Arial"/>
          <w:sz w:val="22"/>
          <w:szCs w:val="22"/>
          <w:lang w:val="es-CO"/>
        </w:rPr>
        <w:t>a la solicitud de comisiones y a la extorsión</w:t>
      </w:r>
      <w:r w:rsidR="00A34E22" w:rsidRPr="00D902B7">
        <w:rPr>
          <w:rFonts w:cs="Arial"/>
          <w:sz w:val="22"/>
          <w:szCs w:val="22"/>
          <w:lang w:val="es-CO"/>
        </w:rPr>
        <w:t xml:space="preserve"> a contratistas</w:t>
      </w:r>
      <w:r w:rsidR="00540618" w:rsidRPr="00D902B7">
        <w:rPr>
          <w:rFonts w:cs="Arial"/>
          <w:sz w:val="22"/>
          <w:szCs w:val="22"/>
          <w:lang w:val="es-CO"/>
        </w:rPr>
        <w:t>,</w:t>
      </w:r>
      <w:r w:rsidRPr="0028490D">
        <w:rPr>
          <w:rFonts w:cs="Arial"/>
          <w:sz w:val="22"/>
          <w:szCs w:val="22"/>
          <w:lang w:val="es-CO"/>
        </w:rPr>
        <w:t xml:space="preserve"> por parte de funcionarios públicos</w:t>
      </w:r>
      <w:r w:rsidR="00540618" w:rsidRPr="005738BE">
        <w:rPr>
          <w:rFonts w:cs="Arial"/>
          <w:sz w:val="22"/>
          <w:szCs w:val="22"/>
          <w:lang w:val="es-CO"/>
        </w:rPr>
        <w:t>,</w:t>
      </w:r>
      <w:r w:rsidRPr="005738BE">
        <w:rPr>
          <w:rFonts w:cs="Arial"/>
          <w:sz w:val="22"/>
          <w:szCs w:val="22"/>
          <w:lang w:val="es-CO"/>
        </w:rPr>
        <w:t xml:space="preserve"> para </w:t>
      </w:r>
      <w:r w:rsidR="00540618" w:rsidRPr="005738BE">
        <w:rPr>
          <w:rFonts w:cs="Arial"/>
          <w:sz w:val="22"/>
          <w:szCs w:val="22"/>
          <w:lang w:val="es-CO"/>
        </w:rPr>
        <w:t>ignorar</w:t>
      </w:r>
      <w:r w:rsidRPr="005738BE">
        <w:rPr>
          <w:rFonts w:cs="Arial"/>
          <w:sz w:val="22"/>
          <w:szCs w:val="22"/>
          <w:lang w:val="es-CO"/>
        </w:rPr>
        <w:t xml:space="preserve"> los incumplimientos del contrato.</w:t>
      </w:r>
    </w:p>
    <w:p w14:paraId="1669A002" w14:textId="77777777" w:rsidR="00E9408B" w:rsidRPr="005738BE" w:rsidRDefault="00E9408B" w:rsidP="00E9408B">
      <w:pPr>
        <w:rPr>
          <w:rFonts w:cs="Arial"/>
          <w:sz w:val="22"/>
          <w:szCs w:val="22"/>
          <w:lang w:val="es-CO"/>
        </w:rPr>
      </w:pPr>
    </w:p>
    <w:p w14:paraId="6D2C3149" w14:textId="77777777" w:rsidR="00E9408B" w:rsidRPr="005738BE" w:rsidRDefault="00E9408B" w:rsidP="00E9408B">
      <w:pPr>
        <w:rPr>
          <w:rFonts w:cs="Arial"/>
          <w:sz w:val="22"/>
          <w:szCs w:val="22"/>
          <w:lang w:val="es-CO"/>
        </w:rPr>
      </w:pPr>
      <w:r w:rsidRPr="005738BE">
        <w:rPr>
          <w:rFonts w:cs="Arial"/>
          <w:sz w:val="22"/>
          <w:szCs w:val="22"/>
          <w:lang w:val="es-CO"/>
        </w:rPr>
        <w:t xml:space="preserve">En algunos casos, </w:t>
      </w:r>
      <w:r w:rsidR="00540618" w:rsidRPr="005738BE">
        <w:rPr>
          <w:rFonts w:cs="Arial"/>
          <w:sz w:val="22"/>
          <w:szCs w:val="22"/>
          <w:lang w:val="es-CO"/>
        </w:rPr>
        <w:t xml:space="preserve">la </w:t>
      </w:r>
      <w:r w:rsidR="00600F63" w:rsidRPr="005738BE">
        <w:rPr>
          <w:rFonts w:cs="Arial"/>
          <w:sz w:val="22"/>
          <w:szCs w:val="22"/>
          <w:lang w:val="es-CO"/>
        </w:rPr>
        <w:t>solicitud</w:t>
      </w:r>
      <w:r w:rsidR="00A34E22" w:rsidRPr="005738BE">
        <w:rPr>
          <w:rFonts w:cs="Arial"/>
          <w:sz w:val="22"/>
          <w:szCs w:val="22"/>
          <w:lang w:val="es-CO"/>
        </w:rPr>
        <w:t xml:space="preserve"> implica e</w:t>
      </w:r>
      <w:r w:rsidRPr="005738BE">
        <w:rPr>
          <w:rFonts w:cs="Arial"/>
          <w:sz w:val="22"/>
          <w:szCs w:val="22"/>
          <w:lang w:val="es-CO"/>
        </w:rPr>
        <w:t>l pago</w:t>
      </w:r>
      <w:r w:rsidR="00A34E22" w:rsidRPr="005738BE">
        <w:rPr>
          <w:rFonts w:cs="Arial"/>
          <w:sz w:val="22"/>
          <w:szCs w:val="22"/>
          <w:lang w:val="es-CO"/>
        </w:rPr>
        <w:t>,</w:t>
      </w:r>
      <w:r w:rsidRPr="005738BE">
        <w:rPr>
          <w:rFonts w:cs="Arial"/>
          <w:sz w:val="22"/>
          <w:szCs w:val="22"/>
          <w:lang w:val="es-CO"/>
        </w:rPr>
        <w:t xml:space="preserve"> </w:t>
      </w:r>
      <w:r w:rsidR="00A34E22" w:rsidRPr="005738BE">
        <w:rPr>
          <w:rFonts w:cs="Arial"/>
          <w:sz w:val="22"/>
          <w:szCs w:val="22"/>
          <w:lang w:val="es-CO"/>
        </w:rPr>
        <w:t xml:space="preserve">al funcionario público, </w:t>
      </w:r>
      <w:r w:rsidRPr="005738BE">
        <w:rPr>
          <w:rFonts w:cs="Arial"/>
          <w:sz w:val="22"/>
          <w:szCs w:val="22"/>
          <w:lang w:val="es-CO"/>
        </w:rPr>
        <w:t xml:space="preserve">de comisiones periódicas o la </w:t>
      </w:r>
      <w:r w:rsidR="00A34E22" w:rsidRPr="005738BE">
        <w:rPr>
          <w:rFonts w:cs="Arial"/>
          <w:sz w:val="22"/>
          <w:szCs w:val="22"/>
          <w:lang w:val="es-CO"/>
        </w:rPr>
        <w:t>entrega de</w:t>
      </w:r>
      <w:r w:rsidRPr="005738BE">
        <w:rPr>
          <w:rFonts w:cs="Arial"/>
          <w:sz w:val="22"/>
          <w:szCs w:val="22"/>
          <w:lang w:val="es-CO"/>
        </w:rPr>
        <w:t xml:space="preserve"> un porcentaje </w:t>
      </w:r>
      <w:r w:rsidR="00A34E22" w:rsidRPr="005738BE">
        <w:rPr>
          <w:rFonts w:cs="Arial"/>
          <w:sz w:val="22"/>
          <w:szCs w:val="22"/>
          <w:lang w:val="es-CO"/>
        </w:rPr>
        <w:t>de las sumas recibidas por</w:t>
      </w:r>
      <w:r w:rsidR="00600F63" w:rsidRPr="005738BE">
        <w:rPr>
          <w:rFonts w:cs="Arial"/>
          <w:sz w:val="22"/>
          <w:szCs w:val="22"/>
          <w:lang w:val="es-CO"/>
        </w:rPr>
        <w:t xml:space="preserve"> las </w:t>
      </w:r>
      <w:r w:rsidRPr="005738BE">
        <w:rPr>
          <w:rFonts w:cs="Arial"/>
          <w:sz w:val="22"/>
          <w:szCs w:val="22"/>
          <w:lang w:val="es-CO"/>
        </w:rPr>
        <w:t xml:space="preserve">adiciones </w:t>
      </w:r>
      <w:r w:rsidR="00600F63" w:rsidRPr="005738BE">
        <w:rPr>
          <w:rFonts w:cs="Arial"/>
          <w:sz w:val="22"/>
          <w:szCs w:val="22"/>
          <w:lang w:val="es-CO"/>
        </w:rPr>
        <w:t xml:space="preserve">que se hagan </w:t>
      </w:r>
      <w:r w:rsidRPr="005738BE">
        <w:rPr>
          <w:rFonts w:cs="Arial"/>
          <w:sz w:val="22"/>
          <w:szCs w:val="22"/>
          <w:lang w:val="es-CO"/>
        </w:rPr>
        <w:t>al contrato</w:t>
      </w:r>
      <w:r w:rsidR="00600F63" w:rsidRPr="005738BE">
        <w:rPr>
          <w:rFonts w:cs="Arial"/>
          <w:sz w:val="22"/>
          <w:szCs w:val="22"/>
          <w:lang w:val="es-CO"/>
        </w:rPr>
        <w:t xml:space="preserve">. Tales adendas se </w:t>
      </w:r>
      <w:r w:rsidRPr="005738BE">
        <w:rPr>
          <w:rFonts w:cs="Arial"/>
          <w:sz w:val="22"/>
          <w:szCs w:val="22"/>
          <w:lang w:val="es-CO"/>
        </w:rPr>
        <w:t xml:space="preserve">justifican </w:t>
      </w:r>
      <w:r w:rsidR="00600F63" w:rsidRPr="005738BE">
        <w:rPr>
          <w:rFonts w:cs="Arial"/>
          <w:sz w:val="22"/>
          <w:szCs w:val="22"/>
          <w:lang w:val="es-CO"/>
        </w:rPr>
        <w:t>bajo el pretexto de s</w:t>
      </w:r>
      <w:r w:rsidR="00A34E22" w:rsidRPr="005738BE">
        <w:rPr>
          <w:rFonts w:cs="Arial"/>
          <w:sz w:val="22"/>
          <w:szCs w:val="22"/>
          <w:lang w:val="es-CO"/>
        </w:rPr>
        <w:t>er</w:t>
      </w:r>
      <w:r w:rsidR="00600F63" w:rsidRPr="005738BE">
        <w:rPr>
          <w:rFonts w:cs="Arial"/>
          <w:sz w:val="22"/>
          <w:szCs w:val="22"/>
          <w:lang w:val="es-CO"/>
        </w:rPr>
        <w:t xml:space="preserve"> </w:t>
      </w:r>
      <w:r w:rsidRPr="005738BE">
        <w:rPr>
          <w:rFonts w:cs="Arial"/>
          <w:sz w:val="22"/>
          <w:szCs w:val="22"/>
          <w:lang w:val="es-CO"/>
        </w:rPr>
        <w:t xml:space="preserve">indispensables para el cumplimiento </w:t>
      </w:r>
      <w:r w:rsidR="00A34E22" w:rsidRPr="005738BE">
        <w:rPr>
          <w:rFonts w:cs="Arial"/>
          <w:sz w:val="22"/>
          <w:szCs w:val="22"/>
          <w:lang w:val="es-CO"/>
        </w:rPr>
        <w:t xml:space="preserve">óptimo </w:t>
      </w:r>
      <w:r w:rsidRPr="005738BE">
        <w:rPr>
          <w:rFonts w:cs="Arial"/>
          <w:sz w:val="22"/>
          <w:szCs w:val="22"/>
          <w:lang w:val="es-CO"/>
        </w:rPr>
        <w:t xml:space="preserve">de las obligaciones contractuales, </w:t>
      </w:r>
      <w:r w:rsidR="00600F63" w:rsidRPr="005738BE">
        <w:rPr>
          <w:rFonts w:cs="Arial"/>
          <w:sz w:val="22"/>
          <w:szCs w:val="22"/>
          <w:lang w:val="es-CO"/>
        </w:rPr>
        <w:t xml:space="preserve">o </w:t>
      </w:r>
      <w:r w:rsidR="00A34E22" w:rsidRPr="005738BE">
        <w:rPr>
          <w:rFonts w:cs="Arial"/>
          <w:sz w:val="22"/>
          <w:szCs w:val="22"/>
          <w:lang w:val="es-CO"/>
        </w:rPr>
        <w:t xml:space="preserve">de </w:t>
      </w:r>
      <w:r w:rsidRPr="005738BE">
        <w:rPr>
          <w:rFonts w:cs="Arial"/>
          <w:sz w:val="22"/>
          <w:szCs w:val="22"/>
          <w:lang w:val="es-CO"/>
        </w:rPr>
        <w:t>que son producto de cambios imprevistos en las condiciones de ejecución del contrato, entre otras razones.</w:t>
      </w:r>
    </w:p>
    <w:p w14:paraId="536B9F13" w14:textId="77777777" w:rsidR="00E9408B" w:rsidRPr="005738BE" w:rsidRDefault="00E9408B" w:rsidP="00E9408B">
      <w:pPr>
        <w:rPr>
          <w:rFonts w:cs="Arial"/>
          <w:sz w:val="22"/>
          <w:szCs w:val="22"/>
          <w:lang w:val="es-CO"/>
        </w:rPr>
      </w:pPr>
    </w:p>
    <w:p w14:paraId="62C288EC" w14:textId="77777777" w:rsidR="00E9408B" w:rsidRPr="005738BE" w:rsidRDefault="00E9408B" w:rsidP="00E9408B">
      <w:pPr>
        <w:rPr>
          <w:rFonts w:cs="Arial"/>
          <w:sz w:val="22"/>
          <w:szCs w:val="22"/>
          <w:lang w:val="es-CO"/>
        </w:rPr>
      </w:pPr>
      <w:r w:rsidRPr="005738BE">
        <w:rPr>
          <w:rFonts w:cs="Arial"/>
          <w:sz w:val="22"/>
          <w:szCs w:val="22"/>
          <w:lang w:val="es-CO"/>
        </w:rPr>
        <w:t xml:space="preserve">Los funcionarios involucrados estarán </w:t>
      </w:r>
      <w:r w:rsidR="00CA32B7" w:rsidRPr="005738BE">
        <w:rPr>
          <w:rFonts w:cs="Arial"/>
          <w:sz w:val="22"/>
          <w:szCs w:val="22"/>
          <w:lang w:val="es-CO"/>
        </w:rPr>
        <w:t>dispuestos</w:t>
      </w:r>
      <w:r w:rsidRPr="005738BE">
        <w:rPr>
          <w:rFonts w:cs="Arial"/>
          <w:sz w:val="22"/>
          <w:szCs w:val="22"/>
          <w:lang w:val="es-CO"/>
        </w:rPr>
        <w:t xml:space="preserve"> a obstaculizar los procesos de auditoría que se puedan presentar, </w:t>
      </w:r>
      <w:r w:rsidR="00600F63" w:rsidRPr="005738BE">
        <w:rPr>
          <w:rFonts w:cs="Arial"/>
          <w:sz w:val="22"/>
          <w:szCs w:val="22"/>
          <w:lang w:val="es-CO"/>
        </w:rPr>
        <w:t xml:space="preserve">con el fin de </w:t>
      </w:r>
      <w:r w:rsidRPr="005738BE">
        <w:rPr>
          <w:rFonts w:cs="Arial"/>
          <w:sz w:val="22"/>
          <w:szCs w:val="22"/>
          <w:lang w:val="es-CO"/>
        </w:rPr>
        <w:t xml:space="preserve">ocultar </w:t>
      </w:r>
      <w:r w:rsidR="00600F63" w:rsidRPr="005738BE">
        <w:rPr>
          <w:rFonts w:cs="Arial"/>
          <w:sz w:val="22"/>
          <w:szCs w:val="22"/>
          <w:lang w:val="es-CO"/>
        </w:rPr>
        <w:t xml:space="preserve">el pacto </w:t>
      </w:r>
      <w:r w:rsidR="00CA32B7" w:rsidRPr="005738BE">
        <w:rPr>
          <w:rFonts w:cs="Arial"/>
          <w:sz w:val="22"/>
          <w:szCs w:val="22"/>
          <w:lang w:val="es-CO"/>
        </w:rPr>
        <w:t xml:space="preserve">indebido </w:t>
      </w:r>
      <w:r w:rsidRPr="005738BE">
        <w:rPr>
          <w:rFonts w:cs="Arial"/>
          <w:sz w:val="22"/>
          <w:szCs w:val="22"/>
          <w:lang w:val="es-CO"/>
        </w:rPr>
        <w:t xml:space="preserve">que tienen las partes. Incluso, de ser necesario, compartirán parte de sus “ganancias” con los auditores que demuestren interés </w:t>
      </w:r>
      <w:r w:rsidR="00600F63" w:rsidRPr="005738BE">
        <w:rPr>
          <w:rFonts w:cs="Arial"/>
          <w:sz w:val="22"/>
          <w:szCs w:val="22"/>
          <w:lang w:val="es-CO"/>
        </w:rPr>
        <w:t xml:space="preserve">por </w:t>
      </w:r>
      <w:r w:rsidRPr="005738BE">
        <w:rPr>
          <w:rFonts w:cs="Arial"/>
          <w:sz w:val="22"/>
          <w:szCs w:val="22"/>
          <w:lang w:val="es-CO"/>
        </w:rPr>
        <w:t>participar en el “negocio”.</w:t>
      </w:r>
    </w:p>
    <w:p w14:paraId="5C0BAA96" w14:textId="77777777" w:rsidR="00E9408B" w:rsidRPr="004B37D2" w:rsidRDefault="00093DA0" w:rsidP="006F02F4">
      <w:pPr>
        <w:pStyle w:val="Ttulo3"/>
        <w:numPr>
          <w:ilvl w:val="0"/>
          <w:numId w:val="0"/>
        </w:numPr>
        <w:rPr>
          <w:rFonts w:cs="Arial"/>
          <w:b w:val="0"/>
          <w:iCs/>
          <w:sz w:val="22"/>
          <w:szCs w:val="22"/>
        </w:rPr>
      </w:pPr>
      <w:r w:rsidRPr="004B37D2">
        <w:rPr>
          <w:rFonts w:cs="Arial"/>
          <w:b w:val="0"/>
          <w:iCs/>
          <w:sz w:val="22"/>
          <w:szCs w:val="22"/>
        </w:rPr>
        <w:t>4</w:t>
      </w:r>
      <w:r w:rsidR="00CB10D6" w:rsidRPr="004B37D2">
        <w:rPr>
          <w:rFonts w:cs="Arial"/>
          <w:b w:val="0"/>
          <w:iCs/>
          <w:sz w:val="22"/>
          <w:szCs w:val="22"/>
        </w:rPr>
        <w:t>.4.3</w:t>
      </w:r>
      <w:r w:rsidR="00CB10D6" w:rsidRPr="005738BE">
        <w:rPr>
          <w:rFonts w:cs="Arial"/>
          <w:b w:val="0"/>
          <w:i/>
          <w:sz w:val="22"/>
          <w:szCs w:val="22"/>
        </w:rPr>
        <w:t xml:space="preserve"> </w:t>
      </w:r>
      <w:r w:rsidR="00E9408B" w:rsidRPr="004B37D2">
        <w:rPr>
          <w:rFonts w:cs="Arial"/>
          <w:b w:val="0"/>
          <w:iCs/>
          <w:sz w:val="22"/>
          <w:szCs w:val="22"/>
        </w:rPr>
        <w:t>Supervisión e interventoría desleal</w:t>
      </w:r>
    </w:p>
    <w:p w14:paraId="469C2910" w14:textId="77777777" w:rsidR="00E9408B" w:rsidRPr="00EC1202" w:rsidRDefault="00E9408B" w:rsidP="00E9408B">
      <w:pPr>
        <w:rPr>
          <w:rFonts w:cs="Arial"/>
          <w:sz w:val="22"/>
          <w:szCs w:val="22"/>
        </w:rPr>
      </w:pPr>
    </w:p>
    <w:p w14:paraId="6FE02C37" w14:textId="77777777" w:rsidR="002E51B4" w:rsidRPr="005738BE" w:rsidRDefault="00A41CD3" w:rsidP="00A41CD3">
      <w:pPr>
        <w:rPr>
          <w:rFonts w:cs="Arial"/>
          <w:sz w:val="22"/>
          <w:szCs w:val="22"/>
          <w:lang w:val="es-CO"/>
        </w:rPr>
      </w:pPr>
      <w:r w:rsidRPr="00D902B7">
        <w:rPr>
          <w:rFonts w:cs="Arial"/>
          <w:sz w:val="22"/>
          <w:szCs w:val="22"/>
          <w:lang w:val="es-CO"/>
        </w:rPr>
        <w:t xml:space="preserve">Esta tipología </w:t>
      </w:r>
      <w:r w:rsidR="002E51B4" w:rsidRPr="00D902B7">
        <w:rPr>
          <w:rFonts w:cs="Arial"/>
          <w:sz w:val="22"/>
          <w:szCs w:val="22"/>
          <w:lang w:val="es-CO"/>
        </w:rPr>
        <w:t>hace alusión</w:t>
      </w:r>
      <w:r w:rsidRPr="00D902B7">
        <w:rPr>
          <w:rFonts w:cs="Arial"/>
          <w:sz w:val="22"/>
          <w:szCs w:val="22"/>
          <w:lang w:val="es-CO"/>
        </w:rPr>
        <w:t xml:space="preserve"> a la manipulación de la función de interventoría </w:t>
      </w:r>
      <w:r w:rsidR="002E51B4" w:rsidRPr="0028490D">
        <w:rPr>
          <w:rFonts w:cs="Arial"/>
          <w:sz w:val="22"/>
          <w:szCs w:val="22"/>
          <w:lang w:val="es-CO"/>
        </w:rPr>
        <w:t xml:space="preserve">llevada a cabo por </w:t>
      </w:r>
      <w:r w:rsidRPr="005738BE">
        <w:rPr>
          <w:rFonts w:cs="Arial"/>
          <w:sz w:val="22"/>
          <w:szCs w:val="22"/>
          <w:lang w:val="es-CO"/>
        </w:rPr>
        <w:t>particulares</w:t>
      </w:r>
      <w:r w:rsidR="008F76CF" w:rsidRPr="005738BE">
        <w:rPr>
          <w:rFonts w:cs="Arial"/>
          <w:sz w:val="22"/>
          <w:szCs w:val="22"/>
          <w:lang w:val="es-CO"/>
        </w:rPr>
        <w:t xml:space="preserve">, con </w:t>
      </w:r>
      <w:r w:rsidR="002E51B4" w:rsidRPr="005738BE">
        <w:rPr>
          <w:rFonts w:cs="Arial"/>
          <w:sz w:val="22"/>
          <w:szCs w:val="22"/>
          <w:lang w:val="es-CO"/>
        </w:rPr>
        <w:t xml:space="preserve">el </w:t>
      </w:r>
      <w:r w:rsidRPr="005738BE">
        <w:rPr>
          <w:rFonts w:cs="Arial"/>
          <w:sz w:val="22"/>
          <w:szCs w:val="22"/>
          <w:lang w:val="es-CO"/>
        </w:rPr>
        <w:t>interés de beneficiar a un tercero.</w:t>
      </w:r>
      <w:r w:rsidR="002E51B4" w:rsidRPr="005738BE">
        <w:rPr>
          <w:rFonts w:cs="Arial"/>
          <w:sz w:val="22"/>
          <w:szCs w:val="22"/>
          <w:lang w:val="es-CO"/>
        </w:rPr>
        <w:t xml:space="preserve"> </w:t>
      </w:r>
    </w:p>
    <w:p w14:paraId="060D3F48" w14:textId="77777777" w:rsidR="002E51B4" w:rsidRPr="005738BE" w:rsidRDefault="002E51B4" w:rsidP="00A41CD3">
      <w:pPr>
        <w:rPr>
          <w:rFonts w:cs="Arial"/>
          <w:sz w:val="22"/>
          <w:szCs w:val="22"/>
          <w:lang w:val="es-CO"/>
        </w:rPr>
      </w:pPr>
    </w:p>
    <w:p w14:paraId="45416607" w14:textId="77777777" w:rsidR="00A41CD3" w:rsidRPr="005738BE" w:rsidRDefault="008F76CF" w:rsidP="00A41CD3">
      <w:pPr>
        <w:rPr>
          <w:rFonts w:cs="Arial"/>
          <w:sz w:val="22"/>
          <w:szCs w:val="22"/>
          <w:lang w:val="es-CO"/>
        </w:rPr>
      </w:pPr>
      <w:r w:rsidRPr="005738BE">
        <w:rPr>
          <w:rFonts w:cs="Arial"/>
          <w:sz w:val="22"/>
          <w:szCs w:val="22"/>
          <w:lang w:val="es-CO"/>
        </w:rPr>
        <w:t>De esta forma, l</w:t>
      </w:r>
      <w:r w:rsidR="00A41CD3" w:rsidRPr="005738BE">
        <w:rPr>
          <w:rFonts w:cs="Arial"/>
          <w:sz w:val="22"/>
          <w:szCs w:val="22"/>
          <w:lang w:val="es-CO"/>
        </w:rPr>
        <w:t>a interventoría entorpece</w:t>
      </w:r>
      <w:r w:rsidRPr="005738BE">
        <w:rPr>
          <w:rFonts w:cs="Arial"/>
          <w:sz w:val="22"/>
          <w:szCs w:val="22"/>
          <w:lang w:val="es-CO"/>
        </w:rPr>
        <w:t xml:space="preserve">, </w:t>
      </w:r>
      <w:r w:rsidR="00A41CD3" w:rsidRPr="005738BE">
        <w:rPr>
          <w:rFonts w:cs="Arial"/>
          <w:sz w:val="22"/>
          <w:szCs w:val="22"/>
          <w:lang w:val="es-CO"/>
        </w:rPr>
        <w:t>de manera indebida</w:t>
      </w:r>
      <w:r w:rsidRPr="005738BE">
        <w:rPr>
          <w:rFonts w:cs="Arial"/>
          <w:sz w:val="22"/>
          <w:szCs w:val="22"/>
          <w:lang w:val="es-CO"/>
        </w:rPr>
        <w:t>,</w:t>
      </w:r>
      <w:r w:rsidR="00A41CD3" w:rsidRPr="005738BE">
        <w:rPr>
          <w:rFonts w:cs="Arial"/>
          <w:sz w:val="22"/>
          <w:szCs w:val="22"/>
          <w:lang w:val="es-CO"/>
        </w:rPr>
        <w:t xml:space="preserve"> la ejecución de un contrato</w:t>
      </w:r>
      <w:r w:rsidRPr="005738BE">
        <w:rPr>
          <w:rFonts w:cs="Arial"/>
          <w:sz w:val="22"/>
          <w:szCs w:val="22"/>
          <w:lang w:val="es-CO"/>
        </w:rPr>
        <w:t xml:space="preserve">. Para ello, hace </w:t>
      </w:r>
      <w:r w:rsidR="00A41CD3" w:rsidRPr="005738BE">
        <w:rPr>
          <w:rFonts w:cs="Arial"/>
          <w:sz w:val="22"/>
          <w:szCs w:val="22"/>
          <w:lang w:val="es-CO"/>
        </w:rPr>
        <w:t xml:space="preserve">solicitudes frecuentes </w:t>
      </w:r>
      <w:r w:rsidRPr="005738BE">
        <w:rPr>
          <w:rFonts w:cs="Arial"/>
          <w:sz w:val="22"/>
          <w:szCs w:val="22"/>
          <w:lang w:val="es-CO"/>
        </w:rPr>
        <w:t xml:space="preserve">e </w:t>
      </w:r>
      <w:r w:rsidR="00A41CD3" w:rsidRPr="005738BE">
        <w:rPr>
          <w:rFonts w:cs="Arial"/>
          <w:sz w:val="22"/>
          <w:szCs w:val="22"/>
          <w:lang w:val="es-CO"/>
        </w:rPr>
        <w:t>innecesarias</w:t>
      </w:r>
      <w:r w:rsidRPr="005738BE">
        <w:rPr>
          <w:rFonts w:cs="Arial"/>
          <w:sz w:val="22"/>
          <w:szCs w:val="22"/>
          <w:lang w:val="es-CO"/>
        </w:rPr>
        <w:t xml:space="preserve"> o emite </w:t>
      </w:r>
      <w:r w:rsidR="00A41CD3" w:rsidRPr="005738BE">
        <w:rPr>
          <w:rFonts w:cs="Arial"/>
          <w:sz w:val="22"/>
          <w:szCs w:val="22"/>
          <w:lang w:val="es-CO"/>
        </w:rPr>
        <w:t>conceptos técnicos equivocados, entre otras prácticas, con el fin de presionar el incumplimiento por parte del contratista.</w:t>
      </w:r>
    </w:p>
    <w:p w14:paraId="78F3EF35" w14:textId="77777777" w:rsidR="00E9408B" w:rsidRPr="004B37D2" w:rsidRDefault="00093DA0" w:rsidP="006F02F4">
      <w:pPr>
        <w:pStyle w:val="Ttulo3"/>
        <w:numPr>
          <w:ilvl w:val="0"/>
          <w:numId w:val="0"/>
        </w:numPr>
        <w:rPr>
          <w:rFonts w:cs="Arial"/>
          <w:b w:val="0"/>
          <w:iCs/>
          <w:sz w:val="22"/>
          <w:szCs w:val="22"/>
          <w:lang w:val="es-CO"/>
        </w:rPr>
      </w:pPr>
      <w:r w:rsidRPr="004B37D2">
        <w:rPr>
          <w:rFonts w:cs="Arial"/>
          <w:b w:val="0"/>
          <w:iCs/>
          <w:sz w:val="22"/>
          <w:szCs w:val="22"/>
          <w:lang w:val="es-CO"/>
        </w:rPr>
        <w:t>4</w:t>
      </w:r>
      <w:r w:rsidR="00CB10D6" w:rsidRPr="004B37D2">
        <w:rPr>
          <w:rFonts w:cs="Arial"/>
          <w:b w:val="0"/>
          <w:iCs/>
          <w:sz w:val="22"/>
          <w:szCs w:val="22"/>
          <w:lang w:val="es-CO"/>
        </w:rPr>
        <w:t xml:space="preserve">.4.4 </w:t>
      </w:r>
      <w:r w:rsidR="00E9408B" w:rsidRPr="004B37D2">
        <w:rPr>
          <w:rFonts w:cs="Arial"/>
          <w:b w:val="0"/>
          <w:iCs/>
          <w:sz w:val="22"/>
          <w:szCs w:val="22"/>
          <w:lang w:val="es-CO"/>
        </w:rPr>
        <w:t>Descuido en el ejercicio del servicio público</w:t>
      </w:r>
    </w:p>
    <w:p w14:paraId="412CCE32" w14:textId="77777777" w:rsidR="003E716C" w:rsidRPr="00EC1202" w:rsidRDefault="003E716C" w:rsidP="003E716C">
      <w:pPr>
        <w:rPr>
          <w:rFonts w:cs="Arial"/>
          <w:sz w:val="22"/>
          <w:szCs w:val="22"/>
        </w:rPr>
      </w:pPr>
    </w:p>
    <w:p w14:paraId="6EEF3D70" w14:textId="77777777" w:rsidR="00A41CD3" w:rsidRPr="005738BE" w:rsidRDefault="00A41CD3" w:rsidP="00A41CD3">
      <w:pPr>
        <w:rPr>
          <w:rFonts w:cs="Arial"/>
          <w:sz w:val="22"/>
          <w:szCs w:val="22"/>
          <w:lang w:val="es-CO"/>
        </w:rPr>
      </w:pPr>
      <w:r w:rsidRPr="00D902B7">
        <w:rPr>
          <w:rFonts w:cs="Arial"/>
          <w:sz w:val="22"/>
          <w:szCs w:val="22"/>
          <w:lang w:val="es-CO"/>
        </w:rPr>
        <w:t xml:space="preserve">Esta </w:t>
      </w:r>
      <w:r w:rsidR="00F07EE0" w:rsidRPr="00D902B7">
        <w:rPr>
          <w:rFonts w:cs="Arial"/>
          <w:sz w:val="22"/>
          <w:szCs w:val="22"/>
          <w:lang w:val="es-CO"/>
        </w:rPr>
        <w:t xml:space="preserve">modalidad se presenta </w:t>
      </w:r>
      <w:r w:rsidR="008F76CF" w:rsidRPr="00D902B7">
        <w:rPr>
          <w:rFonts w:cs="Arial"/>
          <w:sz w:val="22"/>
          <w:szCs w:val="22"/>
          <w:lang w:val="es-CO"/>
        </w:rPr>
        <w:t xml:space="preserve">ante la </w:t>
      </w:r>
      <w:r w:rsidRPr="0028490D">
        <w:rPr>
          <w:rFonts w:cs="Arial"/>
          <w:sz w:val="22"/>
          <w:szCs w:val="22"/>
          <w:lang w:val="es-CO"/>
        </w:rPr>
        <w:t>ausencia de una debida diligencia en la gestión de cobro</w:t>
      </w:r>
      <w:r w:rsidR="00F07EE0" w:rsidRPr="005738BE">
        <w:rPr>
          <w:rFonts w:cs="Arial"/>
          <w:sz w:val="22"/>
          <w:szCs w:val="22"/>
          <w:lang w:val="es-CO"/>
        </w:rPr>
        <w:t xml:space="preserve"> a empresas particulares, por parte </w:t>
      </w:r>
      <w:r w:rsidRPr="005738BE">
        <w:rPr>
          <w:rFonts w:cs="Arial"/>
          <w:sz w:val="22"/>
          <w:szCs w:val="22"/>
          <w:lang w:val="es-CO"/>
        </w:rPr>
        <w:t>de una entidad pública.</w:t>
      </w:r>
    </w:p>
    <w:p w14:paraId="6B14D364" w14:textId="77777777" w:rsidR="00A41CD3" w:rsidRPr="005738BE" w:rsidRDefault="00A41CD3" w:rsidP="00A41CD3">
      <w:pPr>
        <w:rPr>
          <w:rFonts w:cs="Arial"/>
          <w:sz w:val="22"/>
          <w:szCs w:val="22"/>
          <w:lang w:val="es-CO"/>
        </w:rPr>
      </w:pPr>
    </w:p>
    <w:p w14:paraId="18FE9E23" w14:textId="77777777" w:rsidR="00A41CD3" w:rsidRPr="005738BE" w:rsidRDefault="00336F0A" w:rsidP="00A41CD3">
      <w:pPr>
        <w:rPr>
          <w:rFonts w:cs="Arial"/>
          <w:sz w:val="22"/>
          <w:szCs w:val="22"/>
          <w:lang w:val="es-CO"/>
        </w:rPr>
      </w:pPr>
      <w:r w:rsidRPr="005738BE">
        <w:rPr>
          <w:rFonts w:cs="Arial"/>
          <w:sz w:val="22"/>
          <w:szCs w:val="22"/>
          <w:lang w:val="es-CO"/>
        </w:rPr>
        <w:t>En efecto, l</w:t>
      </w:r>
      <w:r w:rsidR="00A41CD3" w:rsidRPr="005738BE">
        <w:rPr>
          <w:rFonts w:cs="Arial"/>
          <w:sz w:val="22"/>
          <w:szCs w:val="22"/>
          <w:lang w:val="es-CO"/>
        </w:rPr>
        <w:t xml:space="preserve">os funcionarios hacen caso omiso </w:t>
      </w:r>
      <w:r w:rsidRPr="005738BE">
        <w:rPr>
          <w:rFonts w:cs="Arial"/>
          <w:sz w:val="22"/>
          <w:szCs w:val="22"/>
          <w:lang w:val="es-CO"/>
        </w:rPr>
        <w:t xml:space="preserve">de </w:t>
      </w:r>
      <w:r w:rsidR="00A41CD3" w:rsidRPr="005738BE">
        <w:rPr>
          <w:rFonts w:cs="Arial"/>
          <w:sz w:val="22"/>
          <w:szCs w:val="22"/>
          <w:lang w:val="es-CO"/>
        </w:rPr>
        <w:t>sus obligaciones</w:t>
      </w:r>
      <w:r w:rsidR="00F07EE0" w:rsidRPr="005738BE">
        <w:rPr>
          <w:rFonts w:cs="Arial"/>
          <w:sz w:val="22"/>
          <w:szCs w:val="22"/>
          <w:lang w:val="es-CO"/>
        </w:rPr>
        <w:t xml:space="preserve"> de recaudo</w:t>
      </w:r>
      <w:r w:rsidR="00A41CD3" w:rsidRPr="005738BE">
        <w:rPr>
          <w:rFonts w:cs="Arial"/>
          <w:sz w:val="22"/>
          <w:szCs w:val="22"/>
          <w:lang w:val="es-CO"/>
        </w:rPr>
        <w:t xml:space="preserve">, </w:t>
      </w:r>
      <w:r w:rsidR="00F07EE0" w:rsidRPr="005738BE">
        <w:rPr>
          <w:rFonts w:cs="Arial"/>
          <w:sz w:val="22"/>
          <w:szCs w:val="22"/>
          <w:lang w:val="es-CO"/>
        </w:rPr>
        <w:t xml:space="preserve">de manera negligente, </w:t>
      </w:r>
      <w:r w:rsidRPr="005738BE">
        <w:rPr>
          <w:rFonts w:cs="Arial"/>
          <w:sz w:val="22"/>
          <w:szCs w:val="22"/>
          <w:lang w:val="es-CO"/>
        </w:rPr>
        <w:t xml:space="preserve">lo que genera un incremento </w:t>
      </w:r>
      <w:r w:rsidR="00A51B63" w:rsidRPr="005738BE">
        <w:rPr>
          <w:rFonts w:cs="Arial"/>
          <w:sz w:val="22"/>
          <w:szCs w:val="22"/>
          <w:lang w:val="es-CO"/>
        </w:rPr>
        <w:t>injustificado</w:t>
      </w:r>
      <w:r w:rsidR="00A41CD3" w:rsidRPr="005738BE">
        <w:rPr>
          <w:rFonts w:cs="Arial"/>
          <w:sz w:val="22"/>
          <w:szCs w:val="22"/>
          <w:lang w:val="es-CO"/>
        </w:rPr>
        <w:t xml:space="preserve"> </w:t>
      </w:r>
      <w:r w:rsidRPr="005738BE">
        <w:rPr>
          <w:rFonts w:cs="Arial"/>
          <w:sz w:val="22"/>
          <w:szCs w:val="22"/>
          <w:lang w:val="es-CO"/>
        </w:rPr>
        <w:t xml:space="preserve">en </w:t>
      </w:r>
      <w:r w:rsidR="00A41CD3" w:rsidRPr="005738BE">
        <w:rPr>
          <w:rFonts w:cs="Arial"/>
          <w:sz w:val="22"/>
          <w:szCs w:val="22"/>
          <w:lang w:val="es-CO"/>
        </w:rPr>
        <w:t>la cartera</w:t>
      </w:r>
      <w:r w:rsidR="00F07EE0" w:rsidRPr="005738BE">
        <w:rPr>
          <w:rFonts w:cs="Arial"/>
          <w:sz w:val="22"/>
          <w:szCs w:val="22"/>
          <w:lang w:val="es-CO"/>
        </w:rPr>
        <w:t xml:space="preserve"> adeudada</w:t>
      </w:r>
      <w:r w:rsidR="00A41CD3" w:rsidRPr="005738BE">
        <w:rPr>
          <w:rFonts w:cs="Arial"/>
          <w:sz w:val="22"/>
          <w:szCs w:val="22"/>
          <w:lang w:val="es-CO"/>
        </w:rPr>
        <w:t xml:space="preserve"> </w:t>
      </w:r>
      <w:r w:rsidR="00F07EE0" w:rsidRPr="005738BE">
        <w:rPr>
          <w:rFonts w:cs="Arial"/>
          <w:sz w:val="22"/>
          <w:szCs w:val="22"/>
          <w:lang w:val="es-CO"/>
        </w:rPr>
        <w:t>a</w:t>
      </w:r>
      <w:r w:rsidR="00A41CD3" w:rsidRPr="005738BE">
        <w:rPr>
          <w:rFonts w:cs="Arial"/>
          <w:sz w:val="22"/>
          <w:szCs w:val="22"/>
          <w:lang w:val="es-CO"/>
        </w:rPr>
        <w:t xml:space="preserve"> la entidad. Con dich</w:t>
      </w:r>
      <w:r w:rsidRPr="005738BE">
        <w:rPr>
          <w:rFonts w:cs="Arial"/>
          <w:sz w:val="22"/>
          <w:szCs w:val="22"/>
          <w:lang w:val="es-CO"/>
        </w:rPr>
        <w:t>a omisión</w:t>
      </w:r>
      <w:r w:rsidR="00A41CD3" w:rsidRPr="005738BE">
        <w:rPr>
          <w:rFonts w:cs="Arial"/>
          <w:sz w:val="22"/>
          <w:szCs w:val="22"/>
          <w:lang w:val="es-CO"/>
        </w:rPr>
        <w:t>, se desconoce el mandato de salvaguardia de los recursos públicos y el interés general.</w:t>
      </w:r>
    </w:p>
    <w:p w14:paraId="7B057376" w14:textId="77777777" w:rsidR="00A41CD3" w:rsidRPr="005738BE" w:rsidRDefault="00A41CD3" w:rsidP="003E716C">
      <w:pPr>
        <w:rPr>
          <w:rFonts w:cs="Arial"/>
          <w:sz w:val="22"/>
          <w:szCs w:val="22"/>
        </w:rPr>
      </w:pPr>
    </w:p>
    <w:p w14:paraId="1B2B7267" w14:textId="77777777" w:rsidR="00F839B0" w:rsidRPr="005738BE" w:rsidRDefault="00F839B0" w:rsidP="003E716C">
      <w:pPr>
        <w:rPr>
          <w:rFonts w:cs="Arial"/>
          <w:sz w:val="22"/>
          <w:szCs w:val="22"/>
        </w:rPr>
      </w:pPr>
    </w:p>
    <w:p w14:paraId="6CD088B2" w14:textId="7E778C0D" w:rsidR="00DC52F9" w:rsidRPr="004B37D2" w:rsidRDefault="00093DA0" w:rsidP="00093DA0">
      <w:pPr>
        <w:pStyle w:val="Ttulo"/>
        <w:rPr>
          <w:rFonts w:cs="Arial"/>
          <w:sz w:val="22"/>
          <w:szCs w:val="22"/>
        </w:rPr>
      </w:pPr>
      <w:r w:rsidRPr="004B37D2">
        <w:rPr>
          <w:rFonts w:cs="Arial"/>
          <w:sz w:val="22"/>
          <w:szCs w:val="22"/>
        </w:rPr>
        <w:lastRenderedPageBreak/>
        <w:t xml:space="preserve">LA SUPERINTENDENCIA DE SOCIEDADES Y LA LUCHA CONTRA EL SOBORNO </w:t>
      </w:r>
      <w:r w:rsidR="005738BE">
        <w:rPr>
          <w:rFonts w:cs="Arial"/>
          <w:sz w:val="22"/>
          <w:szCs w:val="22"/>
        </w:rPr>
        <w:t>TRANSNACIONAL</w:t>
      </w:r>
    </w:p>
    <w:p w14:paraId="1719061C" w14:textId="77777777" w:rsidR="00093DA0" w:rsidRPr="005738BE" w:rsidRDefault="00093DA0" w:rsidP="00DC52F9">
      <w:pPr>
        <w:pStyle w:val="Ttulo"/>
        <w:numPr>
          <w:ilvl w:val="0"/>
          <w:numId w:val="0"/>
        </w:numPr>
        <w:ind w:left="360"/>
        <w:rPr>
          <w:rFonts w:cs="Arial"/>
          <w:sz w:val="22"/>
          <w:szCs w:val="22"/>
        </w:rPr>
      </w:pPr>
    </w:p>
    <w:p w14:paraId="360C13F3" w14:textId="77777777" w:rsidR="00857FC7" w:rsidRPr="00EC1202" w:rsidRDefault="00857FC7" w:rsidP="00DC52F9">
      <w:pPr>
        <w:pStyle w:val="Ttulo"/>
        <w:numPr>
          <w:ilvl w:val="0"/>
          <w:numId w:val="0"/>
        </w:numPr>
        <w:ind w:left="360"/>
        <w:rPr>
          <w:rFonts w:cs="Arial"/>
          <w:sz w:val="22"/>
          <w:szCs w:val="22"/>
        </w:rPr>
      </w:pPr>
    </w:p>
    <w:p w14:paraId="08661877" w14:textId="4B44CC3A" w:rsidR="005E5EBF" w:rsidRPr="005738BE" w:rsidRDefault="00093DA0" w:rsidP="006F02F4">
      <w:pPr>
        <w:pStyle w:val="Ttulo2"/>
        <w:numPr>
          <w:ilvl w:val="0"/>
          <w:numId w:val="0"/>
        </w:numPr>
        <w:rPr>
          <w:rFonts w:cs="Arial"/>
          <w:sz w:val="22"/>
          <w:szCs w:val="22"/>
        </w:rPr>
      </w:pPr>
      <w:r w:rsidRPr="00D902B7">
        <w:rPr>
          <w:rFonts w:cs="Arial"/>
          <w:sz w:val="22"/>
          <w:szCs w:val="22"/>
        </w:rPr>
        <w:t>5.1 ¿</w:t>
      </w:r>
      <w:r w:rsidR="008933A3" w:rsidRPr="00D902B7">
        <w:rPr>
          <w:rFonts w:cs="Arial"/>
          <w:sz w:val="22"/>
          <w:szCs w:val="22"/>
        </w:rPr>
        <w:t xml:space="preserve">Cuáles son las competencias de la Superintendencia de Sociedades frente a posibles hechos de </w:t>
      </w:r>
      <w:r w:rsidR="00AD7EE4" w:rsidRPr="00D902B7">
        <w:rPr>
          <w:rFonts w:cs="Arial"/>
          <w:sz w:val="22"/>
          <w:szCs w:val="22"/>
        </w:rPr>
        <w:t xml:space="preserve">soborno </w:t>
      </w:r>
      <w:r w:rsidR="005738BE">
        <w:rPr>
          <w:rFonts w:cs="Arial"/>
          <w:sz w:val="22"/>
          <w:szCs w:val="22"/>
        </w:rPr>
        <w:t>transnacional</w:t>
      </w:r>
      <w:r w:rsidR="008933A3" w:rsidRPr="005738BE">
        <w:rPr>
          <w:rFonts w:cs="Arial"/>
          <w:sz w:val="22"/>
          <w:szCs w:val="22"/>
        </w:rPr>
        <w:t>?</w:t>
      </w:r>
      <w:bookmarkEnd w:id="11"/>
    </w:p>
    <w:p w14:paraId="4FC52FC6" w14:textId="77777777" w:rsidR="008933A3" w:rsidRPr="005738BE" w:rsidRDefault="008933A3" w:rsidP="008933A3">
      <w:pPr>
        <w:rPr>
          <w:rFonts w:cs="Arial"/>
          <w:sz w:val="22"/>
          <w:szCs w:val="22"/>
        </w:rPr>
      </w:pPr>
    </w:p>
    <w:p w14:paraId="5AC68EA7" w14:textId="77777777" w:rsidR="000A40B3" w:rsidRPr="005738BE" w:rsidRDefault="008933A3" w:rsidP="003C0A02">
      <w:pPr>
        <w:rPr>
          <w:rFonts w:cs="Arial"/>
          <w:sz w:val="22"/>
          <w:szCs w:val="22"/>
          <w:lang w:val="es-ES_tradnl"/>
        </w:rPr>
      </w:pPr>
      <w:r w:rsidRPr="005738BE">
        <w:rPr>
          <w:rFonts w:cs="Arial"/>
          <w:sz w:val="22"/>
          <w:szCs w:val="22"/>
          <w:lang w:val="es-ES_tradnl"/>
        </w:rPr>
        <w:t xml:space="preserve">La Ley 1778 de 2016 atribuyó a la Superintendencia de Sociedades amplias facultades para combatir </w:t>
      </w:r>
      <w:r w:rsidR="00AD7EE4" w:rsidRPr="005738BE">
        <w:rPr>
          <w:rFonts w:cs="Arial"/>
          <w:sz w:val="22"/>
          <w:szCs w:val="22"/>
          <w:lang w:val="es-ES_tradnl"/>
        </w:rPr>
        <w:t>el soborno internacional</w:t>
      </w:r>
      <w:r w:rsidRPr="005738BE">
        <w:rPr>
          <w:rFonts w:cs="Arial"/>
          <w:sz w:val="22"/>
          <w:szCs w:val="22"/>
          <w:lang w:val="es-ES_tradnl"/>
        </w:rPr>
        <w:t>.</w:t>
      </w:r>
      <w:r w:rsidR="00AD7EE4" w:rsidRPr="005738BE">
        <w:rPr>
          <w:rFonts w:cs="Arial"/>
          <w:sz w:val="22"/>
          <w:szCs w:val="22"/>
          <w:lang w:val="es-ES_tradnl"/>
        </w:rPr>
        <w:t xml:space="preserve"> </w:t>
      </w:r>
      <w:r w:rsidR="008E098D" w:rsidRPr="005738BE">
        <w:rPr>
          <w:rFonts w:cs="Arial"/>
          <w:sz w:val="22"/>
          <w:szCs w:val="22"/>
          <w:lang w:val="es-ES_tradnl"/>
        </w:rPr>
        <w:t>Así, de una parte,</w:t>
      </w:r>
      <w:r w:rsidRPr="005738BE">
        <w:rPr>
          <w:rFonts w:cs="Arial"/>
          <w:sz w:val="22"/>
          <w:szCs w:val="22"/>
          <w:lang w:val="es-ES_tradnl"/>
        </w:rPr>
        <w:t xml:space="preserve"> le otorgó funciones preventivas</w:t>
      </w:r>
      <w:r w:rsidR="00AD7EE4" w:rsidRPr="005738BE">
        <w:rPr>
          <w:rFonts w:cs="Arial"/>
          <w:sz w:val="22"/>
          <w:szCs w:val="22"/>
          <w:lang w:val="es-ES_tradnl"/>
        </w:rPr>
        <w:t xml:space="preserve">, tendentes a </w:t>
      </w:r>
      <w:r w:rsidRPr="005738BE">
        <w:rPr>
          <w:rFonts w:cs="Arial"/>
          <w:sz w:val="22"/>
          <w:szCs w:val="22"/>
          <w:lang w:val="es-ES_tradnl"/>
        </w:rPr>
        <w:t xml:space="preserve">promover en las personas jurídicas sujetas a su vigilancia la adopción de programas de transparencia y ética empresarial, de mecanismos internos de anticorrupción, </w:t>
      </w:r>
      <w:r w:rsidR="000A40B3" w:rsidRPr="005738BE">
        <w:rPr>
          <w:rFonts w:cs="Arial"/>
          <w:sz w:val="22"/>
          <w:szCs w:val="22"/>
          <w:lang w:val="es-ES_tradnl"/>
        </w:rPr>
        <w:t xml:space="preserve">de </w:t>
      </w:r>
      <w:r w:rsidRPr="005738BE">
        <w:rPr>
          <w:rFonts w:cs="Arial"/>
          <w:sz w:val="22"/>
          <w:szCs w:val="22"/>
          <w:lang w:val="es-ES_tradnl"/>
        </w:rPr>
        <w:t xml:space="preserve">normas </w:t>
      </w:r>
      <w:r w:rsidR="00AD7EE4" w:rsidRPr="005738BE">
        <w:rPr>
          <w:rFonts w:cs="Arial"/>
          <w:sz w:val="22"/>
          <w:szCs w:val="22"/>
          <w:lang w:val="es-ES_tradnl"/>
        </w:rPr>
        <w:t xml:space="preserve">internas </w:t>
      </w:r>
      <w:r w:rsidRPr="005738BE">
        <w:rPr>
          <w:rFonts w:cs="Arial"/>
          <w:sz w:val="22"/>
          <w:szCs w:val="22"/>
          <w:lang w:val="es-ES_tradnl"/>
        </w:rPr>
        <w:t>de auditoría</w:t>
      </w:r>
      <w:r w:rsidR="00AD7EE4" w:rsidRPr="005738BE">
        <w:rPr>
          <w:rFonts w:cs="Arial"/>
          <w:sz w:val="22"/>
          <w:szCs w:val="22"/>
          <w:lang w:val="es-ES_tradnl"/>
        </w:rPr>
        <w:t xml:space="preserve">, promoción de la transparencia </w:t>
      </w:r>
      <w:r w:rsidR="000A40B3" w:rsidRPr="005738BE">
        <w:rPr>
          <w:rFonts w:cs="Arial"/>
          <w:sz w:val="22"/>
          <w:szCs w:val="22"/>
          <w:lang w:val="es-ES_tradnl"/>
        </w:rPr>
        <w:t xml:space="preserve">y </w:t>
      </w:r>
      <w:r w:rsidR="00AD7EE4" w:rsidRPr="005738BE">
        <w:rPr>
          <w:rFonts w:cs="Arial"/>
          <w:sz w:val="22"/>
          <w:szCs w:val="22"/>
          <w:lang w:val="es-ES_tradnl"/>
        </w:rPr>
        <w:t>de mecanismo</w:t>
      </w:r>
      <w:r w:rsidR="008E098D" w:rsidRPr="005738BE">
        <w:rPr>
          <w:rFonts w:cs="Arial"/>
          <w:sz w:val="22"/>
          <w:szCs w:val="22"/>
          <w:lang w:val="es-ES_tradnl"/>
        </w:rPr>
        <w:t>s</w:t>
      </w:r>
      <w:r w:rsidR="00AD7EE4" w:rsidRPr="005738BE">
        <w:rPr>
          <w:rFonts w:cs="Arial"/>
          <w:sz w:val="22"/>
          <w:szCs w:val="22"/>
          <w:lang w:val="es-ES_tradnl"/>
        </w:rPr>
        <w:t xml:space="preserve"> de prevención</w:t>
      </w:r>
      <w:r w:rsidR="000A40B3" w:rsidRPr="005738BE">
        <w:rPr>
          <w:rFonts w:cs="Arial"/>
          <w:sz w:val="22"/>
          <w:szCs w:val="22"/>
          <w:lang w:val="es-ES_tradnl"/>
        </w:rPr>
        <w:t xml:space="preserve"> de conductas de soborno internacional</w:t>
      </w:r>
      <w:r w:rsidRPr="005738BE">
        <w:rPr>
          <w:rFonts w:cs="Arial"/>
          <w:sz w:val="22"/>
          <w:szCs w:val="22"/>
          <w:lang w:val="es-ES_tradnl"/>
        </w:rPr>
        <w:t xml:space="preserve">. </w:t>
      </w:r>
    </w:p>
    <w:p w14:paraId="0E5B80B3" w14:textId="77777777" w:rsidR="00126022" w:rsidRPr="005738BE" w:rsidRDefault="00126022" w:rsidP="003C0A02">
      <w:pPr>
        <w:rPr>
          <w:rFonts w:cs="Arial"/>
          <w:sz w:val="22"/>
          <w:szCs w:val="22"/>
          <w:lang w:val="es-ES_tradnl"/>
        </w:rPr>
      </w:pPr>
    </w:p>
    <w:p w14:paraId="6765194F" w14:textId="748044B2" w:rsidR="00634C80" w:rsidRPr="005738BE" w:rsidRDefault="008E098D" w:rsidP="00547720">
      <w:pPr>
        <w:rPr>
          <w:rFonts w:cs="Arial"/>
          <w:sz w:val="22"/>
          <w:szCs w:val="22"/>
          <w:lang w:val="es-ES_tradnl"/>
        </w:rPr>
      </w:pPr>
      <w:r w:rsidRPr="005738BE">
        <w:rPr>
          <w:rFonts w:cs="Arial"/>
          <w:sz w:val="22"/>
          <w:szCs w:val="22"/>
          <w:lang w:val="es-ES_tradnl"/>
        </w:rPr>
        <w:t xml:space="preserve">Adicionalmente, </w:t>
      </w:r>
      <w:r w:rsidR="00547720" w:rsidRPr="005738BE">
        <w:rPr>
          <w:rFonts w:cs="Arial"/>
          <w:sz w:val="22"/>
          <w:szCs w:val="22"/>
          <w:lang w:val="es-ES_tradnl"/>
        </w:rPr>
        <w:t xml:space="preserve">la referida norma </w:t>
      </w:r>
      <w:r w:rsidRPr="005738BE">
        <w:rPr>
          <w:rFonts w:cs="Arial"/>
          <w:sz w:val="22"/>
          <w:szCs w:val="22"/>
          <w:lang w:val="es-ES_tradnl"/>
        </w:rPr>
        <w:t xml:space="preserve">le </w:t>
      </w:r>
      <w:r w:rsidR="00547720" w:rsidRPr="005738BE">
        <w:rPr>
          <w:rFonts w:cs="Arial"/>
          <w:sz w:val="22"/>
          <w:szCs w:val="22"/>
          <w:lang w:val="es-ES_tradnl"/>
        </w:rPr>
        <w:t xml:space="preserve">confirió a la Superintendencia de Sociedades facultades de investigación y sanción </w:t>
      </w:r>
      <w:r w:rsidR="00AD7EE4" w:rsidRPr="005738BE">
        <w:rPr>
          <w:rFonts w:cs="Arial"/>
          <w:sz w:val="22"/>
          <w:szCs w:val="22"/>
          <w:lang w:val="es-ES_tradnl"/>
        </w:rPr>
        <w:t xml:space="preserve">de los posibles </w:t>
      </w:r>
      <w:r w:rsidR="00547720" w:rsidRPr="005738BE">
        <w:rPr>
          <w:rFonts w:cs="Arial"/>
          <w:sz w:val="22"/>
          <w:szCs w:val="22"/>
          <w:lang w:val="es-ES_tradnl"/>
        </w:rPr>
        <w:t>hechos de soborno internacional</w:t>
      </w:r>
      <w:r w:rsidR="00F1160C">
        <w:rPr>
          <w:rFonts w:cs="Arial"/>
          <w:sz w:val="22"/>
          <w:szCs w:val="22"/>
          <w:lang w:val="es-ES_tradnl"/>
        </w:rPr>
        <w:t xml:space="preserve"> respecto de cualquier sociedad colombiana o sucursal de sociedad extranjera, independientemente de que se encuentre bajo la inspección, vigilancia y control de otra entidad</w:t>
      </w:r>
      <w:r w:rsidR="00547720" w:rsidRPr="005738BE">
        <w:rPr>
          <w:rFonts w:cs="Arial"/>
          <w:sz w:val="22"/>
          <w:szCs w:val="22"/>
          <w:lang w:val="es-ES_tradnl"/>
        </w:rPr>
        <w:t xml:space="preserve">. </w:t>
      </w:r>
    </w:p>
    <w:p w14:paraId="2C88D413" w14:textId="77777777" w:rsidR="004F482F" w:rsidRPr="005738BE" w:rsidRDefault="004F482F" w:rsidP="003C0A02">
      <w:pPr>
        <w:rPr>
          <w:rFonts w:cs="Arial"/>
          <w:sz w:val="22"/>
          <w:szCs w:val="22"/>
          <w:lang w:val="es-ES_tradnl"/>
        </w:rPr>
      </w:pPr>
    </w:p>
    <w:p w14:paraId="183CB7B8" w14:textId="5FD15163" w:rsidR="00822B62" w:rsidRPr="00FB10EA" w:rsidRDefault="00093DA0" w:rsidP="006F02F4">
      <w:pPr>
        <w:pStyle w:val="Ttulo2"/>
        <w:numPr>
          <w:ilvl w:val="0"/>
          <w:numId w:val="0"/>
        </w:numPr>
        <w:rPr>
          <w:rFonts w:cs="Arial"/>
          <w:sz w:val="22"/>
          <w:szCs w:val="22"/>
          <w:lang w:val="es-ES_tradnl"/>
        </w:rPr>
      </w:pPr>
      <w:r w:rsidRPr="005738BE">
        <w:rPr>
          <w:rFonts w:cs="Arial"/>
          <w:sz w:val="22"/>
          <w:szCs w:val="22"/>
          <w:lang w:val="es-ES_tradnl"/>
        </w:rPr>
        <w:t>5</w:t>
      </w:r>
      <w:r w:rsidR="00CB10D6" w:rsidRPr="005738BE">
        <w:rPr>
          <w:rFonts w:cs="Arial"/>
          <w:sz w:val="22"/>
          <w:szCs w:val="22"/>
          <w:lang w:val="es-ES_tradnl"/>
        </w:rPr>
        <w:t xml:space="preserve">.2 </w:t>
      </w:r>
      <w:r w:rsidR="00634C80" w:rsidRPr="005738BE">
        <w:rPr>
          <w:rFonts w:cs="Arial"/>
          <w:sz w:val="22"/>
          <w:szCs w:val="22"/>
          <w:lang w:val="es-ES_tradnl"/>
        </w:rPr>
        <w:t xml:space="preserve">¿Qué puede hacer la Superintendencia de Sociedades para descubrir el </w:t>
      </w:r>
      <w:r w:rsidR="0059073B" w:rsidRPr="005738BE">
        <w:rPr>
          <w:rFonts w:cs="Arial"/>
          <w:sz w:val="22"/>
          <w:szCs w:val="22"/>
          <w:lang w:val="es-ES_tradnl"/>
        </w:rPr>
        <w:t>s</w:t>
      </w:r>
      <w:r w:rsidR="00AD7EE4" w:rsidRPr="005738BE">
        <w:rPr>
          <w:rFonts w:cs="Arial"/>
          <w:sz w:val="22"/>
          <w:szCs w:val="22"/>
          <w:lang w:val="es-ES_tradnl"/>
        </w:rPr>
        <w:t xml:space="preserve">oborno </w:t>
      </w:r>
      <w:r w:rsidR="00FB10EA">
        <w:rPr>
          <w:rFonts w:cs="Arial"/>
          <w:sz w:val="22"/>
          <w:szCs w:val="22"/>
          <w:lang w:val="es-ES_tradnl"/>
        </w:rPr>
        <w:t>transnacional</w:t>
      </w:r>
      <w:r w:rsidR="00634C80" w:rsidRPr="00FB10EA">
        <w:rPr>
          <w:rFonts w:cs="Arial"/>
          <w:sz w:val="22"/>
          <w:szCs w:val="22"/>
          <w:lang w:val="es-ES_tradnl"/>
        </w:rPr>
        <w:t>?</w:t>
      </w:r>
    </w:p>
    <w:p w14:paraId="6C60C703" w14:textId="77777777" w:rsidR="00547720" w:rsidRPr="00EC1202" w:rsidRDefault="00547720" w:rsidP="00CB60D9">
      <w:pPr>
        <w:rPr>
          <w:rFonts w:cs="Arial"/>
          <w:sz w:val="22"/>
          <w:szCs w:val="22"/>
          <w:lang w:val="es-ES_tradnl"/>
        </w:rPr>
      </w:pPr>
    </w:p>
    <w:p w14:paraId="57BFAEA2" w14:textId="7C2C3B5F" w:rsidR="00547720" w:rsidRPr="00D902B7" w:rsidRDefault="00AD7EE4" w:rsidP="00CB60D9">
      <w:pPr>
        <w:rPr>
          <w:rFonts w:cs="Arial"/>
          <w:sz w:val="22"/>
          <w:szCs w:val="22"/>
          <w:lang w:val="es-ES_tradnl"/>
        </w:rPr>
      </w:pPr>
      <w:r w:rsidRPr="00D902B7">
        <w:rPr>
          <w:rFonts w:cs="Arial"/>
          <w:sz w:val="22"/>
          <w:szCs w:val="22"/>
          <w:lang w:val="es-ES_tradnl"/>
        </w:rPr>
        <w:t xml:space="preserve">Con el fin de establecer </w:t>
      </w:r>
      <w:r w:rsidR="00CB60D9" w:rsidRPr="00D902B7">
        <w:rPr>
          <w:rFonts w:cs="Arial"/>
          <w:sz w:val="22"/>
          <w:szCs w:val="22"/>
          <w:lang w:val="es-ES_tradnl"/>
        </w:rPr>
        <w:t>la</w:t>
      </w:r>
      <w:r w:rsidRPr="00D902B7">
        <w:rPr>
          <w:rFonts w:cs="Arial"/>
          <w:sz w:val="22"/>
          <w:szCs w:val="22"/>
          <w:lang w:val="es-ES_tradnl"/>
        </w:rPr>
        <w:t xml:space="preserve"> existencia de posibles hechos relacionados con </w:t>
      </w:r>
      <w:r w:rsidR="00BD7228" w:rsidRPr="0028490D">
        <w:rPr>
          <w:rFonts w:cs="Arial"/>
          <w:sz w:val="22"/>
          <w:szCs w:val="22"/>
          <w:lang w:val="es-ES_tradnl"/>
        </w:rPr>
        <w:t>el</w:t>
      </w:r>
      <w:r w:rsidRPr="005738BE">
        <w:rPr>
          <w:rFonts w:cs="Arial"/>
          <w:sz w:val="22"/>
          <w:szCs w:val="22"/>
          <w:lang w:val="es-ES_tradnl"/>
        </w:rPr>
        <w:t xml:space="preserve"> soborno </w:t>
      </w:r>
      <w:r w:rsidR="005738BE">
        <w:rPr>
          <w:rFonts w:cs="Arial"/>
          <w:sz w:val="22"/>
          <w:szCs w:val="22"/>
          <w:lang w:val="es-ES_tradnl"/>
        </w:rPr>
        <w:t>transnacional</w:t>
      </w:r>
      <w:r w:rsidR="00BD7228" w:rsidRPr="005738BE">
        <w:rPr>
          <w:rFonts w:cs="Arial"/>
          <w:sz w:val="22"/>
          <w:szCs w:val="22"/>
          <w:lang w:val="es-ES_tradnl"/>
        </w:rPr>
        <w:t>,</w:t>
      </w:r>
      <w:r w:rsidRPr="00FB10EA">
        <w:rPr>
          <w:rFonts w:cs="Arial"/>
          <w:sz w:val="22"/>
          <w:szCs w:val="22"/>
          <w:lang w:val="es-ES_tradnl"/>
        </w:rPr>
        <w:t xml:space="preserve"> </w:t>
      </w:r>
      <w:r w:rsidR="00CB60D9" w:rsidRPr="00EC1202">
        <w:rPr>
          <w:rFonts w:cs="Arial"/>
          <w:sz w:val="22"/>
          <w:szCs w:val="22"/>
          <w:lang w:val="es-ES_tradnl"/>
        </w:rPr>
        <w:t>esta entidad</w:t>
      </w:r>
      <w:r w:rsidR="0033601E" w:rsidRPr="00D902B7">
        <w:rPr>
          <w:rFonts w:cs="Arial"/>
          <w:sz w:val="22"/>
          <w:szCs w:val="22"/>
          <w:lang w:val="es-ES_tradnl"/>
        </w:rPr>
        <w:t xml:space="preserve"> puede </w:t>
      </w:r>
      <w:r w:rsidR="00547720" w:rsidRPr="00D902B7">
        <w:rPr>
          <w:rFonts w:cs="Arial"/>
          <w:sz w:val="22"/>
          <w:szCs w:val="22"/>
          <w:lang w:val="es-ES_tradnl"/>
        </w:rPr>
        <w:t>adelantar las siguientes actividades</w:t>
      </w:r>
      <w:r w:rsidRPr="00D902B7">
        <w:rPr>
          <w:rFonts w:cs="Arial"/>
          <w:sz w:val="22"/>
          <w:szCs w:val="22"/>
          <w:lang w:val="es-ES_tradnl"/>
        </w:rPr>
        <w:t>:</w:t>
      </w:r>
      <w:r w:rsidR="00547720" w:rsidRPr="00D902B7">
        <w:rPr>
          <w:rFonts w:cs="Arial"/>
          <w:sz w:val="22"/>
          <w:szCs w:val="22"/>
          <w:lang w:val="es-ES_tradnl"/>
        </w:rPr>
        <w:t xml:space="preserve"> </w:t>
      </w:r>
    </w:p>
    <w:p w14:paraId="6F9B5018" w14:textId="77777777" w:rsidR="00CB60D9" w:rsidRPr="005738BE" w:rsidRDefault="00CB60D9" w:rsidP="00CB60D9">
      <w:pPr>
        <w:rPr>
          <w:rFonts w:cs="Arial"/>
          <w:sz w:val="22"/>
          <w:szCs w:val="22"/>
          <w:lang w:val="es-ES_tradnl"/>
        </w:rPr>
      </w:pPr>
    </w:p>
    <w:p w14:paraId="345CA15B" w14:textId="77777777" w:rsidR="00547720" w:rsidRPr="005738BE" w:rsidRDefault="00CB60D9" w:rsidP="00A41CD3">
      <w:pPr>
        <w:pStyle w:val="Prrafodelista"/>
        <w:numPr>
          <w:ilvl w:val="0"/>
          <w:numId w:val="2"/>
        </w:numPr>
        <w:rPr>
          <w:rFonts w:cs="Arial"/>
          <w:sz w:val="22"/>
          <w:szCs w:val="22"/>
          <w:lang w:val="es-ES_tradnl"/>
        </w:rPr>
      </w:pPr>
      <w:r w:rsidRPr="005738BE">
        <w:rPr>
          <w:rFonts w:cs="Arial"/>
          <w:sz w:val="22"/>
          <w:szCs w:val="22"/>
          <w:lang w:val="es-ES_tradnl"/>
        </w:rPr>
        <w:t>Realizar visitas de inspección</w:t>
      </w:r>
      <w:r w:rsidR="00547720" w:rsidRPr="005738BE">
        <w:rPr>
          <w:rFonts w:cs="Arial"/>
          <w:sz w:val="22"/>
          <w:szCs w:val="22"/>
          <w:lang w:val="es-ES_tradnl"/>
        </w:rPr>
        <w:t xml:space="preserve"> para </w:t>
      </w:r>
      <w:r w:rsidR="0033601E" w:rsidRPr="005738BE">
        <w:rPr>
          <w:rFonts w:cs="Arial"/>
          <w:sz w:val="22"/>
          <w:szCs w:val="22"/>
          <w:lang w:val="es-ES_tradnl"/>
        </w:rPr>
        <w:t xml:space="preserve">recopilar </w:t>
      </w:r>
      <w:r w:rsidR="00547720" w:rsidRPr="005738BE">
        <w:rPr>
          <w:rFonts w:cs="Arial"/>
          <w:sz w:val="22"/>
          <w:szCs w:val="22"/>
          <w:lang w:val="es-ES_tradnl"/>
        </w:rPr>
        <w:t>información</w:t>
      </w:r>
      <w:r w:rsidRPr="005738BE">
        <w:rPr>
          <w:rFonts w:cs="Arial"/>
          <w:sz w:val="22"/>
          <w:szCs w:val="22"/>
          <w:lang w:val="es-ES_tradnl"/>
        </w:rPr>
        <w:t>,</w:t>
      </w:r>
      <w:r w:rsidR="00547720" w:rsidRPr="005738BE">
        <w:rPr>
          <w:rFonts w:cs="Arial"/>
          <w:sz w:val="22"/>
          <w:szCs w:val="22"/>
          <w:lang w:val="es-ES_tradnl"/>
        </w:rPr>
        <w:t xml:space="preserve"> </w:t>
      </w:r>
      <w:r w:rsidR="0033601E" w:rsidRPr="005738BE">
        <w:rPr>
          <w:rFonts w:cs="Arial"/>
          <w:sz w:val="22"/>
          <w:szCs w:val="22"/>
          <w:lang w:val="es-ES_tradnl"/>
        </w:rPr>
        <w:t xml:space="preserve">lo </w:t>
      </w:r>
      <w:r w:rsidR="00547720" w:rsidRPr="005738BE">
        <w:rPr>
          <w:rFonts w:cs="Arial"/>
          <w:sz w:val="22"/>
          <w:szCs w:val="22"/>
          <w:lang w:val="es-ES_tradnl"/>
        </w:rPr>
        <w:t>que puede incluir la captura de datos de equipos móviles y de cómputo.</w:t>
      </w:r>
      <w:r w:rsidRPr="005738BE">
        <w:rPr>
          <w:rFonts w:cs="Arial"/>
          <w:sz w:val="22"/>
          <w:szCs w:val="22"/>
          <w:lang w:val="es-ES_tradnl"/>
        </w:rPr>
        <w:t xml:space="preserve"> </w:t>
      </w:r>
    </w:p>
    <w:p w14:paraId="60A6E49E" w14:textId="77777777" w:rsidR="00547720" w:rsidRPr="005738BE" w:rsidRDefault="00547720" w:rsidP="00547720">
      <w:pPr>
        <w:pStyle w:val="Prrafodelista"/>
        <w:ind w:left="720"/>
        <w:rPr>
          <w:rFonts w:cs="Arial"/>
          <w:sz w:val="22"/>
          <w:szCs w:val="22"/>
          <w:lang w:val="es-ES_tradnl"/>
        </w:rPr>
      </w:pPr>
    </w:p>
    <w:p w14:paraId="7D9D62F4" w14:textId="47EEA7BE" w:rsidR="005538B3" w:rsidRPr="005738BE" w:rsidRDefault="005538B3" w:rsidP="005538B3">
      <w:pPr>
        <w:pStyle w:val="Prrafodelista"/>
        <w:numPr>
          <w:ilvl w:val="0"/>
          <w:numId w:val="2"/>
        </w:numPr>
        <w:rPr>
          <w:rFonts w:cs="Arial"/>
          <w:sz w:val="22"/>
          <w:szCs w:val="22"/>
          <w:lang w:val="es-ES_tradnl"/>
        </w:rPr>
      </w:pPr>
      <w:r w:rsidRPr="005738BE">
        <w:rPr>
          <w:rFonts w:cs="Arial"/>
          <w:sz w:val="22"/>
          <w:szCs w:val="22"/>
          <w:lang w:val="es-ES_tradnl"/>
        </w:rPr>
        <w:t xml:space="preserve">Solicitar a las personas naturales y jurídicas el suministro de datos, informes, libros y papeles de comercio que se requieran para el esclarecimiento de los hechos que son objeto de investigación, en la forma y términos que </w:t>
      </w:r>
      <w:r w:rsidR="005738BE">
        <w:rPr>
          <w:rFonts w:cs="Arial"/>
          <w:sz w:val="22"/>
          <w:szCs w:val="22"/>
          <w:lang w:val="es-ES_tradnl"/>
        </w:rPr>
        <w:t>e</w:t>
      </w:r>
      <w:r w:rsidRPr="005738BE">
        <w:rPr>
          <w:rFonts w:cs="Arial"/>
          <w:sz w:val="22"/>
          <w:szCs w:val="22"/>
          <w:lang w:val="es-ES_tradnl"/>
        </w:rPr>
        <w:t>sta entidad determine.</w:t>
      </w:r>
    </w:p>
    <w:p w14:paraId="19EA1784" w14:textId="77777777" w:rsidR="00547720" w:rsidRPr="005738BE" w:rsidRDefault="00547720" w:rsidP="00872764">
      <w:pPr>
        <w:rPr>
          <w:rFonts w:cs="Arial"/>
          <w:sz w:val="22"/>
          <w:szCs w:val="22"/>
          <w:lang w:val="es-ES_tradnl"/>
        </w:rPr>
      </w:pPr>
    </w:p>
    <w:p w14:paraId="4494D395" w14:textId="77777777" w:rsidR="00547720" w:rsidRPr="005738BE" w:rsidRDefault="00547720" w:rsidP="00547720">
      <w:pPr>
        <w:pStyle w:val="Prrafodelista"/>
        <w:numPr>
          <w:ilvl w:val="0"/>
          <w:numId w:val="2"/>
        </w:numPr>
        <w:rPr>
          <w:rFonts w:cs="Arial"/>
          <w:sz w:val="22"/>
          <w:szCs w:val="22"/>
          <w:lang w:val="es-ES_tradnl"/>
        </w:rPr>
      </w:pPr>
      <w:r w:rsidRPr="005738BE">
        <w:rPr>
          <w:rFonts w:cs="Arial"/>
          <w:sz w:val="22"/>
          <w:szCs w:val="22"/>
          <w:lang w:val="es-ES_tradnl"/>
        </w:rPr>
        <w:t>Decretar y practicar las pruebas que considere necesarias y conducentes para establecer la veracidad o la existencia de los hechos investigados.</w:t>
      </w:r>
    </w:p>
    <w:p w14:paraId="1C85D08D" w14:textId="77777777" w:rsidR="00547720" w:rsidRPr="005738BE" w:rsidRDefault="00547720" w:rsidP="00547720">
      <w:pPr>
        <w:pStyle w:val="Prrafodelista"/>
        <w:rPr>
          <w:rFonts w:cs="Arial"/>
          <w:sz w:val="22"/>
          <w:szCs w:val="22"/>
          <w:lang w:val="es-ES_tradnl"/>
        </w:rPr>
      </w:pPr>
    </w:p>
    <w:p w14:paraId="549E6765" w14:textId="29A60428" w:rsidR="0092004E" w:rsidRPr="005738BE" w:rsidRDefault="0092004E" w:rsidP="00872764">
      <w:pPr>
        <w:pStyle w:val="Prrafodelista"/>
        <w:numPr>
          <w:ilvl w:val="0"/>
          <w:numId w:val="2"/>
        </w:numPr>
        <w:rPr>
          <w:rFonts w:cs="Arial"/>
          <w:sz w:val="22"/>
          <w:szCs w:val="22"/>
          <w:lang w:val="es-ES_tradnl"/>
        </w:rPr>
      </w:pPr>
      <w:r w:rsidRPr="005738BE">
        <w:rPr>
          <w:rFonts w:cs="Arial"/>
          <w:sz w:val="22"/>
          <w:szCs w:val="22"/>
          <w:lang w:val="es-ES_tradnl"/>
        </w:rPr>
        <w:t>R</w:t>
      </w:r>
      <w:r w:rsidR="00547720" w:rsidRPr="005738BE">
        <w:rPr>
          <w:rFonts w:cs="Arial"/>
          <w:sz w:val="22"/>
          <w:szCs w:val="22"/>
          <w:lang w:val="es-ES_tradnl"/>
        </w:rPr>
        <w:t xml:space="preserve">ecaudar toda la información conducente a efectos de esclarecer los posibles hechos de soborno </w:t>
      </w:r>
      <w:r w:rsidR="005738BE">
        <w:rPr>
          <w:rFonts w:cs="Arial"/>
          <w:sz w:val="22"/>
          <w:szCs w:val="22"/>
          <w:lang w:val="es-ES_tradnl"/>
        </w:rPr>
        <w:t>transnacional.</w:t>
      </w:r>
    </w:p>
    <w:p w14:paraId="5BF1740B" w14:textId="77777777" w:rsidR="0092004E" w:rsidRPr="005738BE" w:rsidRDefault="0092004E" w:rsidP="0092004E">
      <w:pPr>
        <w:pStyle w:val="Prrafodelista"/>
        <w:ind w:left="720"/>
        <w:rPr>
          <w:rFonts w:cs="Arial"/>
          <w:sz w:val="22"/>
          <w:szCs w:val="22"/>
          <w:lang w:val="es-ES_tradnl"/>
        </w:rPr>
      </w:pPr>
    </w:p>
    <w:p w14:paraId="58FDA87B" w14:textId="77777777" w:rsidR="0092004E" w:rsidRPr="005738BE" w:rsidRDefault="0092004E" w:rsidP="00547720">
      <w:pPr>
        <w:pStyle w:val="Prrafodelista"/>
        <w:numPr>
          <w:ilvl w:val="0"/>
          <w:numId w:val="2"/>
        </w:numPr>
        <w:rPr>
          <w:rFonts w:cs="Arial"/>
          <w:sz w:val="22"/>
          <w:szCs w:val="22"/>
          <w:lang w:val="es-ES_tradnl"/>
        </w:rPr>
      </w:pPr>
      <w:r w:rsidRPr="005738BE">
        <w:rPr>
          <w:rFonts w:cs="Arial"/>
          <w:sz w:val="22"/>
          <w:szCs w:val="22"/>
          <w:lang w:val="es-ES_tradnl"/>
        </w:rPr>
        <w:t>Practicar interrogatorios.</w:t>
      </w:r>
    </w:p>
    <w:p w14:paraId="16355266" w14:textId="77777777" w:rsidR="0092004E" w:rsidRPr="005738BE" w:rsidRDefault="0092004E" w:rsidP="0092004E">
      <w:pPr>
        <w:pStyle w:val="Prrafodelista"/>
        <w:rPr>
          <w:rFonts w:cs="Arial"/>
          <w:sz w:val="22"/>
          <w:szCs w:val="22"/>
          <w:lang w:val="es-ES_tradnl"/>
        </w:rPr>
      </w:pPr>
    </w:p>
    <w:p w14:paraId="16A6D31F" w14:textId="77777777" w:rsidR="00547720" w:rsidRPr="005738BE" w:rsidRDefault="005538B3" w:rsidP="00547720">
      <w:pPr>
        <w:pStyle w:val="Prrafodelista"/>
        <w:numPr>
          <w:ilvl w:val="0"/>
          <w:numId w:val="2"/>
        </w:numPr>
        <w:rPr>
          <w:rFonts w:cs="Arial"/>
          <w:sz w:val="22"/>
          <w:szCs w:val="22"/>
          <w:lang w:val="es-ES_tradnl"/>
        </w:rPr>
      </w:pPr>
      <w:r w:rsidRPr="005738BE">
        <w:rPr>
          <w:rFonts w:cs="Arial"/>
          <w:sz w:val="22"/>
          <w:szCs w:val="22"/>
          <w:lang w:val="es-ES_tradnl"/>
        </w:rPr>
        <w:t>Llevar a cabo todas las</w:t>
      </w:r>
      <w:r w:rsidR="00547720" w:rsidRPr="005738BE">
        <w:rPr>
          <w:rFonts w:cs="Arial"/>
          <w:sz w:val="22"/>
          <w:szCs w:val="22"/>
          <w:lang w:val="es-ES_tradnl"/>
        </w:rPr>
        <w:t xml:space="preserve"> actividad</w:t>
      </w:r>
      <w:r w:rsidRPr="005738BE">
        <w:rPr>
          <w:rFonts w:cs="Arial"/>
          <w:sz w:val="22"/>
          <w:szCs w:val="22"/>
          <w:lang w:val="es-ES_tradnl"/>
        </w:rPr>
        <w:t>es</w:t>
      </w:r>
      <w:r w:rsidR="00547720" w:rsidRPr="005738BE">
        <w:rPr>
          <w:rFonts w:cs="Arial"/>
          <w:sz w:val="22"/>
          <w:szCs w:val="22"/>
          <w:lang w:val="es-ES_tradnl"/>
        </w:rPr>
        <w:t xml:space="preserve"> que la ley le </w:t>
      </w:r>
      <w:r w:rsidRPr="005738BE">
        <w:rPr>
          <w:rFonts w:cs="Arial"/>
          <w:sz w:val="22"/>
          <w:szCs w:val="22"/>
          <w:lang w:val="es-ES_tradnl"/>
        </w:rPr>
        <w:t xml:space="preserve">confiere </w:t>
      </w:r>
      <w:r w:rsidR="00547720" w:rsidRPr="005738BE">
        <w:rPr>
          <w:rFonts w:cs="Arial"/>
          <w:sz w:val="22"/>
          <w:szCs w:val="22"/>
          <w:lang w:val="es-ES_tradnl"/>
        </w:rPr>
        <w:t>para el ejercicio de sus funciones de inspección, vigilancia y control.</w:t>
      </w:r>
    </w:p>
    <w:p w14:paraId="18FE0B5B" w14:textId="77777777" w:rsidR="0092004E" w:rsidRPr="005738BE" w:rsidRDefault="0092004E" w:rsidP="0092004E">
      <w:pPr>
        <w:rPr>
          <w:rFonts w:cs="Arial"/>
          <w:sz w:val="22"/>
          <w:szCs w:val="22"/>
          <w:lang w:val="es-ES_tradnl"/>
        </w:rPr>
      </w:pPr>
    </w:p>
    <w:p w14:paraId="65065349" w14:textId="60FA4E18" w:rsidR="005538B3" w:rsidRPr="005738BE" w:rsidRDefault="0092004E" w:rsidP="0092004E">
      <w:pPr>
        <w:rPr>
          <w:rFonts w:cs="Arial"/>
          <w:sz w:val="22"/>
          <w:szCs w:val="22"/>
          <w:lang w:val="es-ES_tradnl"/>
        </w:rPr>
      </w:pPr>
      <w:r w:rsidRPr="005738BE">
        <w:rPr>
          <w:rFonts w:cs="Arial"/>
          <w:sz w:val="22"/>
          <w:szCs w:val="22"/>
          <w:lang w:val="es-ES_tradnl"/>
        </w:rPr>
        <w:t>L</w:t>
      </w:r>
      <w:r w:rsidR="00547720" w:rsidRPr="005738BE">
        <w:rPr>
          <w:rFonts w:cs="Arial"/>
          <w:sz w:val="22"/>
          <w:szCs w:val="22"/>
          <w:lang w:val="es-ES_tradnl"/>
        </w:rPr>
        <w:t>as investigaciones que adelanta la Superintendencia de Sociedades son de carácter administrativo</w:t>
      </w:r>
      <w:r w:rsidR="005538B3" w:rsidRPr="005738BE">
        <w:rPr>
          <w:rFonts w:cs="Arial"/>
          <w:sz w:val="22"/>
          <w:szCs w:val="22"/>
          <w:lang w:val="es-ES_tradnl"/>
        </w:rPr>
        <w:t xml:space="preserve">. Adicionalmente, puede colaborar </w:t>
      </w:r>
      <w:r w:rsidR="00547720" w:rsidRPr="005738BE">
        <w:rPr>
          <w:rFonts w:cs="Arial"/>
          <w:sz w:val="22"/>
          <w:szCs w:val="22"/>
          <w:lang w:val="es-ES_tradnl"/>
        </w:rPr>
        <w:t xml:space="preserve">con la </w:t>
      </w:r>
      <w:proofErr w:type="gramStart"/>
      <w:r w:rsidR="00547720" w:rsidRPr="005738BE">
        <w:rPr>
          <w:rFonts w:cs="Arial"/>
          <w:sz w:val="22"/>
          <w:szCs w:val="22"/>
          <w:lang w:val="es-ES_tradnl"/>
        </w:rPr>
        <w:t>Fiscalía General</w:t>
      </w:r>
      <w:proofErr w:type="gramEnd"/>
      <w:r w:rsidR="00547720" w:rsidRPr="005738BE">
        <w:rPr>
          <w:rFonts w:cs="Arial"/>
          <w:sz w:val="22"/>
          <w:szCs w:val="22"/>
          <w:lang w:val="es-ES_tradnl"/>
        </w:rPr>
        <w:t xml:space="preserve"> de la Nación</w:t>
      </w:r>
      <w:r w:rsidR="005538B3" w:rsidRPr="005738BE">
        <w:rPr>
          <w:rFonts w:cs="Arial"/>
          <w:sz w:val="22"/>
          <w:szCs w:val="22"/>
          <w:lang w:val="es-ES_tradnl"/>
        </w:rPr>
        <w:t xml:space="preserve"> en las </w:t>
      </w:r>
      <w:r w:rsidR="005538B3" w:rsidRPr="005738BE">
        <w:rPr>
          <w:rFonts w:cs="Arial"/>
          <w:sz w:val="22"/>
          <w:szCs w:val="22"/>
          <w:lang w:val="es-ES_tradnl"/>
        </w:rPr>
        <w:lastRenderedPageBreak/>
        <w:t xml:space="preserve">investigaciones penales que </w:t>
      </w:r>
      <w:r w:rsidR="008363C2" w:rsidRPr="005738BE">
        <w:rPr>
          <w:rFonts w:cs="Arial"/>
          <w:sz w:val="22"/>
          <w:szCs w:val="22"/>
          <w:lang w:val="es-ES_tradnl"/>
        </w:rPr>
        <w:t xml:space="preserve">se lleven a cabo por hechos de soborno </w:t>
      </w:r>
      <w:r w:rsidR="005738BE">
        <w:rPr>
          <w:rFonts w:cs="Arial"/>
          <w:sz w:val="22"/>
          <w:szCs w:val="22"/>
          <w:lang w:val="es-ES_tradnl"/>
        </w:rPr>
        <w:t xml:space="preserve">transnacional, dentro del marco de convenio interadministrativo que han suscrito las entidades para garantizar los principios de coordinación y colaboración armónica, entre entidades. </w:t>
      </w:r>
    </w:p>
    <w:p w14:paraId="3EB5FE52" w14:textId="77777777" w:rsidR="0092004E" w:rsidRPr="00EC1202" w:rsidRDefault="0092004E" w:rsidP="00872764">
      <w:pPr>
        <w:rPr>
          <w:rFonts w:cs="Arial"/>
          <w:sz w:val="22"/>
          <w:szCs w:val="22"/>
          <w:lang w:val="es-ES_tradnl"/>
        </w:rPr>
      </w:pPr>
    </w:p>
    <w:p w14:paraId="66EA71B8" w14:textId="02F129F4" w:rsidR="00822B62" w:rsidRPr="00FB10EA" w:rsidRDefault="00093DA0" w:rsidP="006F02F4">
      <w:pPr>
        <w:pStyle w:val="Ttulo2"/>
        <w:numPr>
          <w:ilvl w:val="0"/>
          <w:numId w:val="0"/>
        </w:numPr>
        <w:rPr>
          <w:rFonts w:cs="Arial"/>
          <w:sz w:val="22"/>
          <w:szCs w:val="22"/>
        </w:rPr>
      </w:pPr>
      <w:r w:rsidRPr="00D902B7">
        <w:rPr>
          <w:rFonts w:cs="Arial"/>
          <w:sz w:val="22"/>
          <w:szCs w:val="22"/>
        </w:rPr>
        <w:t>5</w:t>
      </w:r>
      <w:r w:rsidR="00CB10D6" w:rsidRPr="00D902B7">
        <w:rPr>
          <w:rFonts w:cs="Arial"/>
          <w:sz w:val="22"/>
          <w:szCs w:val="22"/>
        </w:rPr>
        <w:t xml:space="preserve">.3 </w:t>
      </w:r>
      <w:r w:rsidR="00822B62" w:rsidRPr="00D902B7">
        <w:rPr>
          <w:rFonts w:cs="Arial"/>
          <w:sz w:val="22"/>
          <w:szCs w:val="22"/>
        </w:rPr>
        <w:t xml:space="preserve">¿Cuáles son las sanciones que puede imponer la Superintendencia de Sociedades frente a posibles hechos de </w:t>
      </w:r>
      <w:r w:rsidR="00FB10EA">
        <w:rPr>
          <w:rFonts w:cs="Arial"/>
          <w:sz w:val="22"/>
          <w:szCs w:val="22"/>
        </w:rPr>
        <w:t>s</w:t>
      </w:r>
      <w:r w:rsidR="00FB10EA" w:rsidRPr="00FB10EA">
        <w:rPr>
          <w:rFonts w:cs="Arial"/>
          <w:sz w:val="22"/>
          <w:szCs w:val="22"/>
        </w:rPr>
        <w:t xml:space="preserve">oborno </w:t>
      </w:r>
      <w:r w:rsidR="00FB10EA">
        <w:rPr>
          <w:rFonts w:cs="Arial"/>
          <w:sz w:val="22"/>
          <w:szCs w:val="22"/>
        </w:rPr>
        <w:t>trans</w:t>
      </w:r>
      <w:r w:rsidR="00FB10EA" w:rsidRPr="00FB10EA">
        <w:rPr>
          <w:rFonts w:cs="Arial"/>
          <w:sz w:val="22"/>
          <w:szCs w:val="22"/>
        </w:rPr>
        <w:t>nacional</w:t>
      </w:r>
      <w:r w:rsidR="00822B62" w:rsidRPr="00FB10EA">
        <w:rPr>
          <w:rFonts w:cs="Arial"/>
          <w:sz w:val="22"/>
          <w:szCs w:val="22"/>
        </w:rPr>
        <w:t>?</w:t>
      </w:r>
    </w:p>
    <w:p w14:paraId="4B198931" w14:textId="77777777" w:rsidR="00822B62" w:rsidRPr="00EC1202" w:rsidRDefault="00822B62" w:rsidP="00822B62">
      <w:pPr>
        <w:rPr>
          <w:rFonts w:cs="Arial"/>
          <w:sz w:val="22"/>
          <w:szCs w:val="22"/>
        </w:rPr>
      </w:pPr>
    </w:p>
    <w:p w14:paraId="2DB1057A" w14:textId="77777777" w:rsidR="00822B62" w:rsidRPr="005738BE" w:rsidRDefault="005538B3">
      <w:pPr>
        <w:rPr>
          <w:rFonts w:cs="Arial"/>
          <w:sz w:val="22"/>
          <w:szCs w:val="22"/>
        </w:rPr>
      </w:pPr>
      <w:r w:rsidRPr="00D902B7">
        <w:rPr>
          <w:rFonts w:cs="Arial"/>
          <w:sz w:val="22"/>
          <w:szCs w:val="22"/>
        </w:rPr>
        <w:t xml:space="preserve">Las sanciones </w:t>
      </w:r>
      <w:r w:rsidR="001B2603" w:rsidRPr="00D902B7">
        <w:rPr>
          <w:rFonts w:cs="Arial"/>
          <w:sz w:val="22"/>
          <w:szCs w:val="22"/>
        </w:rPr>
        <w:t xml:space="preserve">administrativas </w:t>
      </w:r>
      <w:r w:rsidRPr="00D902B7">
        <w:rPr>
          <w:rFonts w:cs="Arial"/>
          <w:sz w:val="22"/>
          <w:szCs w:val="22"/>
        </w:rPr>
        <w:t xml:space="preserve">que puede imponer </w:t>
      </w:r>
      <w:r w:rsidR="00822B62" w:rsidRPr="00D902B7">
        <w:rPr>
          <w:rFonts w:cs="Arial"/>
          <w:sz w:val="22"/>
          <w:szCs w:val="22"/>
        </w:rPr>
        <w:t xml:space="preserve">la Superintendencia de Sociedades </w:t>
      </w:r>
      <w:r w:rsidRPr="005738BE">
        <w:rPr>
          <w:rFonts w:cs="Arial"/>
          <w:sz w:val="22"/>
          <w:szCs w:val="22"/>
        </w:rPr>
        <w:t xml:space="preserve">están definidas en </w:t>
      </w:r>
      <w:r w:rsidR="00CA3FB1" w:rsidRPr="005738BE">
        <w:rPr>
          <w:rFonts w:cs="Arial"/>
          <w:sz w:val="22"/>
          <w:szCs w:val="22"/>
        </w:rPr>
        <w:t xml:space="preserve">el artículo 5º de </w:t>
      </w:r>
      <w:r w:rsidRPr="005738BE">
        <w:rPr>
          <w:rFonts w:cs="Arial"/>
          <w:sz w:val="22"/>
          <w:szCs w:val="22"/>
        </w:rPr>
        <w:t xml:space="preserve">la Ley 1778 de 2016. </w:t>
      </w:r>
      <w:r w:rsidR="00CA3FB1" w:rsidRPr="005738BE">
        <w:rPr>
          <w:rFonts w:cs="Arial"/>
          <w:sz w:val="22"/>
          <w:szCs w:val="22"/>
        </w:rPr>
        <w:t xml:space="preserve">En efecto, </w:t>
      </w:r>
      <w:r w:rsidR="007C4F2E" w:rsidRPr="005738BE">
        <w:rPr>
          <w:rFonts w:cs="Arial"/>
          <w:sz w:val="22"/>
          <w:szCs w:val="22"/>
        </w:rPr>
        <w:t xml:space="preserve">cuando se determina la existencia de responsabilidad de las personas jurídicas por actos de </w:t>
      </w:r>
      <w:r w:rsidR="00CA3FB1" w:rsidRPr="005738BE">
        <w:rPr>
          <w:rFonts w:cs="Arial"/>
          <w:sz w:val="22"/>
          <w:szCs w:val="22"/>
        </w:rPr>
        <w:t xml:space="preserve">soborno internacional, </w:t>
      </w:r>
      <w:r w:rsidR="007C4F2E" w:rsidRPr="005738BE">
        <w:rPr>
          <w:rFonts w:cs="Arial"/>
          <w:sz w:val="22"/>
          <w:szCs w:val="22"/>
        </w:rPr>
        <w:t xml:space="preserve">la </w:t>
      </w:r>
      <w:r w:rsidR="00CA3FB1" w:rsidRPr="005738BE">
        <w:rPr>
          <w:rFonts w:cs="Arial"/>
          <w:sz w:val="22"/>
          <w:szCs w:val="22"/>
        </w:rPr>
        <w:t>entidad puede decidir la imposición de</w:t>
      </w:r>
      <w:r w:rsidR="007C4F2E" w:rsidRPr="005738BE">
        <w:rPr>
          <w:rFonts w:cs="Arial"/>
          <w:sz w:val="22"/>
          <w:szCs w:val="22"/>
        </w:rPr>
        <w:t xml:space="preserve"> una o varias de las siguientes sanciones: </w:t>
      </w:r>
    </w:p>
    <w:p w14:paraId="7B2BE9A4" w14:textId="77777777" w:rsidR="00822B62" w:rsidRPr="005738BE" w:rsidRDefault="00822B62" w:rsidP="00822B62">
      <w:pPr>
        <w:rPr>
          <w:rFonts w:cs="Arial"/>
          <w:sz w:val="22"/>
          <w:szCs w:val="22"/>
        </w:rPr>
      </w:pPr>
    </w:p>
    <w:p w14:paraId="5EAF2DFD" w14:textId="77777777" w:rsidR="00822B62" w:rsidRPr="005738BE" w:rsidRDefault="00634C80" w:rsidP="00A41CD3">
      <w:pPr>
        <w:pStyle w:val="pa5"/>
        <w:numPr>
          <w:ilvl w:val="0"/>
          <w:numId w:val="2"/>
        </w:numPr>
        <w:shd w:val="clear" w:color="auto" w:fill="FFFFFF"/>
        <w:spacing w:before="0" w:beforeAutospacing="0" w:after="0" w:afterAutospacing="0"/>
        <w:jc w:val="both"/>
        <w:rPr>
          <w:rFonts w:ascii="Arial" w:hAnsi="Arial" w:cs="Arial"/>
          <w:color w:val="333333"/>
          <w:sz w:val="22"/>
          <w:szCs w:val="22"/>
        </w:rPr>
      </w:pPr>
      <w:r w:rsidRPr="005738BE">
        <w:rPr>
          <w:rFonts w:ascii="Arial" w:hAnsi="Arial" w:cs="Arial"/>
          <w:sz w:val="22"/>
          <w:szCs w:val="22"/>
        </w:rPr>
        <w:t xml:space="preserve"> </w:t>
      </w:r>
      <w:r w:rsidR="00822B62" w:rsidRPr="005738BE">
        <w:rPr>
          <w:rStyle w:val="a0"/>
          <w:rFonts w:ascii="Arial" w:hAnsi="Arial" w:cs="Arial"/>
          <w:color w:val="000000"/>
          <w:sz w:val="22"/>
          <w:szCs w:val="22"/>
        </w:rPr>
        <w:t>Multas de hasta 200.000</w:t>
      </w:r>
      <w:r w:rsidR="007C4F2E" w:rsidRPr="005738BE">
        <w:rPr>
          <w:rStyle w:val="a0"/>
          <w:rFonts w:ascii="Arial" w:hAnsi="Arial" w:cs="Arial"/>
          <w:color w:val="000000"/>
          <w:sz w:val="22"/>
          <w:szCs w:val="22"/>
        </w:rPr>
        <w:t xml:space="preserve"> </w:t>
      </w:r>
      <w:r w:rsidR="00822B62" w:rsidRPr="005738BE">
        <w:rPr>
          <w:rStyle w:val="a0"/>
          <w:rFonts w:ascii="Arial" w:hAnsi="Arial" w:cs="Arial"/>
          <w:color w:val="000000"/>
          <w:sz w:val="22"/>
          <w:szCs w:val="22"/>
        </w:rPr>
        <w:t>salarios mínimos mensuales legales vigentes.</w:t>
      </w:r>
    </w:p>
    <w:p w14:paraId="01843508" w14:textId="77777777" w:rsidR="00822B62" w:rsidRPr="005738BE" w:rsidRDefault="00822B62" w:rsidP="00822B62">
      <w:pPr>
        <w:pStyle w:val="pa5"/>
        <w:shd w:val="clear" w:color="auto" w:fill="FFFFFF"/>
        <w:spacing w:before="0" w:beforeAutospacing="0" w:after="0" w:afterAutospacing="0"/>
        <w:ind w:left="720"/>
        <w:jc w:val="both"/>
        <w:rPr>
          <w:rFonts w:ascii="Arial" w:hAnsi="Arial" w:cs="Arial"/>
          <w:color w:val="333333"/>
          <w:sz w:val="22"/>
          <w:szCs w:val="22"/>
        </w:rPr>
      </w:pPr>
    </w:p>
    <w:p w14:paraId="47F31985" w14:textId="77777777" w:rsidR="00634C80" w:rsidRPr="005738BE" w:rsidRDefault="00822B62" w:rsidP="00A41CD3">
      <w:pPr>
        <w:pStyle w:val="pa5"/>
        <w:numPr>
          <w:ilvl w:val="0"/>
          <w:numId w:val="2"/>
        </w:numPr>
        <w:shd w:val="clear" w:color="auto" w:fill="FFFFFF"/>
        <w:spacing w:before="0" w:beforeAutospacing="0" w:after="0" w:afterAutospacing="0"/>
        <w:jc w:val="both"/>
        <w:rPr>
          <w:rFonts w:ascii="Arial" w:hAnsi="Arial" w:cs="Arial"/>
          <w:color w:val="333333"/>
          <w:sz w:val="22"/>
          <w:szCs w:val="22"/>
        </w:rPr>
      </w:pPr>
      <w:r w:rsidRPr="005738BE">
        <w:rPr>
          <w:rStyle w:val="a0"/>
          <w:rFonts w:ascii="Arial" w:hAnsi="Arial" w:cs="Arial"/>
          <w:color w:val="000000"/>
          <w:sz w:val="22"/>
          <w:szCs w:val="22"/>
        </w:rPr>
        <w:t>Inhabilidad para contratar con el Estado colombiano por un término de hasta 20</w:t>
      </w:r>
      <w:r w:rsidR="007C4F2E" w:rsidRPr="005738BE">
        <w:rPr>
          <w:rStyle w:val="a0"/>
          <w:rFonts w:ascii="Arial" w:hAnsi="Arial" w:cs="Arial"/>
          <w:color w:val="000000"/>
          <w:sz w:val="22"/>
          <w:szCs w:val="22"/>
        </w:rPr>
        <w:t xml:space="preserve"> </w:t>
      </w:r>
      <w:r w:rsidRPr="005738BE">
        <w:rPr>
          <w:rStyle w:val="a0"/>
          <w:rFonts w:ascii="Arial" w:hAnsi="Arial" w:cs="Arial"/>
          <w:color w:val="000000"/>
          <w:sz w:val="22"/>
          <w:szCs w:val="22"/>
        </w:rPr>
        <w:t>años.</w:t>
      </w:r>
    </w:p>
    <w:p w14:paraId="5426E433" w14:textId="77777777" w:rsidR="00634C80" w:rsidRPr="004B37D2" w:rsidRDefault="00634C80" w:rsidP="00634C80">
      <w:pPr>
        <w:pStyle w:val="Prrafodelista"/>
        <w:rPr>
          <w:rStyle w:val="a0"/>
          <w:rFonts w:cs="Arial"/>
          <w:color w:val="000000"/>
          <w:sz w:val="22"/>
          <w:szCs w:val="22"/>
        </w:rPr>
      </w:pPr>
    </w:p>
    <w:p w14:paraId="730D5882" w14:textId="77777777" w:rsidR="00634C80" w:rsidRPr="005738BE" w:rsidRDefault="00822B62" w:rsidP="00A41CD3">
      <w:pPr>
        <w:pStyle w:val="pa5"/>
        <w:numPr>
          <w:ilvl w:val="0"/>
          <w:numId w:val="2"/>
        </w:numPr>
        <w:shd w:val="clear" w:color="auto" w:fill="FFFFFF"/>
        <w:spacing w:before="0" w:beforeAutospacing="0" w:after="0" w:afterAutospacing="0"/>
        <w:jc w:val="both"/>
        <w:rPr>
          <w:rFonts w:ascii="Arial" w:hAnsi="Arial" w:cs="Arial"/>
          <w:color w:val="333333"/>
          <w:sz w:val="22"/>
          <w:szCs w:val="22"/>
        </w:rPr>
      </w:pPr>
      <w:r w:rsidRPr="005738BE">
        <w:rPr>
          <w:rStyle w:val="a0"/>
          <w:rFonts w:ascii="Arial" w:hAnsi="Arial" w:cs="Arial"/>
          <w:color w:val="000000"/>
          <w:sz w:val="22"/>
          <w:szCs w:val="22"/>
        </w:rPr>
        <w:t>Publicación en medios de amplia circulación y en la pá</w:t>
      </w:r>
      <w:r w:rsidR="00CA3FB1" w:rsidRPr="005738BE">
        <w:rPr>
          <w:rStyle w:val="a0"/>
          <w:rFonts w:ascii="Arial" w:hAnsi="Arial" w:cs="Arial"/>
          <w:color w:val="000000"/>
          <w:sz w:val="22"/>
          <w:szCs w:val="22"/>
        </w:rPr>
        <w:t>gina web de la persona jurídica,</w:t>
      </w:r>
      <w:r w:rsidRPr="005738BE">
        <w:rPr>
          <w:rStyle w:val="a0"/>
          <w:rFonts w:ascii="Arial" w:hAnsi="Arial" w:cs="Arial"/>
          <w:color w:val="000000"/>
          <w:sz w:val="22"/>
          <w:szCs w:val="22"/>
        </w:rPr>
        <w:t xml:space="preserve"> de un extracto de la decisión administrativa </w:t>
      </w:r>
      <w:proofErr w:type="gramStart"/>
      <w:r w:rsidRPr="005738BE">
        <w:rPr>
          <w:rStyle w:val="a0"/>
          <w:rFonts w:ascii="Arial" w:hAnsi="Arial" w:cs="Arial"/>
          <w:color w:val="000000"/>
          <w:sz w:val="22"/>
          <w:szCs w:val="22"/>
        </w:rPr>
        <w:t>sancionatoria</w:t>
      </w:r>
      <w:r w:rsidR="00CA3FB1" w:rsidRPr="005738BE">
        <w:rPr>
          <w:rStyle w:val="a0"/>
          <w:rFonts w:ascii="Arial" w:hAnsi="Arial" w:cs="Arial"/>
          <w:color w:val="000000"/>
          <w:sz w:val="22"/>
          <w:szCs w:val="22"/>
        </w:rPr>
        <w:t xml:space="preserve">, </w:t>
      </w:r>
      <w:r w:rsidRPr="005738BE">
        <w:rPr>
          <w:rStyle w:val="a0"/>
          <w:rFonts w:ascii="Arial" w:hAnsi="Arial" w:cs="Arial"/>
          <w:color w:val="000000"/>
          <w:sz w:val="22"/>
          <w:szCs w:val="22"/>
        </w:rPr>
        <w:t xml:space="preserve"> </w:t>
      </w:r>
      <w:r w:rsidR="00CA3FB1" w:rsidRPr="005738BE">
        <w:rPr>
          <w:rStyle w:val="a0"/>
          <w:rFonts w:ascii="Arial" w:hAnsi="Arial" w:cs="Arial"/>
          <w:color w:val="000000"/>
          <w:sz w:val="22"/>
          <w:szCs w:val="22"/>
        </w:rPr>
        <w:t>por</w:t>
      </w:r>
      <w:proofErr w:type="gramEnd"/>
      <w:r w:rsidR="00CA3FB1" w:rsidRPr="005738BE">
        <w:rPr>
          <w:rStyle w:val="a0"/>
          <w:rFonts w:ascii="Arial" w:hAnsi="Arial" w:cs="Arial"/>
          <w:color w:val="000000"/>
          <w:sz w:val="22"/>
          <w:szCs w:val="22"/>
        </w:rPr>
        <w:t xml:space="preserve"> un tiempo máximo de </w:t>
      </w:r>
      <w:r w:rsidR="00634C80" w:rsidRPr="005738BE">
        <w:rPr>
          <w:rStyle w:val="a0"/>
          <w:rFonts w:ascii="Arial" w:hAnsi="Arial" w:cs="Arial"/>
          <w:color w:val="000000"/>
          <w:sz w:val="22"/>
          <w:szCs w:val="22"/>
        </w:rPr>
        <w:t>1</w:t>
      </w:r>
      <w:r w:rsidR="007C4F2E" w:rsidRPr="005738BE">
        <w:rPr>
          <w:rStyle w:val="a0"/>
          <w:rFonts w:ascii="Arial" w:hAnsi="Arial" w:cs="Arial"/>
          <w:color w:val="000000"/>
          <w:sz w:val="22"/>
          <w:szCs w:val="22"/>
        </w:rPr>
        <w:t xml:space="preserve"> </w:t>
      </w:r>
      <w:r w:rsidR="00634C80" w:rsidRPr="005738BE">
        <w:rPr>
          <w:rStyle w:val="a0"/>
          <w:rFonts w:ascii="Arial" w:hAnsi="Arial" w:cs="Arial"/>
          <w:color w:val="000000"/>
          <w:sz w:val="22"/>
          <w:szCs w:val="22"/>
        </w:rPr>
        <w:t>año.</w:t>
      </w:r>
    </w:p>
    <w:p w14:paraId="62096737" w14:textId="77777777" w:rsidR="00634C80" w:rsidRPr="004B37D2" w:rsidRDefault="00634C80" w:rsidP="00634C80">
      <w:pPr>
        <w:pStyle w:val="Prrafodelista"/>
        <w:rPr>
          <w:rStyle w:val="a0"/>
          <w:rFonts w:cs="Arial"/>
          <w:color w:val="000000"/>
          <w:sz w:val="22"/>
          <w:szCs w:val="22"/>
          <w:lang w:val="es-CO"/>
        </w:rPr>
      </w:pPr>
    </w:p>
    <w:p w14:paraId="1DC989B7" w14:textId="77777777" w:rsidR="00822B62" w:rsidRPr="005738BE" w:rsidRDefault="00822B62" w:rsidP="00A41CD3">
      <w:pPr>
        <w:pStyle w:val="pa5"/>
        <w:numPr>
          <w:ilvl w:val="0"/>
          <w:numId w:val="2"/>
        </w:numPr>
        <w:shd w:val="clear" w:color="auto" w:fill="FFFFFF"/>
        <w:spacing w:before="0" w:beforeAutospacing="0" w:after="0" w:afterAutospacing="0"/>
        <w:jc w:val="both"/>
        <w:rPr>
          <w:rFonts w:ascii="Arial" w:hAnsi="Arial" w:cs="Arial"/>
          <w:color w:val="333333"/>
          <w:sz w:val="22"/>
          <w:szCs w:val="22"/>
        </w:rPr>
      </w:pPr>
      <w:r w:rsidRPr="005738BE">
        <w:rPr>
          <w:rStyle w:val="a0"/>
          <w:rFonts w:ascii="Arial" w:hAnsi="Arial" w:cs="Arial"/>
          <w:color w:val="000000"/>
          <w:sz w:val="22"/>
          <w:szCs w:val="22"/>
        </w:rPr>
        <w:t>Prohibición de recibir cualquier tipo de incentivo o subsidios del Gobierno</w:t>
      </w:r>
      <w:r w:rsidR="007C4F2E" w:rsidRPr="005738BE">
        <w:rPr>
          <w:rStyle w:val="a0"/>
          <w:rFonts w:ascii="Arial" w:hAnsi="Arial" w:cs="Arial"/>
          <w:color w:val="000000"/>
          <w:sz w:val="22"/>
          <w:szCs w:val="22"/>
        </w:rPr>
        <w:t xml:space="preserve"> </w:t>
      </w:r>
      <w:r w:rsidR="009F562E" w:rsidRPr="005738BE">
        <w:rPr>
          <w:rStyle w:val="a0"/>
          <w:rFonts w:ascii="Arial" w:hAnsi="Arial" w:cs="Arial"/>
          <w:color w:val="000000"/>
          <w:sz w:val="22"/>
          <w:szCs w:val="22"/>
        </w:rPr>
        <w:t>en</w:t>
      </w:r>
      <w:r w:rsidR="007C4F2E" w:rsidRPr="005738BE">
        <w:rPr>
          <w:rStyle w:val="a0"/>
          <w:rFonts w:ascii="Arial" w:hAnsi="Arial" w:cs="Arial"/>
          <w:color w:val="000000"/>
          <w:sz w:val="22"/>
          <w:szCs w:val="22"/>
        </w:rPr>
        <w:t xml:space="preserve"> un </w:t>
      </w:r>
      <w:r w:rsidRPr="005738BE">
        <w:rPr>
          <w:rStyle w:val="a0"/>
          <w:rFonts w:ascii="Arial" w:hAnsi="Arial" w:cs="Arial"/>
          <w:color w:val="000000"/>
          <w:sz w:val="22"/>
          <w:szCs w:val="22"/>
        </w:rPr>
        <w:t>plazo de 5 años.</w:t>
      </w:r>
    </w:p>
    <w:p w14:paraId="57B4F810" w14:textId="77777777" w:rsidR="00822B62" w:rsidRPr="005738BE" w:rsidRDefault="00822B62" w:rsidP="00822B62">
      <w:pPr>
        <w:rPr>
          <w:rFonts w:cs="Arial"/>
          <w:sz w:val="22"/>
          <w:szCs w:val="22"/>
          <w:lang w:val="es-CO"/>
        </w:rPr>
      </w:pPr>
    </w:p>
    <w:p w14:paraId="549D5BB2" w14:textId="77777777" w:rsidR="00634C80" w:rsidRPr="005738BE" w:rsidRDefault="007C4F2E" w:rsidP="00822B62">
      <w:pPr>
        <w:rPr>
          <w:rFonts w:cs="Arial"/>
          <w:sz w:val="22"/>
          <w:szCs w:val="22"/>
          <w:lang w:val="es-CO"/>
        </w:rPr>
      </w:pPr>
      <w:r w:rsidRPr="005738BE">
        <w:rPr>
          <w:rFonts w:cs="Arial"/>
          <w:sz w:val="22"/>
          <w:szCs w:val="22"/>
          <w:lang w:val="es-CO"/>
        </w:rPr>
        <w:t>A</w:t>
      </w:r>
      <w:r w:rsidR="00C83937" w:rsidRPr="005738BE">
        <w:rPr>
          <w:rFonts w:cs="Arial"/>
          <w:sz w:val="22"/>
          <w:szCs w:val="22"/>
          <w:lang w:val="es-CO"/>
        </w:rPr>
        <w:t xml:space="preserve">dicionalmente, se prevén mecanismos para imponer las sanciones </w:t>
      </w:r>
      <w:r w:rsidR="00634C80" w:rsidRPr="005738BE">
        <w:rPr>
          <w:rFonts w:cs="Arial"/>
          <w:sz w:val="22"/>
          <w:szCs w:val="22"/>
          <w:lang w:val="es-CO"/>
        </w:rPr>
        <w:t xml:space="preserve">a toda forma asociativa que incurra en alguna conducta de soborno internacional, cuando </w:t>
      </w:r>
      <w:r w:rsidR="00C83937" w:rsidRPr="005738BE">
        <w:rPr>
          <w:rFonts w:cs="Arial"/>
          <w:sz w:val="22"/>
          <w:szCs w:val="22"/>
          <w:lang w:val="es-CO"/>
        </w:rPr>
        <w:t xml:space="preserve">se trate de personas jurídicas que </w:t>
      </w:r>
      <w:r w:rsidR="00634C80" w:rsidRPr="005738BE">
        <w:rPr>
          <w:rFonts w:cs="Arial"/>
          <w:sz w:val="22"/>
          <w:szCs w:val="22"/>
          <w:lang w:val="es-CO"/>
        </w:rPr>
        <w:t xml:space="preserve">reformen o cambien su naturaleza </w:t>
      </w:r>
      <w:r w:rsidR="00C83937" w:rsidRPr="005738BE">
        <w:rPr>
          <w:rFonts w:cs="Arial"/>
          <w:sz w:val="22"/>
          <w:szCs w:val="22"/>
          <w:lang w:val="es-CO"/>
        </w:rPr>
        <w:t xml:space="preserve">después de cometer la conducta y </w:t>
      </w:r>
      <w:r w:rsidR="001B0132" w:rsidRPr="005738BE">
        <w:rPr>
          <w:rFonts w:cs="Arial"/>
          <w:sz w:val="22"/>
          <w:szCs w:val="22"/>
          <w:lang w:val="es-CO"/>
        </w:rPr>
        <w:t>antes de la imposición de la sanción:</w:t>
      </w:r>
    </w:p>
    <w:p w14:paraId="33D3AC5B" w14:textId="77777777" w:rsidR="00634C80" w:rsidRPr="005738BE" w:rsidRDefault="00634C80" w:rsidP="00822B62">
      <w:pPr>
        <w:rPr>
          <w:rFonts w:cs="Arial"/>
          <w:sz w:val="22"/>
          <w:szCs w:val="22"/>
          <w:lang w:val="es-CO"/>
        </w:rPr>
      </w:pPr>
    </w:p>
    <w:p w14:paraId="5A880017" w14:textId="77777777" w:rsidR="00634C80" w:rsidRPr="005738BE" w:rsidRDefault="00634C80" w:rsidP="00A41CD3">
      <w:pPr>
        <w:pStyle w:val="Prrafodelista"/>
        <w:numPr>
          <w:ilvl w:val="0"/>
          <w:numId w:val="2"/>
        </w:numPr>
        <w:rPr>
          <w:rStyle w:val="a0"/>
          <w:rFonts w:cs="Arial"/>
          <w:color w:val="000000"/>
          <w:sz w:val="22"/>
          <w:szCs w:val="22"/>
          <w:lang w:val="es-CO" w:eastAsia="es-CO"/>
        </w:rPr>
      </w:pPr>
      <w:r w:rsidRPr="005738BE">
        <w:rPr>
          <w:rStyle w:val="a0"/>
          <w:rFonts w:cs="Arial"/>
          <w:color w:val="000000"/>
          <w:sz w:val="22"/>
          <w:szCs w:val="22"/>
          <w:lang w:val="es-CO" w:eastAsia="es-CO"/>
        </w:rPr>
        <w:t xml:space="preserve">Si la sociedad se extinguiere por efecto de una fusión, la absorbente o </w:t>
      </w:r>
      <w:r w:rsidR="001B0132" w:rsidRPr="005738BE">
        <w:rPr>
          <w:rStyle w:val="a0"/>
          <w:rFonts w:cs="Arial"/>
          <w:color w:val="000000"/>
          <w:sz w:val="22"/>
          <w:szCs w:val="22"/>
          <w:lang w:val="es-CO" w:eastAsia="es-CO"/>
        </w:rPr>
        <w:t xml:space="preserve">aquella </w:t>
      </w:r>
      <w:r w:rsidRPr="005738BE">
        <w:rPr>
          <w:rStyle w:val="a0"/>
          <w:rFonts w:cs="Arial"/>
          <w:color w:val="000000"/>
          <w:sz w:val="22"/>
          <w:szCs w:val="22"/>
          <w:lang w:val="es-CO" w:eastAsia="es-CO"/>
        </w:rPr>
        <w:t>de nueva creación se hará acreedora de la sanción</w:t>
      </w:r>
      <w:r w:rsidR="00C03238" w:rsidRPr="005738BE">
        <w:rPr>
          <w:rStyle w:val="a0"/>
          <w:rFonts w:cs="Arial"/>
          <w:color w:val="000000"/>
          <w:sz w:val="22"/>
          <w:szCs w:val="22"/>
          <w:lang w:val="es-CO" w:eastAsia="es-CO"/>
        </w:rPr>
        <w:t>.</w:t>
      </w:r>
    </w:p>
    <w:p w14:paraId="2E7854D0" w14:textId="77777777" w:rsidR="00634C80" w:rsidRPr="005738BE" w:rsidRDefault="00634C80" w:rsidP="00634C80">
      <w:pPr>
        <w:pStyle w:val="Prrafodelista"/>
        <w:ind w:left="720"/>
        <w:rPr>
          <w:rStyle w:val="a0"/>
          <w:rFonts w:cs="Arial"/>
          <w:color w:val="000000"/>
          <w:sz w:val="22"/>
          <w:szCs w:val="22"/>
          <w:lang w:val="es-CO" w:eastAsia="es-CO"/>
        </w:rPr>
      </w:pPr>
    </w:p>
    <w:p w14:paraId="595A7CF6" w14:textId="77777777" w:rsidR="00634C80" w:rsidRPr="005738BE" w:rsidRDefault="00634C80" w:rsidP="00A41CD3">
      <w:pPr>
        <w:pStyle w:val="Prrafodelista"/>
        <w:numPr>
          <w:ilvl w:val="0"/>
          <w:numId w:val="2"/>
        </w:numPr>
        <w:rPr>
          <w:rStyle w:val="a0"/>
          <w:rFonts w:cs="Arial"/>
          <w:color w:val="000000"/>
          <w:sz w:val="22"/>
          <w:szCs w:val="22"/>
          <w:lang w:val="es-CO" w:eastAsia="es-CO"/>
        </w:rPr>
      </w:pPr>
      <w:r w:rsidRPr="005738BE">
        <w:rPr>
          <w:rStyle w:val="a0"/>
          <w:rFonts w:cs="Arial"/>
          <w:color w:val="000000"/>
          <w:sz w:val="22"/>
          <w:szCs w:val="22"/>
          <w:lang w:val="es-CO" w:eastAsia="es-CO"/>
        </w:rPr>
        <w:t>Si la sociedad se escinde, todas aquellas que hayan participado en el proceso de escisión, bien como escindente o beneficiaria, estarán sujetas solidariamente a las sanciones</w:t>
      </w:r>
      <w:r w:rsidR="00C03238" w:rsidRPr="005738BE">
        <w:rPr>
          <w:rStyle w:val="a0"/>
          <w:rFonts w:cs="Arial"/>
          <w:color w:val="000000"/>
          <w:sz w:val="22"/>
          <w:szCs w:val="22"/>
          <w:lang w:val="es-CO" w:eastAsia="es-CO"/>
        </w:rPr>
        <w:t>.</w:t>
      </w:r>
    </w:p>
    <w:p w14:paraId="7F78DB8E" w14:textId="77777777" w:rsidR="00634C80" w:rsidRPr="005738BE" w:rsidRDefault="00634C80" w:rsidP="00634C80">
      <w:pPr>
        <w:pStyle w:val="Prrafodelista"/>
        <w:ind w:left="720"/>
        <w:rPr>
          <w:rStyle w:val="a0"/>
          <w:rFonts w:cs="Arial"/>
          <w:sz w:val="22"/>
          <w:szCs w:val="22"/>
          <w:lang w:val="es-CO"/>
        </w:rPr>
      </w:pPr>
    </w:p>
    <w:p w14:paraId="5A8BCFE5" w14:textId="77777777" w:rsidR="00C03238" w:rsidRPr="005738BE" w:rsidRDefault="00634C80" w:rsidP="00D2061B">
      <w:pPr>
        <w:pStyle w:val="Prrafodelista"/>
        <w:numPr>
          <w:ilvl w:val="0"/>
          <w:numId w:val="2"/>
        </w:numPr>
        <w:rPr>
          <w:rStyle w:val="a0"/>
          <w:rFonts w:cs="Arial"/>
          <w:sz w:val="22"/>
          <w:szCs w:val="22"/>
          <w:lang w:val="es-CO"/>
        </w:rPr>
      </w:pPr>
      <w:r w:rsidRPr="005738BE">
        <w:rPr>
          <w:rStyle w:val="a0"/>
          <w:rFonts w:cs="Arial"/>
          <w:color w:val="000000"/>
          <w:sz w:val="22"/>
          <w:szCs w:val="22"/>
          <w:lang w:val="es-CO" w:eastAsia="es-CO"/>
        </w:rPr>
        <w:t>Si existe una transferencia de control en la sociedad, el sujeto adquirente del control estará sujeto a las sanciones</w:t>
      </w:r>
      <w:r w:rsidR="00C03238" w:rsidRPr="005738BE">
        <w:rPr>
          <w:rStyle w:val="a0"/>
          <w:rFonts w:cs="Arial"/>
          <w:color w:val="000000"/>
          <w:sz w:val="22"/>
          <w:szCs w:val="22"/>
          <w:lang w:val="es-CO" w:eastAsia="es-CO"/>
        </w:rPr>
        <w:t>.</w:t>
      </w:r>
    </w:p>
    <w:p w14:paraId="40B36107" w14:textId="77777777" w:rsidR="00C03238" w:rsidRPr="005738BE" w:rsidRDefault="00C03238" w:rsidP="00C03238">
      <w:pPr>
        <w:pStyle w:val="Prrafodelista"/>
        <w:rPr>
          <w:rStyle w:val="a0"/>
          <w:rFonts w:cs="Arial"/>
          <w:color w:val="000000"/>
          <w:sz w:val="22"/>
          <w:szCs w:val="22"/>
          <w:lang w:val="es-CO" w:eastAsia="es-CO"/>
        </w:rPr>
      </w:pPr>
    </w:p>
    <w:p w14:paraId="3C9E2568" w14:textId="77777777" w:rsidR="00C83937" w:rsidRPr="005738BE" w:rsidRDefault="00C03238" w:rsidP="00D2061B">
      <w:pPr>
        <w:pStyle w:val="Prrafodelista"/>
        <w:numPr>
          <w:ilvl w:val="0"/>
          <w:numId w:val="2"/>
        </w:numPr>
        <w:rPr>
          <w:rFonts w:cs="Arial"/>
          <w:sz w:val="22"/>
          <w:szCs w:val="22"/>
          <w:lang w:val="es-CO"/>
        </w:rPr>
      </w:pPr>
      <w:r w:rsidRPr="005738BE">
        <w:rPr>
          <w:rFonts w:cs="Arial"/>
          <w:sz w:val="22"/>
          <w:szCs w:val="22"/>
          <w:lang w:val="es-CO"/>
        </w:rPr>
        <w:t xml:space="preserve">Las reglas precedentes serán aplicables a todas las formas asociativas diferentes de las sociedades. </w:t>
      </w:r>
    </w:p>
    <w:p w14:paraId="1A0DD4C9" w14:textId="77777777" w:rsidR="00C83937" w:rsidRPr="005738BE" w:rsidRDefault="00C83937" w:rsidP="00872764">
      <w:pPr>
        <w:rPr>
          <w:rFonts w:cs="Arial"/>
          <w:sz w:val="22"/>
          <w:szCs w:val="22"/>
          <w:lang w:val="es-CO"/>
        </w:rPr>
      </w:pPr>
    </w:p>
    <w:p w14:paraId="1FA8D9DF" w14:textId="7DEC86E0" w:rsidR="004F482F" w:rsidRPr="007B52C7" w:rsidRDefault="005F509F" w:rsidP="004F482F">
      <w:pPr>
        <w:rPr>
          <w:rFonts w:cs="Arial"/>
          <w:sz w:val="22"/>
          <w:szCs w:val="22"/>
        </w:rPr>
      </w:pPr>
      <w:r w:rsidRPr="005738BE">
        <w:rPr>
          <w:rFonts w:cs="Arial"/>
          <w:sz w:val="22"/>
          <w:szCs w:val="22"/>
        </w:rPr>
        <w:t>L</w:t>
      </w:r>
      <w:r w:rsidR="005538B3" w:rsidRPr="005738BE">
        <w:rPr>
          <w:rFonts w:cs="Arial"/>
          <w:sz w:val="22"/>
          <w:szCs w:val="22"/>
        </w:rPr>
        <w:t>a imposición de sanci</w:t>
      </w:r>
      <w:r w:rsidRPr="005738BE">
        <w:rPr>
          <w:rFonts w:cs="Arial"/>
          <w:sz w:val="22"/>
          <w:szCs w:val="22"/>
        </w:rPr>
        <w:t>ones</w:t>
      </w:r>
      <w:r w:rsidR="005538B3" w:rsidRPr="005738BE">
        <w:rPr>
          <w:rFonts w:cs="Arial"/>
          <w:sz w:val="22"/>
          <w:szCs w:val="22"/>
        </w:rPr>
        <w:t xml:space="preserve"> por parte de la Superintendencia de Sociedades </w:t>
      </w:r>
      <w:r w:rsidRPr="005738BE">
        <w:rPr>
          <w:rFonts w:cs="Arial"/>
          <w:sz w:val="22"/>
          <w:szCs w:val="22"/>
        </w:rPr>
        <w:t xml:space="preserve">a las personas jurídicas </w:t>
      </w:r>
      <w:r w:rsidR="005538B3" w:rsidRPr="005738BE">
        <w:rPr>
          <w:rFonts w:cs="Arial"/>
          <w:sz w:val="22"/>
          <w:szCs w:val="22"/>
        </w:rPr>
        <w:t>no exime a l</w:t>
      </w:r>
      <w:r w:rsidRPr="005738BE">
        <w:rPr>
          <w:rFonts w:cs="Arial"/>
          <w:sz w:val="22"/>
          <w:szCs w:val="22"/>
        </w:rPr>
        <w:t xml:space="preserve">os </w:t>
      </w:r>
      <w:r w:rsidR="005538B3" w:rsidRPr="005738BE">
        <w:rPr>
          <w:rFonts w:cs="Arial"/>
          <w:sz w:val="22"/>
          <w:szCs w:val="22"/>
        </w:rPr>
        <w:t xml:space="preserve">administradores, contratistas, empleados o asociados </w:t>
      </w:r>
      <w:r w:rsidRPr="005738BE">
        <w:rPr>
          <w:rFonts w:cs="Arial"/>
          <w:sz w:val="22"/>
          <w:szCs w:val="22"/>
        </w:rPr>
        <w:t xml:space="preserve">de la </w:t>
      </w:r>
      <w:r w:rsidR="005538B3" w:rsidRPr="005738BE">
        <w:rPr>
          <w:rFonts w:cs="Arial"/>
          <w:sz w:val="22"/>
          <w:szCs w:val="22"/>
        </w:rPr>
        <w:t>responsabilidad penal que pueda existir por la</w:t>
      </w:r>
      <w:r w:rsidR="007B52C7">
        <w:rPr>
          <w:rFonts w:cs="Arial"/>
          <w:sz w:val="22"/>
          <w:szCs w:val="22"/>
        </w:rPr>
        <w:t xml:space="preserve"> </w:t>
      </w:r>
      <w:r w:rsidR="005538B3" w:rsidRPr="005738BE">
        <w:rPr>
          <w:rFonts w:cs="Arial"/>
          <w:sz w:val="22"/>
          <w:szCs w:val="22"/>
        </w:rPr>
        <w:t xml:space="preserve">conducta </w:t>
      </w:r>
      <w:r w:rsidRPr="005738BE">
        <w:rPr>
          <w:rFonts w:cs="Arial"/>
          <w:sz w:val="22"/>
          <w:szCs w:val="22"/>
        </w:rPr>
        <w:t xml:space="preserve">de </w:t>
      </w:r>
      <w:r w:rsidR="005538B3" w:rsidRPr="005738BE">
        <w:rPr>
          <w:rFonts w:cs="Arial"/>
          <w:sz w:val="22"/>
          <w:szCs w:val="22"/>
        </w:rPr>
        <w:t xml:space="preserve">soborno </w:t>
      </w:r>
      <w:r w:rsidR="007B52C7">
        <w:rPr>
          <w:rFonts w:cs="Arial"/>
          <w:sz w:val="22"/>
          <w:szCs w:val="22"/>
        </w:rPr>
        <w:t>transnacional.</w:t>
      </w:r>
    </w:p>
    <w:p w14:paraId="2BBAF1FE" w14:textId="77777777" w:rsidR="00F839B0" w:rsidRPr="00EC1202" w:rsidRDefault="00F839B0" w:rsidP="006F02F4">
      <w:pPr>
        <w:pStyle w:val="Ttulo2"/>
        <w:numPr>
          <w:ilvl w:val="0"/>
          <w:numId w:val="0"/>
        </w:numPr>
        <w:rPr>
          <w:rFonts w:cs="Arial"/>
          <w:sz w:val="22"/>
          <w:szCs w:val="22"/>
        </w:rPr>
      </w:pPr>
    </w:p>
    <w:p w14:paraId="3DE256AB" w14:textId="77777777" w:rsidR="00E70DC1" w:rsidRPr="004B37D2" w:rsidRDefault="00E70DC1" w:rsidP="00E70DC1">
      <w:pPr>
        <w:rPr>
          <w:rFonts w:cs="Arial"/>
          <w:sz w:val="22"/>
          <w:szCs w:val="22"/>
        </w:rPr>
      </w:pPr>
    </w:p>
    <w:p w14:paraId="2F23BD35" w14:textId="77777777" w:rsidR="00870328" w:rsidRPr="00EC1202" w:rsidRDefault="00093DA0" w:rsidP="006F02F4">
      <w:pPr>
        <w:pStyle w:val="Ttulo2"/>
        <w:numPr>
          <w:ilvl w:val="0"/>
          <w:numId w:val="0"/>
        </w:numPr>
        <w:rPr>
          <w:rFonts w:cs="Arial"/>
          <w:sz w:val="22"/>
          <w:szCs w:val="22"/>
        </w:rPr>
      </w:pPr>
      <w:r w:rsidRPr="005738BE">
        <w:rPr>
          <w:rFonts w:cs="Arial"/>
          <w:sz w:val="22"/>
          <w:szCs w:val="22"/>
        </w:rPr>
        <w:t>5</w:t>
      </w:r>
      <w:r w:rsidR="00CB10D6" w:rsidRPr="005738BE">
        <w:rPr>
          <w:rFonts w:cs="Arial"/>
          <w:sz w:val="22"/>
          <w:szCs w:val="22"/>
        </w:rPr>
        <w:t xml:space="preserve">.4 </w:t>
      </w:r>
      <w:r w:rsidR="00DA7704" w:rsidRPr="007B52C7">
        <w:rPr>
          <w:rFonts w:cs="Arial"/>
          <w:sz w:val="22"/>
          <w:szCs w:val="22"/>
        </w:rPr>
        <w:t xml:space="preserve">¿Qué pasa si una sociedad no entrega la información que le solicita la Superintendencia de Sociedades? </w:t>
      </w:r>
    </w:p>
    <w:p w14:paraId="091E60FD" w14:textId="77777777" w:rsidR="00DA7704" w:rsidRPr="00EC1202" w:rsidRDefault="00DA7704" w:rsidP="00870328">
      <w:pPr>
        <w:rPr>
          <w:rFonts w:cs="Arial"/>
          <w:sz w:val="22"/>
          <w:szCs w:val="22"/>
        </w:rPr>
      </w:pPr>
    </w:p>
    <w:p w14:paraId="6D7B8F5E" w14:textId="77777777" w:rsidR="00B350B1" w:rsidRPr="005738BE" w:rsidRDefault="00B350B1" w:rsidP="00870328">
      <w:pPr>
        <w:rPr>
          <w:rFonts w:cs="Arial"/>
          <w:sz w:val="22"/>
          <w:szCs w:val="22"/>
        </w:rPr>
      </w:pPr>
      <w:r w:rsidRPr="00D902B7">
        <w:rPr>
          <w:rFonts w:cs="Arial"/>
          <w:sz w:val="22"/>
          <w:szCs w:val="22"/>
        </w:rPr>
        <w:t xml:space="preserve">Las </w:t>
      </w:r>
      <w:r w:rsidR="00042DA7" w:rsidRPr="00D902B7">
        <w:rPr>
          <w:rFonts w:cs="Arial"/>
          <w:sz w:val="22"/>
          <w:szCs w:val="22"/>
        </w:rPr>
        <w:t xml:space="preserve">personas jurídicas </w:t>
      </w:r>
      <w:r w:rsidRPr="00D902B7">
        <w:rPr>
          <w:rFonts w:cs="Arial"/>
          <w:sz w:val="22"/>
          <w:szCs w:val="22"/>
        </w:rPr>
        <w:t>y sucursales de sociedades extranjeras</w:t>
      </w:r>
      <w:r w:rsidR="00042DA7" w:rsidRPr="00305F7C">
        <w:rPr>
          <w:rFonts w:cs="Arial"/>
          <w:sz w:val="22"/>
          <w:szCs w:val="22"/>
        </w:rPr>
        <w:t xml:space="preserve"> con domicilio en </w:t>
      </w:r>
      <w:proofErr w:type="gramStart"/>
      <w:r w:rsidR="00042DA7" w:rsidRPr="00305F7C">
        <w:rPr>
          <w:rFonts w:cs="Arial"/>
          <w:sz w:val="22"/>
          <w:szCs w:val="22"/>
        </w:rPr>
        <w:t>Colombia</w:t>
      </w:r>
      <w:r w:rsidR="00F91C44" w:rsidRPr="005738BE">
        <w:rPr>
          <w:rFonts w:cs="Arial"/>
          <w:sz w:val="22"/>
          <w:szCs w:val="22"/>
        </w:rPr>
        <w:t>,</w:t>
      </w:r>
      <w:proofErr w:type="gramEnd"/>
      <w:r w:rsidRPr="005738BE">
        <w:rPr>
          <w:rFonts w:cs="Arial"/>
          <w:sz w:val="22"/>
          <w:szCs w:val="22"/>
        </w:rPr>
        <w:t xml:space="preserve"> tienen el deber de colaborar con las autoridades</w:t>
      </w:r>
      <w:r w:rsidR="00F91C44" w:rsidRPr="005738BE">
        <w:rPr>
          <w:rFonts w:cs="Arial"/>
          <w:sz w:val="22"/>
          <w:szCs w:val="22"/>
        </w:rPr>
        <w:t xml:space="preserve"> </w:t>
      </w:r>
      <w:r w:rsidR="00042DA7" w:rsidRPr="005738BE">
        <w:rPr>
          <w:rFonts w:cs="Arial"/>
          <w:sz w:val="22"/>
          <w:szCs w:val="22"/>
        </w:rPr>
        <w:t xml:space="preserve">mediante la respuesta </w:t>
      </w:r>
      <w:r w:rsidRPr="005738BE">
        <w:rPr>
          <w:rFonts w:cs="Arial"/>
          <w:sz w:val="22"/>
          <w:szCs w:val="22"/>
        </w:rPr>
        <w:t xml:space="preserve">efectiva </w:t>
      </w:r>
      <w:r w:rsidR="00F91C44" w:rsidRPr="005738BE">
        <w:rPr>
          <w:rFonts w:cs="Arial"/>
          <w:sz w:val="22"/>
          <w:szCs w:val="22"/>
        </w:rPr>
        <w:t>a</w:t>
      </w:r>
      <w:r w:rsidR="00042DA7" w:rsidRPr="005738BE">
        <w:rPr>
          <w:rFonts w:cs="Arial"/>
          <w:sz w:val="22"/>
          <w:szCs w:val="22"/>
        </w:rPr>
        <w:t xml:space="preserve"> </w:t>
      </w:r>
      <w:r w:rsidRPr="005738BE">
        <w:rPr>
          <w:rFonts w:cs="Arial"/>
          <w:sz w:val="22"/>
          <w:szCs w:val="22"/>
        </w:rPr>
        <w:t>los requerimientos que estas realicen en ejercicio de sus competencias</w:t>
      </w:r>
      <w:r w:rsidR="00F91C44" w:rsidRPr="005738BE">
        <w:rPr>
          <w:rFonts w:cs="Arial"/>
          <w:sz w:val="22"/>
          <w:szCs w:val="22"/>
        </w:rPr>
        <w:t>, entre otras acciones</w:t>
      </w:r>
      <w:r w:rsidRPr="005738BE">
        <w:rPr>
          <w:rFonts w:cs="Arial"/>
          <w:sz w:val="22"/>
          <w:szCs w:val="22"/>
        </w:rPr>
        <w:t>.</w:t>
      </w:r>
    </w:p>
    <w:p w14:paraId="3837F199" w14:textId="77777777" w:rsidR="00B350B1" w:rsidRPr="005738BE" w:rsidRDefault="00B350B1" w:rsidP="00870328">
      <w:pPr>
        <w:rPr>
          <w:rFonts w:cs="Arial"/>
          <w:sz w:val="22"/>
          <w:szCs w:val="22"/>
        </w:rPr>
      </w:pPr>
    </w:p>
    <w:p w14:paraId="553C5C83" w14:textId="77777777" w:rsidR="00B350B1" w:rsidRPr="005738BE" w:rsidRDefault="00B350B1" w:rsidP="00870328">
      <w:pPr>
        <w:rPr>
          <w:rFonts w:cs="Arial"/>
          <w:sz w:val="22"/>
          <w:szCs w:val="22"/>
        </w:rPr>
      </w:pPr>
      <w:r w:rsidRPr="005738BE">
        <w:rPr>
          <w:rFonts w:cs="Arial"/>
          <w:sz w:val="22"/>
          <w:szCs w:val="22"/>
        </w:rPr>
        <w:t>No obstante, es posible que algunas de las referidas personas jurídicas actúen de forma tal</w:t>
      </w:r>
      <w:r w:rsidR="00B70326" w:rsidRPr="005738BE">
        <w:rPr>
          <w:rFonts w:cs="Arial"/>
          <w:sz w:val="22"/>
          <w:szCs w:val="22"/>
        </w:rPr>
        <w:t>,</w:t>
      </w:r>
      <w:r w:rsidRPr="005738BE">
        <w:rPr>
          <w:rFonts w:cs="Arial"/>
          <w:sz w:val="22"/>
          <w:szCs w:val="22"/>
        </w:rPr>
        <w:t xml:space="preserve"> que se obstaculice la investigación</w:t>
      </w:r>
      <w:r w:rsidR="0092004E" w:rsidRPr="005738BE">
        <w:rPr>
          <w:rFonts w:cs="Arial"/>
          <w:sz w:val="22"/>
          <w:szCs w:val="22"/>
        </w:rPr>
        <w:t xml:space="preserve"> o que</w:t>
      </w:r>
      <w:r w:rsidR="00042DA7" w:rsidRPr="005738BE">
        <w:rPr>
          <w:rFonts w:cs="Arial"/>
          <w:sz w:val="22"/>
          <w:szCs w:val="22"/>
        </w:rPr>
        <w:t>,</w:t>
      </w:r>
      <w:r w:rsidR="0092004E" w:rsidRPr="005738BE">
        <w:rPr>
          <w:rFonts w:cs="Arial"/>
          <w:sz w:val="22"/>
          <w:szCs w:val="22"/>
        </w:rPr>
        <w:t xml:space="preserve"> de cualquier manera</w:t>
      </w:r>
      <w:r w:rsidR="00042DA7" w:rsidRPr="005738BE">
        <w:rPr>
          <w:rFonts w:cs="Arial"/>
          <w:sz w:val="22"/>
          <w:szCs w:val="22"/>
        </w:rPr>
        <w:t>,</w:t>
      </w:r>
      <w:r w:rsidR="0092004E" w:rsidRPr="005738BE">
        <w:rPr>
          <w:rFonts w:cs="Arial"/>
          <w:sz w:val="22"/>
          <w:szCs w:val="22"/>
        </w:rPr>
        <w:t xml:space="preserve"> </w:t>
      </w:r>
      <w:r w:rsidR="00042DA7" w:rsidRPr="005738BE">
        <w:rPr>
          <w:rFonts w:cs="Arial"/>
          <w:sz w:val="22"/>
          <w:szCs w:val="22"/>
        </w:rPr>
        <w:t xml:space="preserve">impidan </w:t>
      </w:r>
      <w:r w:rsidR="0092004E" w:rsidRPr="005738BE">
        <w:rPr>
          <w:rFonts w:cs="Arial"/>
          <w:sz w:val="22"/>
          <w:szCs w:val="22"/>
        </w:rPr>
        <w:t xml:space="preserve">el ejercicio de las facultades de la entidad. </w:t>
      </w:r>
    </w:p>
    <w:p w14:paraId="07B5F6F1" w14:textId="77777777" w:rsidR="0092004E" w:rsidRPr="005738BE" w:rsidRDefault="0092004E" w:rsidP="00870328">
      <w:pPr>
        <w:rPr>
          <w:rFonts w:cs="Arial"/>
          <w:sz w:val="22"/>
          <w:szCs w:val="22"/>
        </w:rPr>
      </w:pPr>
    </w:p>
    <w:p w14:paraId="6ACF3DDC" w14:textId="75FF493D" w:rsidR="00793BE3" w:rsidRPr="005738BE" w:rsidRDefault="00793BE3" w:rsidP="00870328">
      <w:pPr>
        <w:rPr>
          <w:rFonts w:cs="Arial"/>
          <w:sz w:val="22"/>
          <w:szCs w:val="22"/>
        </w:rPr>
      </w:pPr>
      <w:r w:rsidRPr="005738BE">
        <w:rPr>
          <w:rFonts w:cs="Arial"/>
          <w:sz w:val="22"/>
          <w:szCs w:val="22"/>
        </w:rPr>
        <w:t>Así</w:t>
      </w:r>
      <w:r w:rsidR="00042DA7" w:rsidRPr="005738BE">
        <w:rPr>
          <w:rFonts w:cs="Arial"/>
          <w:sz w:val="22"/>
          <w:szCs w:val="22"/>
        </w:rPr>
        <w:t xml:space="preserve"> las cosas</w:t>
      </w:r>
      <w:r w:rsidRPr="005738BE">
        <w:rPr>
          <w:rFonts w:cs="Arial"/>
          <w:sz w:val="22"/>
          <w:szCs w:val="22"/>
        </w:rPr>
        <w:t xml:space="preserve">, el artículo 21 de la Ley 1778 de 2016, autoriza a la entidad a imponer multas de hasta 200.000 salarios mínimos </w:t>
      </w:r>
      <w:r w:rsidR="00F91C44" w:rsidRPr="005738BE">
        <w:rPr>
          <w:rFonts w:cs="Arial"/>
          <w:sz w:val="22"/>
          <w:szCs w:val="22"/>
        </w:rPr>
        <w:t xml:space="preserve">a </w:t>
      </w:r>
      <w:r w:rsidRPr="005738BE">
        <w:rPr>
          <w:rFonts w:cs="Arial"/>
          <w:sz w:val="22"/>
          <w:szCs w:val="22"/>
        </w:rPr>
        <w:t xml:space="preserve">aquellas </w:t>
      </w:r>
      <w:r w:rsidR="00042DA7" w:rsidRPr="005738BE">
        <w:rPr>
          <w:rFonts w:cs="Arial"/>
          <w:sz w:val="22"/>
          <w:szCs w:val="22"/>
        </w:rPr>
        <w:t xml:space="preserve">personas jurídicas </w:t>
      </w:r>
      <w:r w:rsidRPr="005738BE">
        <w:rPr>
          <w:rFonts w:cs="Arial"/>
          <w:sz w:val="22"/>
          <w:szCs w:val="22"/>
        </w:rPr>
        <w:t xml:space="preserve">o sucursales de sociedades extranjeras que se </w:t>
      </w:r>
      <w:r w:rsidR="00042DA7" w:rsidRPr="005738BE">
        <w:rPr>
          <w:rFonts w:cs="Arial"/>
          <w:sz w:val="22"/>
          <w:szCs w:val="22"/>
        </w:rPr>
        <w:t xml:space="preserve">rehúsen </w:t>
      </w:r>
      <w:r w:rsidRPr="005738BE">
        <w:rPr>
          <w:rFonts w:cs="Arial"/>
          <w:sz w:val="22"/>
          <w:szCs w:val="22"/>
        </w:rPr>
        <w:t xml:space="preserve">a entregar </w:t>
      </w:r>
      <w:r w:rsidR="00042DA7" w:rsidRPr="005738BE">
        <w:rPr>
          <w:rFonts w:cs="Arial"/>
          <w:sz w:val="22"/>
          <w:szCs w:val="22"/>
        </w:rPr>
        <w:t>l</w:t>
      </w:r>
      <w:r w:rsidRPr="005738BE">
        <w:rPr>
          <w:rFonts w:cs="Arial"/>
          <w:sz w:val="22"/>
          <w:szCs w:val="22"/>
        </w:rPr>
        <w:t xml:space="preserve">a información. </w:t>
      </w:r>
      <w:r w:rsidR="00F91C44" w:rsidRPr="005738BE">
        <w:rPr>
          <w:rFonts w:cs="Arial"/>
          <w:sz w:val="22"/>
          <w:szCs w:val="22"/>
        </w:rPr>
        <w:t>También</w:t>
      </w:r>
      <w:r w:rsidRPr="005738BE">
        <w:rPr>
          <w:rFonts w:cs="Arial"/>
          <w:sz w:val="22"/>
          <w:szCs w:val="22"/>
        </w:rPr>
        <w:t xml:space="preserve"> podrán </w:t>
      </w:r>
      <w:r w:rsidR="00DA7704" w:rsidRPr="005738BE">
        <w:rPr>
          <w:rFonts w:cs="Arial"/>
          <w:sz w:val="22"/>
          <w:szCs w:val="22"/>
        </w:rPr>
        <w:t xml:space="preserve">ser sancionadas </w:t>
      </w:r>
      <w:r w:rsidR="00042DA7" w:rsidRPr="005738BE">
        <w:rPr>
          <w:rFonts w:cs="Arial"/>
          <w:sz w:val="22"/>
          <w:szCs w:val="22"/>
        </w:rPr>
        <w:t xml:space="preserve">en el evento en que </w:t>
      </w:r>
      <w:r w:rsidR="00DA7704" w:rsidRPr="005738BE">
        <w:rPr>
          <w:rFonts w:cs="Arial"/>
          <w:sz w:val="22"/>
          <w:szCs w:val="22"/>
        </w:rPr>
        <w:t xml:space="preserve">oculten información, impidan a la autoridad acceder a ella en la forma términos y condiciones en que fue solicitada, no autoricen el acceso a la misma o, cuando entreguen la </w:t>
      </w:r>
      <w:r w:rsidR="00F1160C" w:rsidRPr="005738BE">
        <w:rPr>
          <w:rFonts w:cs="Arial"/>
          <w:sz w:val="22"/>
          <w:szCs w:val="22"/>
        </w:rPr>
        <w:t>información,</w:t>
      </w:r>
      <w:r w:rsidR="00DA7704" w:rsidRPr="005738BE">
        <w:rPr>
          <w:rFonts w:cs="Arial"/>
          <w:sz w:val="22"/>
          <w:szCs w:val="22"/>
        </w:rPr>
        <w:t xml:space="preserve"> pero la misma contenga errores significativos o esté incompleta.</w:t>
      </w:r>
    </w:p>
    <w:p w14:paraId="2BE78AB9" w14:textId="77777777" w:rsidR="00E70DC1" w:rsidRPr="005738BE" w:rsidRDefault="00E70DC1" w:rsidP="00870328">
      <w:pPr>
        <w:rPr>
          <w:rFonts w:cs="Arial"/>
          <w:sz w:val="22"/>
          <w:szCs w:val="22"/>
        </w:rPr>
      </w:pPr>
    </w:p>
    <w:p w14:paraId="6CC1A6E2" w14:textId="77777777" w:rsidR="000C7300" w:rsidRPr="005738BE" w:rsidRDefault="00093DA0" w:rsidP="006F02F4">
      <w:pPr>
        <w:pStyle w:val="Ttulo2"/>
        <w:numPr>
          <w:ilvl w:val="0"/>
          <w:numId w:val="0"/>
        </w:numPr>
        <w:rPr>
          <w:rFonts w:cs="Arial"/>
          <w:sz w:val="22"/>
          <w:szCs w:val="22"/>
        </w:rPr>
      </w:pPr>
      <w:r w:rsidRPr="005738BE">
        <w:rPr>
          <w:rFonts w:cs="Arial"/>
          <w:sz w:val="22"/>
          <w:szCs w:val="22"/>
        </w:rPr>
        <w:t>5</w:t>
      </w:r>
      <w:r w:rsidR="00FA1EDA" w:rsidRPr="005738BE">
        <w:rPr>
          <w:rFonts w:cs="Arial"/>
          <w:sz w:val="22"/>
          <w:szCs w:val="22"/>
        </w:rPr>
        <w:t xml:space="preserve">.5 </w:t>
      </w:r>
      <w:r w:rsidR="000C7300" w:rsidRPr="005738BE">
        <w:rPr>
          <w:rFonts w:cs="Arial"/>
          <w:sz w:val="22"/>
          <w:szCs w:val="22"/>
        </w:rPr>
        <w:t>¿Quiénes juegan un papel importante en las compañías frente a las posibles conductas de soborno internacional?</w:t>
      </w:r>
    </w:p>
    <w:p w14:paraId="5C2C1779" w14:textId="77777777" w:rsidR="00FE1FC9" w:rsidRPr="004B37D2" w:rsidRDefault="00093DA0" w:rsidP="006F02F4">
      <w:pPr>
        <w:pStyle w:val="Ttulo3"/>
        <w:numPr>
          <w:ilvl w:val="0"/>
          <w:numId w:val="0"/>
        </w:numPr>
        <w:rPr>
          <w:rFonts w:cs="Arial"/>
          <w:b w:val="0"/>
          <w:iCs/>
          <w:sz w:val="22"/>
          <w:szCs w:val="22"/>
        </w:rPr>
      </w:pPr>
      <w:r w:rsidRPr="004B37D2">
        <w:rPr>
          <w:rFonts w:cs="Arial"/>
          <w:b w:val="0"/>
          <w:iCs/>
          <w:sz w:val="22"/>
          <w:szCs w:val="22"/>
        </w:rPr>
        <w:t>5</w:t>
      </w:r>
      <w:r w:rsidR="00FA1EDA" w:rsidRPr="004B37D2">
        <w:rPr>
          <w:rFonts w:cs="Arial"/>
          <w:b w:val="0"/>
          <w:iCs/>
          <w:sz w:val="22"/>
          <w:szCs w:val="22"/>
        </w:rPr>
        <w:t>.5.1</w:t>
      </w:r>
      <w:r w:rsidR="00FE1FC9" w:rsidRPr="004B37D2">
        <w:rPr>
          <w:rFonts w:cs="Arial"/>
          <w:b w:val="0"/>
          <w:iCs/>
          <w:sz w:val="22"/>
          <w:szCs w:val="22"/>
        </w:rPr>
        <w:t>El revisor fiscal</w:t>
      </w:r>
    </w:p>
    <w:p w14:paraId="228D620A" w14:textId="77777777" w:rsidR="00FE1FC9" w:rsidRPr="00EC1202" w:rsidRDefault="00FE1FC9" w:rsidP="00870328">
      <w:pPr>
        <w:rPr>
          <w:rFonts w:cs="Arial"/>
          <w:sz w:val="22"/>
          <w:szCs w:val="22"/>
        </w:rPr>
      </w:pPr>
    </w:p>
    <w:p w14:paraId="24F6CE62" w14:textId="77777777" w:rsidR="000C7300" w:rsidRPr="005738BE" w:rsidRDefault="000C7300" w:rsidP="00870328">
      <w:pPr>
        <w:rPr>
          <w:rFonts w:cs="Arial"/>
          <w:sz w:val="22"/>
          <w:szCs w:val="22"/>
        </w:rPr>
      </w:pPr>
      <w:r w:rsidRPr="00D902B7">
        <w:rPr>
          <w:rFonts w:cs="Arial"/>
          <w:sz w:val="22"/>
          <w:szCs w:val="22"/>
        </w:rPr>
        <w:t xml:space="preserve">Con la expedición de la Ley 1778 de 2016, </w:t>
      </w:r>
      <w:r w:rsidR="009D3092" w:rsidRPr="00D902B7">
        <w:rPr>
          <w:rFonts w:cs="Arial"/>
          <w:sz w:val="22"/>
          <w:szCs w:val="22"/>
        </w:rPr>
        <w:t>a</w:t>
      </w:r>
      <w:r w:rsidRPr="00D902B7">
        <w:rPr>
          <w:rFonts w:cs="Arial"/>
          <w:sz w:val="22"/>
          <w:szCs w:val="22"/>
        </w:rPr>
        <w:t xml:space="preserve">l revisor fiscal </w:t>
      </w:r>
      <w:r w:rsidR="009D3092" w:rsidRPr="00D902B7">
        <w:rPr>
          <w:rFonts w:cs="Arial"/>
          <w:sz w:val="22"/>
          <w:szCs w:val="22"/>
        </w:rPr>
        <w:t xml:space="preserve">se le confirieron </w:t>
      </w:r>
      <w:r w:rsidRPr="00305F7C">
        <w:rPr>
          <w:rFonts w:cs="Arial"/>
          <w:sz w:val="22"/>
          <w:szCs w:val="22"/>
        </w:rPr>
        <w:t xml:space="preserve">facultades de veeduría que sobrepasan aquellas de representación de los intereses de los asociados frente a las operaciones que se celebren o ejecuten </w:t>
      </w:r>
      <w:r w:rsidR="00042DA7" w:rsidRPr="005738BE">
        <w:rPr>
          <w:rFonts w:cs="Arial"/>
          <w:sz w:val="22"/>
          <w:szCs w:val="22"/>
        </w:rPr>
        <w:t xml:space="preserve">en </w:t>
      </w:r>
      <w:r w:rsidRPr="005738BE">
        <w:rPr>
          <w:rFonts w:cs="Arial"/>
          <w:sz w:val="22"/>
          <w:szCs w:val="22"/>
        </w:rPr>
        <w:t xml:space="preserve">la empresa. </w:t>
      </w:r>
    </w:p>
    <w:p w14:paraId="2B585AA6" w14:textId="77777777" w:rsidR="000C7300" w:rsidRPr="005738BE" w:rsidRDefault="000C7300" w:rsidP="00870328">
      <w:pPr>
        <w:rPr>
          <w:rFonts w:cs="Arial"/>
          <w:sz w:val="22"/>
          <w:szCs w:val="22"/>
        </w:rPr>
      </w:pPr>
    </w:p>
    <w:p w14:paraId="779A4BFF" w14:textId="2DA1E3A0" w:rsidR="000C7300" w:rsidRDefault="000C7300" w:rsidP="00870328">
      <w:pPr>
        <w:rPr>
          <w:rFonts w:cs="Arial"/>
          <w:sz w:val="22"/>
          <w:szCs w:val="22"/>
        </w:rPr>
      </w:pPr>
      <w:r w:rsidRPr="005738BE">
        <w:rPr>
          <w:rFonts w:cs="Arial"/>
          <w:sz w:val="22"/>
          <w:szCs w:val="22"/>
        </w:rPr>
        <w:t xml:space="preserve">En efecto, de acuerdo con los mandatos del artículo 32° del citado estatuto, los revisores fiscales adquieren </w:t>
      </w:r>
      <w:r w:rsidR="00042DA7" w:rsidRPr="005738BE">
        <w:rPr>
          <w:rFonts w:cs="Arial"/>
          <w:sz w:val="22"/>
          <w:szCs w:val="22"/>
        </w:rPr>
        <w:t xml:space="preserve">el </w:t>
      </w:r>
      <w:r w:rsidRPr="005738BE">
        <w:rPr>
          <w:rFonts w:cs="Arial"/>
          <w:sz w:val="22"/>
          <w:szCs w:val="22"/>
        </w:rPr>
        <w:t>deber de denunciar ante las autoridades penales, disciplinarias y administrativas</w:t>
      </w:r>
      <w:r w:rsidR="00042DA7" w:rsidRPr="005738BE">
        <w:rPr>
          <w:rFonts w:cs="Arial"/>
          <w:sz w:val="22"/>
          <w:szCs w:val="22"/>
        </w:rPr>
        <w:t>,</w:t>
      </w:r>
      <w:r w:rsidRPr="005738BE">
        <w:rPr>
          <w:rFonts w:cs="Arial"/>
          <w:sz w:val="22"/>
          <w:szCs w:val="22"/>
        </w:rPr>
        <w:t xml:space="preserve"> </w:t>
      </w:r>
      <w:r w:rsidR="00DC52F9" w:rsidRPr="005738BE">
        <w:rPr>
          <w:rFonts w:cs="Arial"/>
          <w:sz w:val="22"/>
          <w:szCs w:val="22"/>
        </w:rPr>
        <w:t xml:space="preserve">los posibles actos de corrupción que hubieren detectado en el ejercicio de su cargo. </w:t>
      </w:r>
    </w:p>
    <w:p w14:paraId="36A62F8B" w14:textId="77777777" w:rsidR="00F1160C" w:rsidRDefault="00F1160C" w:rsidP="00870328">
      <w:pPr>
        <w:rPr>
          <w:rFonts w:cs="Arial"/>
          <w:sz w:val="22"/>
          <w:szCs w:val="22"/>
        </w:rPr>
      </w:pPr>
    </w:p>
    <w:p w14:paraId="18790FEF" w14:textId="5EF8207A" w:rsidR="00F1160C" w:rsidRDefault="007B52C7" w:rsidP="00870328">
      <w:pPr>
        <w:rPr>
          <w:rFonts w:cs="Arial"/>
          <w:sz w:val="22"/>
          <w:szCs w:val="22"/>
        </w:rPr>
      </w:pPr>
      <w:r>
        <w:rPr>
          <w:rFonts w:cs="Arial"/>
          <w:sz w:val="22"/>
          <w:szCs w:val="22"/>
        </w:rPr>
        <w:t xml:space="preserve">Sugerimos en este punto, y para ampliar la información relativa al papel que juega el revisor en estos asuntos, consultar la </w:t>
      </w:r>
      <w:r w:rsidR="0082016A">
        <w:rPr>
          <w:rFonts w:cs="Arial"/>
          <w:sz w:val="22"/>
          <w:szCs w:val="22"/>
        </w:rPr>
        <w:t>Guía sobre “El Papel de la Revisoría Fiscal, en la Lucha contra el Soborno Transnacional, el Lavado de Activos y la Financiación del Terrorismo”</w:t>
      </w:r>
      <w:r w:rsidR="00F1160C">
        <w:rPr>
          <w:rFonts w:cs="Arial"/>
          <w:sz w:val="22"/>
          <w:szCs w:val="22"/>
        </w:rPr>
        <w:t>, la cual se encu</w:t>
      </w:r>
      <w:r w:rsidR="004B37D2">
        <w:rPr>
          <w:rFonts w:cs="Arial"/>
          <w:sz w:val="22"/>
          <w:szCs w:val="22"/>
        </w:rPr>
        <w:t>en</w:t>
      </w:r>
      <w:r w:rsidR="00F1160C">
        <w:rPr>
          <w:rFonts w:cs="Arial"/>
          <w:sz w:val="22"/>
          <w:szCs w:val="22"/>
        </w:rPr>
        <w:t xml:space="preserve">tra disponible en el siguiente </w:t>
      </w:r>
      <w:proofErr w:type="gramStart"/>
      <w:r w:rsidR="00F1160C">
        <w:rPr>
          <w:rFonts w:cs="Arial"/>
          <w:sz w:val="22"/>
          <w:szCs w:val="22"/>
        </w:rPr>
        <w:t>link</w:t>
      </w:r>
      <w:proofErr w:type="gramEnd"/>
      <w:r w:rsidR="00F1160C">
        <w:rPr>
          <w:rFonts w:cs="Arial"/>
          <w:sz w:val="22"/>
          <w:szCs w:val="22"/>
        </w:rPr>
        <w:t xml:space="preserve">:  </w:t>
      </w:r>
    </w:p>
    <w:p w14:paraId="60F2816B" w14:textId="77777777" w:rsidR="004B37D2" w:rsidRDefault="004B37D2" w:rsidP="00870328">
      <w:pPr>
        <w:rPr>
          <w:rFonts w:cs="Arial"/>
          <w:sz w:val="22"/>
          <w:szCs w:val="22"/>
        </w:rPr>
      </w:pPr>
    </w:p>
    <w:p w14:paraId="21203869" w14:textId="776505FC" w:rsidR="0082016A" w:rsidRDefault="0082016A" w:rsidP="0082016A">
      <w:pPr>
        <w:rPr>
          <w:rFonts w:cs="Arial"/>
          <w:sz w:val="22"/>
          <w:szCs w:val="22"/>
        </w:rPr>
      </w:pPr>
      <w:hyperlink r:id="rId14" w:history="1">
        <w:r w:rsidRPr="008B0518">
          <w:rPr>
            <w:rStyle w:val="Hipervnculo"/>
            <w:rFonts w:cs="Arial"/>
            <w:sz w:val="22"/>
            <w:szCs w:val="22"/>
          </w:rPr>
          <w:t>https://www.supersociedades.gov.co/Noticias/Publicaciones/Revistas/2019/GUIA-REVISORIA-FISCAL-ST-Y-LAFT.pdf</w:t>
        </w:r>
      </w:hyperlink>
      <w:r w:rsidR="00F1160C">
        <w:rPr>
          <w:rFonts w:cs="Arial"/>
          <w:sz w:val="22"/>
          <w:szCs w:val="22"/>
        </w:rPr>
        <w:t xml:space="preserve"> </w:t>
      </w:r>
    </w:p>
    <w:p w14:paraId="6FA74761" w14:textId="77777777" w:rsidR="0082016A" w:rsidRPr="007B52C7" w:rsidRDefault="0082016A" w:rsidP="00870328">
      <w:pPr>
        <w:rPr>
          <w:rFonts w:cs="Arial"/>
          <w:sz w:val="22"/>
          <w:szCs w:val="22"/>
        </w:rPr>
      </w:pPr>
    </w:p>
    <w:p w14:paraId="5C8653E7" w14:textId="591E5BD7" w:rsidR="00FE1FC9" w:rsidRPr="004B37D2" w:rsidRDefault="00093DA0" w:rsidP="004B37D2">
      <w:pPr>
        <w:spacing w:after="200" w:line="276" w:lineRule="auto"/>
        <w:jc w:val="left"/>
        <w:rPr>
          <w:b/>
          <w:sz w:val="22"/>
          <w:szCs w:val="22"/>
        </w:rPr>
      </w:pPr>
      <w:r w:rsidRPr="004B37D2">
        <w:rPr>
          <w:sz w:val="22"/>
          <w:szCs w:val="22"/>
        </w:rPr>
        <w:t>5</w:t>
      </w:r>
      <w:r w:rsidR="00FA1EDA" w:rsidRPr="004B37D2">
        <w:rPr>
          <w:sz w:val="22"/>
          <w:szCs w:val="22"/>
        </w:rPr>
        <w:t xml:space="preserve">.5.2 </w:t>
      </w:r>
      <w:r w:rsidR="00FE1FC9" w:rsidRPr="004B37D2">
        <w:rPr>
          <w:sz w:val="22"/>
          <w:szCs w:val="22"/>
        </w:rPr>
        <w:t>Los órganos de dirección</w:t>
      </w:r>
    </w:p>
    <w:p w14:paraId="48C9DC5E" w14:textId="0A1EB305" w:rsidR="00FE1FC9" w:rsidRPr="005738BE" w:rsidRDefault="00FE1FC9" w:rsidP="00FE1FC9">
      <w:pPr>
        <w:rPr>
          <w:rFonts w:cs="Arial"/>
          <w:sz w:val="22"/>
          <w:szCs w:val="22"/>
        </w:rPr>
      </w:pPr>
      <w:r w:rsidRPr="0082016A">
        <w:rPr>
          <w:rFonts w:cs="Arial"/>
          <w:sz w:val="22"/>
          <w:szCs w:val="22"/>
        </w:rPr>
        <w:lastRenderedPageBreak/>
        <w:t xml:space="preserve">Los órganos de dirección, como máximos responsables de las decisiones </w:t>
      </w:r>
      <w:r w:rsidR="00042DA7" w:rsidRPr="0082016A">
        <w:rPr>
          <w:rFonts w:cs="Arial"/>
          <w:sz w:val="22"/>
          <w:szCs w:val="22"/>
        </w:rPr>
        <w:t xml:space="preserve">en las </w:t>
      </w:r>
      <w:r w:rsidR="002E1753" w:rsidRPr="00EC1202">
        <w:rPr>
          <w:rFonts w:cs="Arial"/>
          <w:sz w:val="22"/>
          <w:szCs w:val="22"/>
        </w:rPr>
        <w:t>compañías</w:t>
      </w:r>
      <w:r w:rsidR="009D3092" w:rsidRPr="00D902B7">
        <w:rPr>
          <w:rFonts w:cs="Arial"/>
          <w:sz w:val="22"/>
          <w:szCs w:val="22"/>
        </w:rPr>
        <w:t>,</w:t>
      </w:r>
      <w:r w:rsidR="00042DA7" w:rsidRPr="00D902B7">
        <w:rPr>
          <w:rFonts w:cs="Arial"/>
          <w:sz w:val="22"/>
          <w:szCs w:val="22"/>
        </w:rPr>
        <w:t xml:space="preserve"> </w:t>
      </w:r>
      <w:r w:rsidRPr="00D902B7">
        <w:rPr>
          <w:rFonts w:cs="Arial"/>
          <w:sz w:val="22"/>
          <w:szCs w:val="22"/>
        </w:rPr>
        <w:t xml:space="preserve">deberán promover </w:t>
      </w:r>
      <w:r w:rsidRPr="005738BE">
        <w:rPr>
          <w:rFonts w:cs="Arial"/>
          <w:sz w:val="22"/>
          <w:szCs w:val="22"/>
        </w:rPr>
        <w:t xml:space="preserve">una cultura de integridad en contra de conductas de soborno internacional. </w:t>
      </w:r>
    </w:p>
    <w:p w14:paraId="0317DA7E" w14:textId="77777777" w:rsidR="00FE1FC9" w:rsidRPr="005738BE" w:rsidRDefault="00FE1FC9" w:rsidP="00FE1FC9">
      <w:pPr>
        <w:rPr>
          <w:rFonts w:cs="Arial"/>
          <w:sz w:val="22"/>
          <w:szCs w:val="22"/>
        </w:rPr>
      </w:pPr>
    </w:p>
    <w:p w14:paraId="563CC9B5" w14:textId="2787C625" w:rsidR="00905E66" w:rsidRDefault="002E1753" w:rsidP="00FE1FC9">
      <w:pPr>
        <w:rPr>
          <w:rFonts w:cs="Arial"/>
          <w:sz w:val="22"/>
          <w:szCs w:val="22"/>
        </w:rPr>
      </w:pPr>
      <w:r w:rsidRPr="005738BE">
        <w:rPr>
          <w:rFonts w:cs="Arial"/>
          <w:sz w:val="22"/>
          <w:szCs w:val="22"/>
        </w:rPr>
        <w:t>Es así como, u</w:t>
      </w:r>
      <w:r w:rsidR="00FE1FC9" w:rsidRPr="005738BE">
        <w:rPr>
          <w:rFonts w:cs="Arial"/>
          <w:sz w:val="22"/>
          <w:szCs w:val="22"/>
        </w:rPr>
        <w:t xml:space="preserve">n programa de lucha contra el </w:t>
      </w:r>
      <w:r w:rsidR="0082016A">
        <w:rPr>
          <w:rFonts w:cs="Arial"/>
          <w:sz w:val="22"/>
          <w:szCs w:val="22"/>
        </w:rPr>
        <w:t>soborno transnacional</w:t>
      </w:r>
      <w:r w:rsidR="00FE1FC9" w:rsidRPr="0082016A">
        <w:rPr>
          <w:rFonts w:cs="Arial"/>
          <w:sz w:val="22"/>
          <w:szCs w:val="22"/>
        </w:rPr>
        <w:t xml:space="preserve"> debe tener un respaldo firme, explícito y visible por parte </w:t>
      </w:r>
      <w:r w:rsidRPr="0082016A">
        <w:rPr>
          <w:rFonts w:cs="Arial"/>
          <w:sz w:val="22"/>
          <w:szCs w:val="22"/>
        </w:rPr>
        <w:t>de los</w:t>
      </w:r>
      <w:r w:rsidR="00FE1FC9" w:rsidRPr="0082016A">
        <w:rPr>
          <w:rFonts w:cs="Arial"/>
          <w:sz w:val="22"/>
          <w:szCs w:val="22"/>
        </w:rPr>
        <w:t xml:space="preserve"> directivo</w:t>
      </w:r>
      <w:r w:rsidRPr="0082016A">
        <w:rPr>
          <w:rFonts w:cs="Arial"/>
          <w:sz w:val="22"/>
          <w:szCs w:val="22"/>
        </w:rPr>
        <w:t>s</w:t>
      </w:r>
      <w:r w:rsidR="00FE1FC9" w:rsidRPr="0082016A">
        <w:rPr>
          <w:rFonts w:cs="Arial"/>
          <w:sz w:val="22"/>
          <w:szCs w:val="22"/>
        </w:rPr>
        <w:t xml:space="preserve"> de las empresas. </w:t>
      </w:r>
      <w:r w:rsidR="009D3092" w:rsidRPr="0082016A">
        <w:rPr>
          <w:rFonts w:cs="Arial"/>
          <w:sz w:val="22"/>
          <w:szCs w:val="22"/>
        </w:rPr>
        <w:t xml:space="preserve">Las instancias directivas deben </w:t>
      </w:r>
      <w:r w:rsidR="00905E66" w:rsidRPr="0082016A">
        <w:rPr>
          <w:rFonts w:cs="Arial"/>
          <w:sz w:val="22"/>
          <w:szCs w:val="22"/>
        </w:rPr>
        <w:t>irradi</w:t>
      </w:r>
      <w:r w:rsidR="009D3092" w:rsidRPr="00EC1202">
        <w:rPr>
          <w:rFonts w:cs="Arial"/>
          <w:sz w:val="22"/>
          <w:szCs w:val="22"/>
        </w:rPr>
        <w:t>ar</w:t>
      </w:r>
      <w:r w:rsidR="00905E66" w:rsidRPr="00D902B7">
        <w:rPr>
          <w:rFonts w:cs="Arial"/>
          <w:sz w:val="22"/>
          <w:szCs w:val="22"/>
        </w:rPr>
        <w:t xml:space="preserve"> con su ejemplo la cultura organizacional que se desarrolle en beneficio de la prevención y la sanción de </w:t>
      </w:r>
      <w:r w:rsidR="0082016A">
        <w:rPr>
          <w:rFonts w:cs="Arial"/>
          <w:sz w:val="22"/>
          <w:szCs w:val="22"/>
        </w:rPr>
        <w:t xml:space="preserve">esta conducta. </w:t>
      </w:r>
    </w:p>
    <w:p w14:paraId="5A25DF3C" w14:textId="77777777" w:rsidR="0082016A" w:rsidRPr="0082016A" w:rsidRDefault="0082016A" w:rsidP="00FE1FC9">
      <w:pPr>
        <w:rPr>
          <w:rFonts w:cs="Arial"/>
          <w:sz w:val="22"/>
          <w:szCs w:val="22"/>
        </w:rPr>
      </w:pPr>
    </w:p>
    <w:p w14:paraId="196A2CAF" w14:textId="6E5C9723" w:rsidR="00905E66" w:rsidRPr="005738BE" w:rsidRDefault="00905E66" w:rsidP="00FE1FC9">
      <w:pPr>
        <w:rPr>
          <w:rFonts w:cs="Arial"/>
          <w:sz w:val="22"/>
          <w:szCs w:val="22"/>
        </w:rPr>
      </w:pPr>
      <w:r w:rsidRPr="0082016A">
        <w:rPr>
          <w:rFonts w:cs="Arial"/>
          <w:sz w:val="22"/>
          <w:szCs w:val="22"/>
        </w:rPr>
        <w:t>Incluso</w:t>
      </w:r>
      <w:r w:rsidR="005127A4" w:rsidRPr="00EC1202">
        <w:rPr>
          <w:rFonts w:cs="Arial"/>
          <w:sz w:val="22"/>
          <w:szCs w:val="22"/>
        </w:rPr>
        <w:t>,</w:t>
      </w:r>
      <w:r w:rsidRPr="00EC1202">
        <w:rPr>
          <w:rFonts w:cs="Arial"/>
          <w:sz w:val="22"/>
          <w:szCs w:val="22"/>
        </w:rPr>
        <w:t xml:space="preserve"> en formas asociativas menos complejas –</w:t>
      </w:r>
      <w:r w:rsidR="005127A4" w:rsidRPr="00D902B7">
        <w:rPr>
          <w:rFonts w:cs="Arial"/>
          <w:sz w:val="22"/>
          <w:szCs w:val="22"/>
        </w:rPr>
        <w:t xml:space="preserve">aquellas </w:t>
      </w:r>
      <w:r w:rsidRPr="00D902B7">
        <w:rPr>
          <w:rFonts w:cs="Arial"/>
          <w:sz w:val="22"/>
          <w:szCs w:val="22"/>
        </w:rPr>
        <w:t xml:space="preserve">en donde no existan órganos de dirección definidos -, debe </w:t>
      </w:r>
      <w:r w:rsidR="002E1753" w:rsidRPr="00D902B7">
        <w:rPr>
          <w:rFonts w:cs="Arial"/>
          <w:sz w:val="22"/>
          <w:szCs w:val="22"/>
        </w:rPr>
        <w:t xml:space="preserve">haber </w:t>
      </w:r>
      <w:r w:rsidRPr="00D902B7">
        <w:rPr>
          <w:rFonts w:cs="Arial"/>
          <w:sz w:val="22"/>
          <w:szCs w:val="22"/>
        </w:rPr>
        <w:t xml:space="preserve">un </w:t>
      </w:r>
      <w:r w:rsidR="005127A4" w:rsidRPr="00305F7C">
        <w:rPr>
          <w:rFonts w:cs="Arial"/>
          <w:sz w:val="22"/>
          <w:szCs w:val="22"/>
        </w:rPr>
        <w:t xml:space="preserve">comportamiento </w:t>
      </w:r>
      <w:r w:rsidRPr="005738BE">
        <w:rPr>
          <w:rFonts w:cs="Arial"/>
          <w:sz w:val="22"/>
          <w:szCs w:val="22"/>
        </w:rPr>
        <w:t xml:space="preserve">firme y visible </w:t>
      </w:r>
      <w:r w:rsidR="005127A4" w:rsidRPr="005738BE">
        <w:rPr>
          <w:rFonts w:cs="Arial"/>
          <w:sz w:val="22"/>
          <w:szCs w:val="22"/>
        </w:rPr>
        <w:t xml:space="preserve">de </w:t>
      </w:r>
      <w:r w:rsidR="00EC1202">
        <w:rPr>
          <w:rFonts w:cs="Arial"/>
          <w:sz w:val="22"/>
          <w:szCs w:val="22"/>
        </w:rPr>
        <w:t xml:space="preserve">su intolerancia. </w:t>
      </w:r>
      <w:r w:rsidR="002E1753" w:rsidRPr="00EC1202">
        <w:rPr>
          <w:rFonts w:cs="Arial"/>
          <w:sz w:val="22"/>
          <w:szCs w:val="22"/>
        </w:rPr>
        <w:t>L</w:t>
      </w:r>
      <w:r w:rsidRPr="00EC1202">
        <w:rPr>
          <w:rFonts w:cs="Arial"/>
          <w:sz w:val="22"/>
          <w:szCs w:val="22"/>
        </w:rPr>
        <w:t xml:space="preserve">os órganos de dirección </w:t>
      </w:r>
      <w:r w:rsidR="002E1753" w:rsidRPr="00EC1202">
        <w:rPr>
          <w:rFonts w:cs="Arial"/>
          <w:sz w:val="22"/>
          <w:szCs w:val="22"/>
        </w:rPr>
        <w:t xml:space="preserve">deben </w:t>
      </w:r>
      <w:r w:rsidR="005127A4" w:rsidRPr="00D902B7">
        <w:rPr>
          <w:rFonts w:cs="Arial"/>
          <w:sz w:val="22"/>
          <w:szCs w:val="22"/>
        </w:rPr>
        <w:t>procurar</w:t>
      </w:r>
      <w:r w:rsidRPr="00D902B7">
        <w:rPr>
          <w:rFonts w:cs="Arial"/>
          <w:sz w:val="22"/>
          <w:szCs w:val="22"/>
        </w:rPr>
        <w:t xml:space="preserve"> </w:t>
      </w:r>
      <w:r w:rsidR="005127A4" w:rsidRPr="00D902B7">
        <w:rPr>
          <w:rFonts w:cs="Arial"/>
          <w:sz w:val="22"/>
          <w:szCs w:val="22"/>
        </w:rPr>
        <w:t xml:space="preserve">que sean </w:t>
      </w:r>
      <w:r w:rsidRPr="00D902B7">
        <w:rPr>
          <w:rFonts w:cs="Arial"/>
          <w:sz w:val="22"/>
          <w:szCs w:val="22"/>
        </w:rPr>
        <w:t>adop</w:t>
      </w:r>
      <w:r w:rsidR="005127A4" w:rsidRPr="00D902B7">
        <w:rPr>
          <w:rFonts w:cs="Arial"/>
          <w:sz w:val="22"/>
          <w:szCs w:val="22"/>
        </w:rPr>
        <w:t>tados</w:t>
      </w:r>
      <w:r w:rsidRPr="00305F7C">
        <w:rPr>
          <w:rFonts w:cs="Arial"/>
          <w:sz w:val="22"/>
          <w:szCs w:val="22"/>
        </w:rPr>
        <w:t xml:space="preserve"> pro</w:t>
      </w:r>
      <w:r w:rsidR="002E1753" w:rsidRPr="005738BE">
        <w:rPr>
          <w:rFonts w:cs="Arial"/>
          <w:sz w:val="22"/>
          <w:szCs w:val="22"/>
        </w:rPr>
        <w:t>grama</w:t>
      </w:r>
      <w:r w:rsidRPr="005738BE">
        <w:rPr>
          <w:rFonts w:cs="Arial"/>
          <w:sz w:val="22"/>
          <w:szCs w:val="22"/>
        </w:rPr>
        <w:t>s de prevención</w:t>
      </w:r>
      <w:r w:rsidR="005127A4" w:rsidRPr="005738BE">
        <w:rPr>
          <w:rFonts w:cs="Arial"/>
          <w:sz w:val="22"/>
          <w:szCs w:val="22"/>
        </w:rPr>
        <w:t xml:space="preserve"> en la persona jurídica</w:t>
      </w:r>
      <w:r w:rsidRPr="005738BE">
        <w:rPr>
          <w:rFonts w:cs="Arial"/>
          <w:sz w:val="22"/>
          <w:szCs w:val="22"/>
        </w:rPr>
        <w:t xml:space="preserve">, asegurar la toma de decisiones y medidas correctivas ante situaciones </w:t>
      </w:r>
      <w:r w:rsidR="002E1753" w:rsidRPr="005738BE">
        <w:rPr>
          <w:rFonts w:cs="Arial"/>
          <w:sz w:val="22"/>
          <w:szCs w:val="22"/>
        </w:rPr>
        <w:t>de incumplimiento de la</w:t>
      </w:r>
      <w:r w:rsidRPr="005738BE">
        <w:rPr>
          <w:rFonts w:cs="Arial"/>
          <w:sz w:val="22"/>
          <w:szCs w:val="22"/>
        </w:rPr>
        <w:t xml:space="preserve"> ley o que abran la puerta a conductas de soborno internacional. </w:t>
      </w:r>
    </w:p>
    <w:p w14:paraId="6D80C3A1" w14:textId="77777777" w:rsidR="00140736" w:rsidRPr="004B37D2" w:rsidRDefault="00093DA0" w:rsidP="00093DA0">
      <w:pPr>
        <w:pStyle w:val="Ttulo3"/>
        <w:numPr>
          <w:ilvl w:val="0"/>
          <w:numId w:val="0"/>
        </w:numPr>
        <w:rPr>
          <w:rFonts w:cs="Arial"/>
          <w:iCs/>
          <w:sz w:val="22"/>
          <w:szCs w:val="22"/>
        </w:rPr>
      </w:pPr>
      <w:r w:rsidRPr="004B37D2">
        <w:rPr>
          <w:rFonts w:cs="Arial"/>
          <w:b w:val="0"/>
          <w:iCs/>
          <w:sz w:val="22"/>
          <w:szCs w:val="22"/>
        </w:rPr>
        <w:t>5</w:t>
      </w:r>
      <w:r w:rsidR="00FA1EDA" w:rsidRPr="004B37D2">
        <w:rPr>
          <w:rFonts w:cs="Arial"/>
          <w:b w:val="0"/>
          <w:iCs/>
          <w:sz w:val="22"/>
          <w:szCs w:val="22"/>
        </w:rPr>
        <w:t xml:space="preserve">.5.3 </w:t>
      </w:r>
      <w:r w:rsidR="00140736" w:rsidRPr="004B37D2">
        <w:rPr>
          <w:rFonts w:cs="Arial"/>
          <w:b w:val="0"/>
          <w:iCs/>
          <w:sz w:val="22"/>
          <w:szCs w:val="22"/>
        </w:rPr>
        <w:t>El oficial de cumplimiento</w:t>
      </w:r>
    </w:p>
    <w:p w14:paraId="7FDDE927" w14:textId="77777777" w:rsidR="00140736" w:rsidRPr="00EC1202" w:rsidRDefault="00140736">
      <w:pPr>
        <w:rPr>
          <w:rFonts w:cs="Arial"/>
          <w:sz w:val="22"/>
          <w:szCs w:val="22"/>
        </w:rPr>
      </w:pPr>
    </w:p>
    <w:p w14:paraId="7F466C22" w14:textId="77777777" w:rsidR="00140736" w:rsidRPr="005738BE" w:rsidRDefault="00140736" w:rsidP="00140736">
      <w:pPr>
        <w:rPr>
          <w:rFonts w:cs="Arial"/>
          <w:sz w:val="22"/>
          <w:szCs w:val="22"/>
        </w:rPr>
      </w:pPr>
      <w:r w:rsidRPr="00D902B7">
        <w:rPr>
          <w:rFonts w:cs="Arial"/>
          <w:sz w:val="22"/>
          <w:szCs w:val="22"/>
        </w:rPr>
        <w:t>Es un</w:t>
      </w:r>
      <w:r w:rsidR="00122C70" w:rsidRPr="00D902B7">
        <w:rPr>
          <w:rFonts w:cs="Arial"/>
          <w:sz w:val="22"/>
          <w:szCs w:val="22"/>
        </w:rPr>
        <w:t>a persona</w:t>
      </w:r>
      <w:r w:rsidRPr="00D902B7">
        <w:rPr>
          <w:rFonts w:cs="Arial"/>
          <w:sz w:val="22"/>
          <w:szCs w:val="22"/>
        </w:rPr>
        <w:t xml:space="preserve"> que debe contar con la idoneidad, experiencia y liderazgo requeridos para gestionar </w:t>
      </w:r>
      <w:r w:rsidR="00FD051C" w:rsidRPr="00D902B7">
        <w:rPr>
          <w:rFonts w:cs="Arial"/>
          <w:sz w:val="22"/>
          <w:szCs w:val="22"/>
        </w:rPr>
        <w:t xml:space="preserve">los </w:t>
      </w:r>
      <w:r w:rsidRPr="00305F7C">
        <w:rPr>
          <w:rFonts w:cs="Arial"/>
          <w:sz w:val="22"/>
          <w:szCs w:val="22"/>
        </w:rPr>
        <w:t xml:space="preserve">riesgos asociados a </w:t>
      </w:r>
      <w:r w:rsidR="0006176C" w:rsidRPr="005738BE">
        <w:rPr>
          <w:rFonts w:cs="Arial"/>
          <w:sz w:val="22"/>
          <w:szCs w:val="22"/>
        </w:rPr>
        <w:t xml:space="preserve">posibles </w:t>
      </w:r>
      <w:r w:rsidRPr="005738BE">
        <w:rPr>
          <w:rFonts w:cs="Arial"/>
          <w:sz w:val="22"/>
          <w:szCs w:val="22"/>
        </w:rPr>
        <w:t xml:space="preserve">actos de corrupción.  </w:t>
      </w:r>
    </w:p>
    <w:p w14:paraId="4BAF5501" w14:textId="77777777" w:rsidR="006F70DB" w:rsidRPr="005738BE" w:rsidRDefault="006F70DB" w:rsidP="00FE1FC9">
      <w:pPr>
        <w:rPr>
          <w:rFonts w:cs="Arial"/>
          <w:sz w:val="22"/>
          <w:szCs w:val="22"/>
        </w:rPr>
      </w:pPr>
    </w:p>
    <w:p w14:paraId="25862195" w14:textId="77777777" w:rsidR="008933A3" w:rsidRPr="005738BE" w:rsidRDefault="00093DA0" w:rsidP="006F02F4">
      <w:pPr>
        <w:pStyle w:val="Ttulo2"/>
        <w:numPr>
          <w:ilvl w:val="0"/>
          <w:numId w:val="0"/>
        </w:numPr>
        <w:rPr>
          <w:rFonts w:cs="Arial"/>
          <w:sz w:val="22"/>
          <w:szCs w:val="22"/>
        </w:rPr>
      </w:pPr>
      <w:r w:rsidRPr="005738BE">
        <w:rPr>
          <w:rFonts w:cs="Arial"/>
          <w:sz w:val="22"/>
          <w:szCs w:val="22"/>
        </w:rPr>
        <w:t>5</w:t>
      </w:r>
      <w:r w:rsidR="00FA1EDA" w:rsidRPr="005738BE">
        <w:rPr>
          <w:rFonts w:cs="Arial"/>
          <w:sz w:val="22"/>
          <w:szCs w:val="22"/>
        </w:rPr>
        <w:t xml:space="preserve">.6 </w:t>
      </w:r>
      <w:r w:rsidR="007574BF" w:rsidRPr="005738BE">
        <w:rPr>
          <w:rFonts w:cs="Arial"/>
          <w:sz w:val="22"/>
          <w:szCs w:val="22"/>
        </w:rPr>
        <w:t>¿Qué puede hacer una persona jurídica para prevenir el soborno internacional</w:t>
      </w:r>
      <w:r w:rsidR="00493386" w:rsidRPr="005738BE">
        <w:rPr>
          <w:rFonts w:cs="Arial"/>
          <w:sz w:val="22"/>
          <w:szCs w:val="22"/>
        </w:rPr>
        <w:t xml:space="preserve"> o evitar sanciones</w:t>
      </w:r>
      <w:r w:rsidR="007574BF" w:rsidRPr="005738BE">
        <w:rPr>
          <w:rFonts w:cs="Arial"/>
          <w:sz w:val="22"/>
          <w:szCs w:val="22"/>
        </w:rPr>
        <w:t>?</w:t>
      </w:r>
    </w:p>
    <w:p w14:paraId="25C31D7C" w14:textId="77777777" w:rsidR="00117A2D" w:rsidRPr="004B37D2" w:rsidRDefault="00093DA0" w:rsidP="006F02F4">
      <w:pPr>
        <w:pStyle w:val="Ttulo3"/>
        <w:numPr>
          <w:ilvl w:val="0"/>
          <w:numId w:val="0"/>
        </w:numPr>
        <w:rPr>
          <w:rFonts w:cs="Arial"/>
          <w:b w:val="0"/>
          <w:iCs/>
          <w:sz w:val="22"/>
          <w:szCs w:val="22"/>
        </w:rPr>
      </w:pPr>
      <w:r w:rsidRPr="004B37D2">
        <w:rPr>
          <w:rFonts w:cs="Arial"/>
          <w:b w:val="0"/>
          <w:iCs/>
          <w:sz w:val="22"/>
          <w:szCs w:val="22"/>
        </w:rPr>
        <w:t>5</w:t>
      </w:r>
      <w:r w:rsidR="00FA1EDA" w:rsidRPr="004B37D2">
        <w:rPr>
          <w:rFonts w:cs="Arial"/>
          <w:b w:val="0"/>
          <w:iCs/>
          <w:sz w:val="22"/>
          <w:szCs w:val="22"/>
        </w:rPr>
        <w:t xml:space="preserve">.6.1 </w:t>
      </w:r>
      <w:r w:rsidR="0006176C" w:rsidRPr="004B37D2">
        <w:rPr>
          <w:rFonts w:cs="Arial"/>
          <w:b w:val="0"/>
          <w:iCs/>
          <w:sz w:val="22"/>
          <w:szCs w:val="22"/>
        </w:rPr>
        <w:t>Adoptar</w:t>
      </w:r>
      <w:r w:rsidR="00DC52F9" w:rsidRPr="004B37D2">
        <w:rPr>
          <w:rFonts w:cs="Arial"/>
          <w:b w:val="0"/>
          <w:iCs/>
          <w:sz w:val="22"/>
          <w:szCs w:val="22"/>
        </w:rPr>
        <w:t xml:space="preserve"> programas de ética e</w:t>
      </w:r>
      <w:r w:rsidR="00117A2D" w:rsidRPr="004B37D2">
        <w:rPr>
          <w:rFonts w:cs="Arial"/>
          <w:b w:val="0"/>
          <w:iCs/>
          <w:sz w:val="22"/>
          <w:szCs w:val="22"/>
        </w:rPr>
        <w:t>mpresarial</w:t>
      </w:r>
    </w:p>
    <w:p w14:paraId="494ED50B" w14:textId="77777777" w:rsidR="007574BF" w:rsidRPr="005738BE" w:rsidRDefault="007574BF" w:rsidP="007574BF">
      <w:pPr>
        <w:rPr>
          <w:rFonts w:cs="Arial"/>
          <w:sz w:val="22"/>
          <w:szCs w:val="22"/>
        </w:rPr>
      </w:pPr>
    </w:p>
    <w:p w14:paraId="286DFAC8" w14:textId="199B14F6" w:rsidR="00EC1202" w:rsidRDefault="007574BF" w:rsidP="00EC1202">
      <w:pPr>
        <w:rPr>
          <w:rFonts w:cs="Arial"/>
          <w:sz w:val="22"/>
          <w:szCs w:val="22"/>
        </w:rPr>
      </w:pPr>
      <w:r w:rsidRPr="00EC1202">
        <w:rPr>
          <w:rFonts w:cs="Arial"/>
          <w:sz w:val="22"/>
          <w:szCs w:val="22"/>
        </w:rPr>
        <w:t xml:space="preserve">Con el ánimo de promover </w:t>
      </w:r>
      <w:r w:rsidR="00347E03" w:rsidRPr="00EC1202">
        <w:rPr>
          <w:rFonts w:cs="Arial"/>
          <w:sz w:val="22"/>
          <w:szCs w:val="22"/>
        </w:rPr>
        <w:t xml:space="preserve">en las personas jurídicas la </w:t>
      </w:r>
      <w:r w:rsidRPr="00EC1202">
        <w:rPr>
          <w:rFonts w:cs="Arial"/>
          <w:sz w:val="22"/>
          <w:szCs w:val="22"/>
        </w:rPr>
        <w:t xml:space="preserve">cultura de la transparencia </w:t>
      </w:r>
      <w:r w:rsidR="00347E03" w:rsidRPr="00EC1202">
        <w:rPr>
          <w:rFonts w:cs="Arial"/>
          <w:sz w:val="22"/>
          <w:szCs w:val="22"/>
        </w:rPr>
        <w:t>y la ética empresarial, así como la adopción de mecanismos internos anticorrupción, esta Superintendencia</w:t>
      </w:r>
      <w:r w:rsidR="00117A2D" w:rsidRPr="00EC1202">
        <w:rPr>
          <w:rFonts w:cs="Arial"/>
          <w:sz w:val="22"/>
          <w:szCs w:val="22"/>
        </w:rPr>
        <w:t xml:space="preserve"> expidió la </w:t>
      </w:r>
      <w:r w:rsidR="00EC1202">
        <w:rPr>
          <w:rFonts w:cs="Arial"/>
          <w:sz w:val="22"/>
          <w:szCs w:val="22"/>
        </w:rPr>
        <w:t xml:space="preserve">Resolución </w:t>
      </w:r>
      <w:r w:rsidR="00EC1202" w:rsidRPr="004B37D2">
        <w:rPr>
          <w:rFonts w:cs="Arial"/>
          <w:sz w:val="22"/>
          <w:szCs w:val="22"/>
        </w:rPr>
        <w:t>100-006261 del 2 de octubre de 2020, por la cual se establecen los criterios para determinar cuáles sociedades deben adoptar los Programas de Transparencia y Ética Empresarial</w:t>
      </w:r>
      <w:r w:rsidR="00EC1202">
        <w:rPr>
          <w:rStyle w:val="Refdenotaalpie"/>
          <w:rFonts w:cs="Arial"/>
          <w:sz w:val="22"/>
          <w:szCs w:val="22"/>
        </w:rPr>
        <w:footnoteReference w:id="5"/>
      </w:r>
      <w:r w:rsidR="00EC1202" w:rsidRPr="004B37D2">
        <w:rPr>
          <w:rFonts w:cs="Arial"/>
          <w:sz w:val="22"/>
          <w:szCs w:val="22"/>
        </w:rPr>
        <w:t>.</w:t>
      </w:r>
    </w:p>
    <w:p w14:paraId="4FEB86B1" w14:textId="77777777" w:rsidR="00EC1202" w:rsidRPr="004B37D2" w:rsidRDefault="00EC1202" w:rsidP="004B37D2">
      <w:pPr>
        <w:rPr>
          <w:rFonts w:cs="Arial"/>
          <w:sz w:val="22"/>
          <w:szCs w:val="22"/>
        </w:rPr>
      </w:pPr>
    </w:p>
    <w:p w14:paraId="704FED45" w14:textId="11F84DEC" w:rsidR="007574BF" w:rsidRPr="005738BE" w:rsidRDefault="00F203EC" w:rsidP="007574BF">
      <w:pPr>
        <w:rPr>
          <w:rFonts w:cs="Arial"/>
          <w:sz w:val="22"/>
          <w:szCs w:val="22"/>
        </w:rPr>
      </w:pPr>
      <w:r w:rsidRPr="005738BE">
        <w:rPr>
          <w:rFonts w:cs="Arial"/>
          <w:sz w:val="22"/>
          <w:szCs w:val="22"/>
        </w:rPr>
        <w:t xml:space="preserve">Allí </w:t>
      </w:r>
      <w:r w:rsidR="00117A2D" w:rsidRPr="005738BE">
        <w:rPr>
          <w:rFonts w:cs="Arial"/>
          <w:sz w:val="22"/>
          <w:szCs w:val="22"/>
        </w:rPr>
        <w:t>se establec</w:t>
      </w:r>
      <w:r w:rsidRPr="005738BE">
        <w:rPr>
          <w:rFonts w:cs="Arial"/>
          <w:sz w:val="22"/>
          <w:szCs w:val="22"/>
        </w:rPr>
        <w:t>e</w:t>
      </w:r>
      <w:r w:rsidR="00117A2D" w:rsidRPr="005738BE">
        <w:rPr>
          <w:rFonts w:cs="Arial"/>
          <w:sz w:val="22"/>
          <w:szCs w:val="22"/>
        </w:rPr>
        <w:t xml:space="preserve">n </w:t>
      </w:r>
      <w:r w:rsidRPr="005738BE">
        <w:rPr>
          <w:rFonts w:cs="Arial"/>
          <w:sz w:val="22"/>
          <w:szCs w:val="22"/>
        </w:rPr>
        <w:t>l</w:t>
      </w:r>
      <w:r w:rsidR="00117A2D" w:rsidRPr="005738BE">
        <w:rPr>
          <w:rFonts w:cs="Arial"/>
          <w:sz w:val="22"/>
          <w:szCs w:val="22"/>
        </w:rPr>
        <w:t xml:space="preserve">os criterios para determinar qué sociedades deben </w:t>
      </w:r>
      <w:r w:rsidR="005D4555" w:rsidRPr="005738BE">
        <w:rPr>
          <w:rFonts w:cs="Arial"/>
          <w:sz w:val="22"/>
          <w:szCs w:val="22"/>
        </w:rPr>
        <w:t xml:space="preserve">adoptar </w:t>
      </w:r>
      <w:r w:rsidR="00117A2D" w:rsidRPr="005738BE">
        <w:rPr>
          <w:rFonts w:cs="Arial"/>
          <w:sz w:val="22"/>
          <w:szCs w:val="22"/>
        </w:rPr>
        <w:t>los programas de ética empresarial.</w:t>
      </w:r>
    </w:p>
    <w:p w14:paraId="454E6DF2" w14:textId="77777777" w:rsidR="002E1753" w:rsidRPr="005738BE" w:rsidRDefault="002E1753" w:rsidP="002E1753">
      <w:pPr>
        <w:rPr>
          <w:rFonts w:cs="Arial"/>
          <w:sz w:val="22"/>
          <w:szCs w:val="22"/>
        </w:rPr>
      </w:pPr>
    </w:p>
    <w:p w14:paraId="6CDCBCBF" w14:textId="77777777" w:rsidR="002E1753" w:rsidRPr="005738BE" w:rsidRDefault="002E1753" w:rsidP="002E1753">
      <w:pPr>
        <w:rPr>
          <w:rFonts w:cs="Arial"/>
          <w:sz w:val="22"/>
          <w:szCs w:val="22"/>
          <w:lang w:val="es-MX"/>
        </w:rPr>
      </w:pPr>
      <w:r w:rsidRPr="005738BE">
        <w:rPr>
          <w:rFonts w:cs="Arial"/>
          <w:sz w:val="22"/>
          <w:szCs w:val="22"/>
          <w:lang w:val="es-MX"/>
        </w:rPr>
        <w:t>Así mismo, mediante la Circular Externa 100-000</w:t>
      </w:r>
      <w:r w:rsidR="002354E9" w:rsidRPr="005738BE">
        <w:rPr>
          <w:rFonts w:cs="Arial"/>
          <w:sz w:val="22"/>
          <w:szCs w:val="22"/>
          <w:lang w:val="es-MX"/>
        </w:rPr>
        <w:t>00</w:t>
      </w:r>
      <w:r w:rsidRPr="005738BE">
        <w:rPr>
          <w:rFonts w:cs="Arial"/>
          <w:sz w:val="22"/>
          <w:szCs w:val="22"/>
          <w:lang w:val="es-MX"/>
        </w:rPr>
        <w:t xml:space="preserve">3 de 2016, la Superintendencia de Sociedades expidió la guía </w:t>
      </w:r>
      <w:r w:rsidR="000E3E64" w:rsidRPr="005738BE">
        <w:rPr>
          <w:rFonts w:cs="Arial"/>
          <w:sz w:val="22"/>
          <w:szCs w:val="22"/>
          <w:lang w:val="es-MX"/>
        </w:rPr>
        <w:t xml:space="preserve">contentiva de herramientas útiles para la elaboración y puesta en </w:t>
      </w:r>
      <w:r w:rsidRPr="005738BE">
        <w:rPr>
          <w:rFonts w:cs="Arial"/>
          <w:sz w:val="22"/>
          <w:szCs w:val="22"/>
          <w:lang w:val="es-MX"/>
        </w:rPr>
        <w:t xml:space="preserve">marcha </w:t>
      </w:r>
      <w:r w:rsidR="000E3E64" w:rsidRPr="005738BE">
        <w:rPr>
          <w:rFonts w:cs="Arial"/>
          <w:sz w:val="22"/>
          <w:szCs w:val="22"/>
          <w:lang w:val="es-MX"/>
        </w:rPr>
        <w:t xml:space="preserve">de </w:t>
      </w:r>
      <w:r w:rsidRPr="005738BE">
        <w:rPr>
          <w:rFonts w:cs="Arial"/>
          <w:sz w:val="22"/>
          <w:szCs w:val="22"/>
          <w:lang w:val="es-MX"/>
        </w:rPr>
        <w:t xml:space="preserve">programas de </w:t>
      </w:r>
      <w:r w:rsidR="000E3E64" w:rsidRPr="005738BE">
        <w:rPr>
          <w:rFonts w:cs="Arial"/>
          <w:sz w:val="22"/>
          <w:szCs w:val="22"/>
          <w:lang w:val="es-MX"/>
        </w:rPr>
        <w:t xml:space="preserve">trasparencia y ética empresarial, </w:t>
      </w:r>
      <w:r w:rsidR="00BC0E5E" w:rsidRPr="005738BE">
        <w:rPr>
          <w:rFonts w:cs="Arial"/>
          <w:sz w:val="22"/>
          <w:szCs w:val="22"/>
          <w:lang w:val="es-MX"/>
        </w:rPr>
        <w:t xml:space="preserve">así como de los mecanismos internos de auditoría, anticorrupción y prevención del soborno internacional, </w:t>
      </w:r>
      <w:r w:rsidR="005D4555" w:rsidRPr="005738BE">
        <w:rPr>
          <w:rFonts w:cs="Arial"/>
          <w:sz w:val="22"/>
          <w:szCs w:val="22"/>
          <w:lang w:val="es-MX"/>
        </w:rPr>
        <w:t xml:space="preserve">en </w:t>
      </w:r>
      <w:r w:rsidR="000E3E64" w:rsidRPr="005738BE">
        <w:rPr>
          <w:rFonts w:cs="Arial"/>
          <w:sz w:val="22"/>
          <w:szCs w:val="22"/>
          <w:lang w:val="es-MX"/>
        </w:rPr>
        <w:t xml:space="preserve">las </w:t>
      </w:r>
      <w:r w:rsidR="005D4555" w:rsidRPr="005738BE">
        <w:rPr>
          <w:rFonts w:cs="Arial"/>
          <w:sz w:val="22"/>
          <w:szCs w:val="22"/>
          <w:lang w:val="es-MX"/>
        </w:rPr>
        <w:t xml:space="preserve">sociedades vigiladas. </w:t>
      </w:r>
      <w:r w:rsidR="00005197" w:rsidRPr="005738BE">
        <w:rPr>
          <w:rFonts w:cs="Arial"/>
          <w:sz w:val="22"/>
          <w:szCs w:val="22"/>
          <w:lang w:val="es-MX"/>
        </w:rPr>
        <w:t xml:space="preserve"> </w:t>
      </w:r>
      <w:r w:rsidR="00B70326" w:rsidRPr="005738BE">
        <w:rPr>
          <w:rFonts w:cs="Arial"/>
          <w:sz w:val="22"/>
          <w:szCs w:val="22"/>
          <w:lang w:val="es-MX"/>
        </w:rPr>
        <w:t xml:space="preserve"> </w:t>
      </w:r>
    </w:p>
    <w:p w14:paraId="6B41D170" w14:textId="77777777" w:rsidR="00117A2D" w:rsidRPr="005738BE" w:rsidRDefault="00117A2D" w:rsidP="007574BF">
      <w:pPr>
        <w:rPr>
          <w:rFonts w:cs="Arial"/>
          <w:sz w:val="22"/>
          <w:szCs w:val="22"/>
          <w:lang w:val="es-MX"/>
        </w:rPr>
      </w:pPr>
    </w:p>
    <w:p w14:paraId="570C9ED0" w14:textId="77777777" w:rsidR="00962CD2" w:rsidRPr="005738BE" w:rsidRDefault="00117A2D" w:rsidP="00066AD0">
      <w:pPr>
        <w:rPr>
          <w:rFonts w:cs="Arial"/>
          <w:sz w:val="22"/>
          <w:szCs w:val="22"/>
          <w:lang w:val="es-MX"/>
        </w:rPr>
      </w:pPr>
      <w:r w:rsidRPr="005738BE">
        <w:rPr>
          <w:rFonts w:cs="Arial"/>
          <w:sz w:val="22"/>
          <w:szCs w:val="22"/>
          <w:lang w:val="es-MX"/>
        </w:rPr>
        <w:t xml:space="preserve">Ahora bien, </w:t>
      </w:r>
      <w:r w:rsidR="002E1753" w:rsidRPr="005738BE">
        <w:rPr>
          <w:rFonts w:cs="Arial"/>
          <w:sz w:val="22"/>
          <w:szCs w:val="22"/>
          <w:lang w:val="es-MX"/>
        </w:rPr>
        <w:t xml:space="preserve">la </w:t>
      </w:r>
      <w:r w:rsidRPr="005738BE">
        <w:rPr>
          <w:rFonts w:cs="Arial"/>
          <w:sz w:val="22"/>
          <w:szCs w:val="22"/>
          <w:lang w:val="es-MX"/>
        </w:rPr>
        <w:t xml:space="preserve">Superintendencia </w:t>
      </w:r>
      <w:r w:rsidR="002E1753" w:rsidRPr="005738BE">
        <w:rPr>
          <w:rFonts w:cs="Arial"/>
          <w:sz w:val="22"/>
          <w:szCs w:val="22"/>
          <w:lang w:val="es-MX"/>
        </w:rPr>
        <w:t xml:space="preserve">de Sociedades </w:t>
      </w:r>
      <w:r w:rsidRPr="005738BE">
        <w:rPr>
          <w:rFonts w:cs="Arial"/>
          <w:sz w:val="22"/>
          <w:szCs w:val="22"/>
          <w:lang w:val="es-MX"/>
        </w:rPr>
        <w:t xml:space="preserve">ha sido clara en indicar que, si bien la adopción de un programa de ética empresarial sólo es obligatoria ante el cumplimiento de </w:t>
      </w:r>
      <w:r w:rsidRPr="005738BE">
        <w:rPr>
          <w:rFonts w:cs="Arial"/>
          <w:sz w:val="22"/>
          <w:szCs w:val="22"/>
          <w:lang w:val="es-MX"/>
        </w:rPr>
        <w:lastRenderedPageBreak/>
        <w:t>la totalidad de los criterios</w:t>
      </w:r>
      <w:r w:rsidR="00962CD2" w:rsidRPr="005738BE">
        <w:rPr>
          <w:rFonts w:cs="Arial"/>
          <w:sz w:val="22"/>
          <w:szCs w:val="22"/>
          <w:lang w:val="es-MX"/>
        </w:rPr>
        <w:t xml:space="preserve"> </w:t>
      </w:r>
      <w:r w:rsidRPr="005738BE">
        <w:rPr>
          <w:rFonts w:cs="Arial"/>
          <w:sz w:val="22"/>
          <w:szCs w:val="22"/>
          <w:lang w:val="es-MX"/>
        </w:rPr>
        <w:t>señalados</w:t>
      </w:r>
      <w:r w:rsidR="00962CD2" w:rsidRPr="005738BE">
        <w:rPr>
          <w:rFonts w:cs="Arial"/>
          <w:sz w:val="22"/>
          <w:szCs w:val="22"/>
          <w:lang w:val="es-MX"/>
        </w:rPr>
        <w:t xml:space="preserve"> en las resoluciones mencionadas</w:t>
      </w:r>
      <w:r w:rsidRPr="005738BE">
        <w:rPr>
          <w:rFonts w:cs="Arial"/>
          <w:sz w:val="22"/>
          <w:szCs w:val="22"/>
          <w:lang w:val="es-MX"/>
        </w:rPr>
        <w:t>, su adopción voluntaria resulta recomendable</w:t>
      </w:r>
      <w:r w:rsidR="00962CD2" w:rsidRPr="005738BE">
        <w:rPr>
          <w:rFonts w:cs="Arial"/>
          <w:sz w:val="22"/>
          <w:szCs w:val="22"/>
          <w:lang w:val="es-MX"/>
        </w:rPr>
        <w:t xml:space="preserve">. Ello por cuanto, </w:t>
      </w:r>
      <w:r w:rsidRPr="005738BE">
        <w:rPr>
          <w:rFonts w:cs="Arial"/>
          <w:sz w:val="22"/>
          <w:szCs w:val="22"/>
          <w:lang w:val="es-MX"/>
        </w:rPr>
        <w:t xml:space="preserve">además de ser una buena práctica empresarial, la ley lo prevé como un criterio </w:t>
      </w:r>
      <w:r w:rsidR="002E1753" w:rsidRPr="005738BE">
        <w:rPr>
          <w:rFonts w:cs="Arial"/>
          <w:sz w:val="22"/>
          <w:szCs w:val="22"/>
          <w:lang w:val="es-MX"/>
        </w:rPr>
        <w:t>de atenuación</w:t>
      </w:r>
      <w:r w:rsidRPr="005738BE">
        <w:rPr>
          <w:rFonts w:cs="Arial"/>
          <w:sz w:val="22"/>
          <w:szCs w:val="22"/>
          <w:lang w:val="es-MX"/>
        </w:rPr>
        <w:t xml:space="preserve"> de las sanciones </w:t>
      </w:r>
      <w:r w:rsidR="00962CD2" w:rsidRPr="005738BE">
        <w:rPr>
          <w:rFonts w:cs="Arial"/>
          <w:sz w:val="22"/>
          <w:szCs w:val="22"/>
          <w:lang w:val="es-MX"/>
        </w:rPr>
        <w:t xml:space="preserve">a imponer </w:t>
      </w:r>
      <w:r w:rsidRPr="005738BE">
        <w:rPr>
          <w:rFonts w:cs="Arial"/>
          <w:sz w:val="22"/>
          <w:szCs w:val="22"/>
          <w:lang w:val="es-MX"/>
        </w:rPr>
        <w:t xml:space="preserve">por </w:t>
      </w:r>
      <w:r w:rsidR="00962CD2" w:rsidRPr="005738BE">
        <w:rPr>
          <w:rFonts w:cs="Arial"/>
          <w:sz w:val="22"/>
          <w:szCs w:val="22"/>
          <w:lang w:val="es-MX"/>
        </w:rPr>
        <w:t xml:space="preserve">la comisión de </w:t>
      </w:r>
      <w:r w:rsidRPr="005738BE">
        <w:rPr>
          <w:rFonts w:cs="Arial"/>
          <w:sz w:val="22"/>
          <w:szCs w:val="22"/>
          <w:lang w:val="es-MX"/>
        </w:rPr>
        <w:t xml:space="preserve">prácticas de soborno </w:t>
      </w:r>
      <w:r w:rsidR="002E1753" w:rsidRPr="005738BE">
        <w:rPr>
          <w:rFonts w:cs="Arial"/>
          <w:sz w:val="22"/>
          <w:szCs w:val="22"/>
          <w:lang w:val="es-MX"/>
        </w:rPr>
        <w:t>internacional.</w:t>
      </w:r>
      <w:r w:rsidR="00005197" w:rsidRPr="005738BE">
        <w:rPr>
          <w:rFonts w:cs="Arial"/>
          <w:sz w:val="22"/>
          <w:szCs w:val="22"/>
          <w:lang w:val="es-MX"/>
        </w:rPr>
        <w:t xml:space="preserve"> </w:t>
      </w:r>
    </w:p>
    <w:p w14:paraId="1A356569" w14:textId="77777777" w:rsidR="00962CD2" w:rsidRPr="005738BE" w:rsidRDefault="00962CD2" w:rsidP="00066AD0">
      <w:pPr>
        <w:rPr>
          <w:rFonts w:cs="Arial"/>
          <w:sz w:val="22"/>
          <w:szCs w:val="22"/>
          <w:lang w:val="es-MX"/>
        </w:rPr>
      </w:pPr>
    </w:p>
    <w:p w14:paraId="0D802A70" w14:textId="77777777" w:rsidR="00066AD0" w:rsidRPr="005738BE" w:rsidRDefault="00066AD0" w:rsidP="00066AD0">
      <w:pPr>
        <w:rPr>
          <w:rFonts w:cs="Arial"/>
          <w:sz w:val="22"/>
          <w:szCs w:val="22"/>
          <w:lang w:val="es-MX"/>
        </w:rPr>
      </w:pPr>
      <w:r w:rsidRPr="005738BE">
        <w:rPr>
          <w:rFonts w:cs="Arial"/>
          <w:sz w:val="22"/>
          <w:szCs w:val="22"/>
          <w:lang w:val="es-MX"/>
        </w:rPr>
        <w:t xml:space="preserve">En efecto, las sociedades que por su tamaño o actividad no están obligadas </w:t>
      </w:r>
      <w:proofErr w:type="gramStart"/>
      <w:r w:rsidRPr="005738BE">
        <w:rPr>
          <w:rFonts w:cs="Arial"/>
          <w:sz w:val="22"/>
          <w:szCs w:val="22"/>
          <w:lang w:val="es-MX"/>
        </w:rPr>
        <w:t xml:space="preserve">a </w:t>
      </w:r>
      <w:r w:rsidR="00962CD2" w:rsidRPr="005738BE">
        <w:rPr>
          <w:rFonts w:cs="Arial"/>
          <w:sz w:val="22"/>
          <w:szCs w:val="22"/>
          <w:lang w:val="es-MX"/>
        </w:rPr>
        <w:t xml:space="preserve"> adoptar</w:t>
      </w:r>
      <w:proofErr w:type="gramEnd"/>
      <w:r w:rsidR="00962CD2" w:rsidRPr="005738BE">
        <w:rPr>
          <w:rFonts w:cs="Arial"/>
          <w:sz w:val="22"/>
          <w:szCs w:val="22"/>
          <w:lang w:val="es-MX"/>
        </w:rPr>
        <w:t xml:space="preserve"> los programas y mecanismos mencionados, </w:t>
      </w:r>
      <w:r w:rsidRPr="005738BE">
        <w:rPr>
          <w:rFonts w:cs="Arial"/>
          <w:sz w:val="22"/>
          <w:szCs w:val="22"/>
          <w:lang w:val="es-MX"/>
        </w:rPr>
        <w:t xml:space="preserve">tienen </w:t>
      </w:r>
      <w:r w:rsidR="00962CD2" w:rsidRPr="005738BE">
        <w:rPr>
          <w:rFonts w:cs="Arial"/>
          <w:sz w:val="22"/>
          <w:szCs w:val="22"/>
          <w:lang w:val="es-MX"/>
        </w:rPr>
        <w:t>un</w:t>
      </w:r>
      <w:r w:rsidRPr="005738BE">
        <w:rPr>
          <w:rFonts w:cs="Arial"/>
          <w:sz w:val="22"/>
          <w:szCs w:val="22"/>
          <w:lang w:val="es-MX"/>
        </w:rPr>
        <w:t xml:space="preserve"> incentivo</w:t>
      </w:r>
      <w:r w:rsidR="00962CD2" w:rsidRPr="005738BE">
        <w:rPr>
          <w:rFonts w:cs="Arial"/>
          <w:sz w:val="22"/>
          <w:szCs w:val="22"/>
          <w:lang w:val="es-MX"/>
        </w:rPr>
        <w:t xml:space="preserve">, en la  disminución de la sanción, </w:t>
      </w:r>
      <w:r w:rsidRPr="005738BE">
        <w:rPr>
          <w:rFonts w:cs="Arial"/>
          <w:sz w:val="22"/>
          <w:szCs w:val="22"/>
          <w:lang w:val="es-MX"/>
        </w:rPr>
        <w:t xml:space="preserve">para </w:t>
      </w:r>
      <w:r w:rsidR="00F77CAE" w:rsidRPr="005738BE">
        <w:rPr>
          <w:rFonts w:cs="Arial"/>
          <w:sz w:val="22"/>
          <w:szCs w:val="22"/>
          <w:lang w:val="es-MX"/>
        </w:rPr>
        <w:t>ponerlos en marcha</w:t>
      </w:r>
      <w:r w:rsidRPr="005738BE">
        <w:rPr>
          <w:rFonts w:cs="Arial"/>
          <w:sz w:val="22"/>
          <w:szCs w:val="22"/>
          <w:lang w:val="es-MX"/>
        </w:rPr>
        <w:t xml:space="preserve"> voluntariamente.</w:t>
      </w:r>
    </w:p>
    <w:p w14:paraId="08E8D47F" w14:textId="77777777" w:rsidR="006704A6" w:rsidRPr="004B37D2" w:rsidRDefault="00093DA0" w:rsidP="006F02F4">
      <w:pPr>
        <w:pStyle w:val="Ttulo3"/>
        <w:numPr>
          <w:ilvl w:val="0"/>
          <w:numId w:val="0"/>
        </w:numPr>
        <w:rPr>
          <w:rFonts w:cs="Arial"/>
          <w:b w:val="0"/>
          <w:iCs/>
          <w:sz w:val="22"/>
          <w:szCs w:val="22"/>
          <w:lang w:val="es-MX"/>
        </w:rPr>
      </w:pPr>
      <w:r w:rsidRPr="004B37D2">
        <w:rPr>
          <w:rFonts w:cs="Arial"/>
          <w:b w:val="0"/>
          <w:iCs/>
          <w:sz w:val="22"/>
          <w:szCs w:val="22"/>
          <w:lang w:val="es-MX"/>
        </w:rPr>
        <w:t>5</w:t>
      </w:r>
      <w:r w:rsidR="00FA1EDA" w:rsidRPr="004B37D2">
        <w:rPr>
          <w:rFonts w:cs="Arial"/>
          <w:b w:val="0"/>
          <w:iCs/>
          <w:sz w:val="22"/>
          <w:szCs w:val="22"/>
          <w:lang w:val="es-MX"/>
        </w:rPr>
        <w:t xml:space="preserve">.6.2 </w:t>
      </w:r>
      <w:r w:rsidR="009A70B6" w:rsidRPr="004B37D2">
        <w:rPr>
          <w:rFonts w:cs="Arial"/>
          <w:b w:val="0"/>
          <w:iCs/>
          <w:sz w:val="22"/>
          <w:szCs w:val="22"/>
          <w:lang w:val="es-MX"/>
        </w:rPr>
        <w:t>Utilizar el canal de d</w:t>
      </w:r>
      <w:r w:rsidR="004A6849" w:rsidRPr="004B37D2">
        <w:rPr>
          <w:rFonts w:cs="Arial"/>
          <w:b w:val="0"/>
          <w:iCs/>
          <w:sz w:val="22"/>
          <w:szCs w:val="22"/>
          <w:lang w:val="es-MX"/>
        </w:rPr>
        <w:t>enuncias de la Superintendencia de Sociedades</w:t>
      </w:r>
    </w:p>
    <w:p w14:paraId="672CBC63" w14:textId="77777777" w:rsidR="004A6849" w:rsidRPr="00D902B7" w:rsidRDefault="004A6849" w:rsidP="004A6849">
      <w:pPr>
        <w:rPr>
          <w:rFonts w:cs="Arial"/>
          <w:sz w:val="22"/>
          <w:szCs w:val="22"/>
          <w:lang w:val="es-MX"/>
        </w:rPr>
      </w:pPr>
    </w:p>
    <w:p w14:paraId="3A442145" w14:textId="77777777" w:rsidR="004A6849" w:rsidRPr="005738BE" w:rsidRDefault="004A6849" w:rsidP="004A6849">
      <w:pPr>
        <w:rPr>
          <w:rFonts w:cs="Arial"/>
          <w:sz w:val="22"/>
          <w:szCs w:val="22"/>
          <w:lang w:val="es-CO"/>
        </w:rPr>
      </w:pPr>
      <w:r w:rsidRPr="00D902B7">
        <w:rPr>
          <w:rFonts w:cs="Arial"/>
          <w:sz w:val="22"/>
          <w:szCs w:val="22"/>
          <w:lang w:val="es-CO"/>
        </w:rPr>
        <w:t>La Superintendencia de Sociedades</w:t>
      </w:r>
      <w:r w:rsidR="00005197" w:rsidRPr="00D902B7">
        <w:rPr>
          <w:rFonts w:cs="Arial"/>
          <w:sz w:val="22"/>
          <w:szCs w:val="22"/>
          <w:lang w:val="es-CO"/>
        </w:rPr>
        <w:t xml:space="preserve"> puso a</w:t>
      </w:r>
      <w:r w:rsidRPr="00D902B7">
        <w:rPr>
          <w:rFonts w:cs="Arial"/>
          <w:sz w:val="22"/>
          <w:szCs w:val="22"/>
          <w:lang w:val="es-CO"/>
        </w:rPr>
        <w:t xml:space="preserve"> disposición del público un canal de recepción de información </w:t>
      </w:r>
      <w:r w:rsidR="00005197" w:rsidRPr="005738BE">
        <w:rPr>
          <w:rFonts w:cs="Arial"/>
          <w:sz w:val="22"/>
          <w:szCs w:val="22"/>
          <w:lang w:val="es-CO"/>
        </w:rPr>
        <w:t xml:space="preserve">con el fin de que sus usuarios </w:t>
      </w:r>
      <w:r w:rsidRPr="005738BE">
        <w:rPr>
          <w:rFonts w:cs="Arial"/>
          <w:sz w:val="22"/>
          <w:szCs w:val="22"/>
          <w:lang w:val="es-CO"/>
        </w:rPr>
        <w:t xml:space="preserve">puedan poner en conocimiento de la entidad, hechos que </w:t>
      </w:r>
      <w:r w:rsidR="00005197" w:rsidRPr="005738BE">
        <w:rPr>
          <w:rFonts w:cs="Arial"/>
          <w:sz w:val="22"/>
          <w:szCs w:val="22"/>
          <w:lang w:val="es-CO"/>
        </w:rPr>
        <w:t xml:space="preserve">eventualmente </w:t>
      </w:r>
      <w:r w:rsidRPr="005738BE">
        <w:rPr>
          <w:rFonts w:cs="Arial"/>
          <w:sz w:val="22"/>
          <w:szCs w:val="22"/>
          <w:lang w:val="es-CO"/>
        </w:rPr>
        <w:t>ameriten una investigación administrativa</w:t>
      </w:r>
      <w:r w:rsidR="00F77CAE" w:rsidRPr="005738BE">
        <w:rPr>
          <w:rFonts w:cs="Arial"/>
          <w:sz w:val="22"/>
          <w:szCs w:val="22"/>
          <w:lang w:val="es-CO"/>
        </w:rPr>
        <w:t>,</w:t>
      </w:r>
      <w:r w:rsidRPr="005738BE">
        <w:rPr>
          <w:rFonts w:cs="Arial"/>
          <w:sz w:val="22"/>
          <w:szCs w:val="22"/>
          <w:lang w:val="es-CO"/>
        </w:rPr>
        <w:t xml:space="preserve"> con fundamento en la Ley 1778 de 2016.</w:t>
      </w:r>
    </w:p>
    <w:p w14:paraId="62BD1ED8" w14:textId="77777777" w:rsidR="004A6849" w:rsidRPr="005738BE" w:rsidRDefault="004A6849" w:rsidP="004A6849">
      <w:pPr>
        <w:rPr>
          <w:rFonts w:cs="Arial"/>
          <w:sz w:val="22"/>
          <w:szCs w:val="22"/>
          <w:lang w:val="es-CO"/>
        </w:rPr>
      </w:pPr>
    </w:p>
    <w:p w14:paraId="0C5528F3" w14:textId="7DD213A6" w:rsidR="004A6849" w:rsidRDefault="004A6849" w:rsidP="004A6849">
      <w:pPr>
        <w:rPr>
          <w:rFonts w:cs="Arial"/>
          <w:sz w:val="22"/>
          <w:szCs w:val="22"/>
          <w:lang w:val="es-CO"/>
        </w:rPr>
      </w:pPr>
      <w:r w:rsidRPr="005738BE">
        <w:rPr>
          <w:rFonts w:cs="Arial"/>
          <w:sz w:val="22"/>
          <w:szCs w:val="22"/>
          <w:lang w:val="es-CO"/>
        </w:rPr>
        <w:t xml:space="preserve">Una vez </w:t>
      </w:r>
      <w:r w:rsidR="00066AD0" w:rsidRPr="005738BE">
        <w:rPr>
          <w:rFonts w:cs="Arial"/>
          <w:sz w:val="22"/>
          <w:szCs w:val="22"/>
          <w:lang w:val="es-CO"/>
        </w:rPr>
        <w:t xml:space="preserve">recibida la </w:t>
      </w:r>
      <w:r w:rsidRPr="005738BE">
        <w:rPr>
          <w:rFonts w:cs="Arial"/>
          <w:sz w:val="22"/>
          <w:szCs w:val="22"/>
          <w:lang w:val="es-CO"/>
        </w:rPr>
        <w:t>información, la Superintendencia de Sociedades hará una revisión</w:t>
      </w:r>
      <w:r w:rsidR="00EB4DC1" w:rsidRPr="005738BE">
        <w:rPr>
          <w:rFonts w:cs="Arial"/>
          <w:sz w:val="22"/>
          <w:szCs w:val="22"/>
          <w:lang w:val="es-CO"/>
        </w:rPr>
        <w:t>,</w:t>
      </w:r>
      <w:r w:rsidR="00066AD0" w:rsidRPr="005738BE">
        <w:rPr>
          <w:rFonts w:cs="Arial"/>
          <w:sz w:val="22"/>
          <w:szCs w:val="22"/>
          <w:lang w:val="es-CO"/>
        </w:rPr>
        <w:t xml:space="preserve"> </w:t>
      </w:r>
      <w:r w:rsidRPr="005738BE">
        <w:rPr>
          <w:rFonts w:cs="Arial"/>
          <w:sz w:val="22"/>
          <w:szCs w:val="22"/>
          <w:lang w:val="es-CO"/>
        </w:rPr>
        <w:t xml:space="preserve">con base </w:t>
      </w:r>
      <w:r w:rsidR="00066AD0" w:rsidRPr="005738BE">
        <w:rPr>
          <w:rFonts w:cs="Arial"/>
          <w:sz w:val="22"/>
          <w:szCs w:val="22"/>
          <w:lang w:val="es-CO"/>
        </w:rPr>
        <w:t xml:space="preserve">en la cual decidirá sobre la existencia </w:t>
      </w:r>
      <w:r w:rsidR="00EB4DC1" w:rsidRPr="005738BE">
        <w:rPr>
          <w:rFonts w:cs="Arial"/>
          <w:sz w:val="22"/>
          <w:szCs w:val="22"/>
          <w:lang w:val="es-CO"/>
        </w:rPr>
        <w:t xml:space="preserve">o no </w:t>
      </w:r>
      <w:r w:rsidR="00066AD0" w:rsidRPr="005738BE">
        <w:rPr>
          <w:rFonts w:cs="Arial"/>
          <w:sz w:val="22"/>
          <w:szCs w:val="22"/>
          <w:lang w:val="es-CO"/>
        </w:rPr>
        <w:t xml:space="preserve">de </w:t>
      </w:r>
      <w:r w:rsidRPr="005738BE">
        <w:rPr>
          <w:rFonts w:cs="Arial"/>
          <w:sz w:val="22"/>
          <w:szCs w:val="22"/>
          <w:lang w:val="es-CO"/>
        </w:rPr>
        <w:t xml:space="preserve">elementos suficientes </w:t>
      </w:r>
      <w:r w:rsidR="00EB4DC1" w:rsidRPr="005738BE">
        <w:rPr>
          <w:rFonts w:cs="Arial"/>
          <w:sz w:val="22"/>
          <w:szCs w:val="22"/>
          <w:lang w:val="es-CO"/>
        </w:rPr>
        <w:t>para</w:t>
      </w:r>
      <w:r w:rsidR="00066AD0" w:rsidRPr="005738BE">
        <w:rPr>
          <w:rFonts w:cs="Arial"/>
          <w:sz w:val="22"/>
          <w:szCs w:val="22"/>
          <w:lang w:val="es-CO"/>
        </w:rPr>
        <w:t xml:space="preserve"> </w:t>
      </w:r>
      <w:r w:rsidRPr="005738BE">
        <w:rPr>
          <w:rFonts w:cs="Arial"/>
          <w:sz w:val="22"/>
          <w:szCs w:val="22"/>
          <w:lang w:val="es-CO"/>
        </w:rPr>
        <w:t xml:space="preserve">iniciar una actuación administrativa por hechos de soborno </w:t>
      </w:r>
      <w:r w:rsidR="00EC1202">
        <w:rPr>
          <w:rFonts w:cs="Arial"/>
          <w:sz w:val="22"/>
          <w:szCs w:val="22"/>
          <w:lang w:val="es-CO"/>
        </w:rPr>
        <w:t>trans</w:t>
      </w:r>
      <w:r w:rsidRPr="005738BE">
        <w:rPr>
          <w:rFonts w:cs="Arial"/>
          <w:sz w:val="22"/>
          <w:szCs w:val="22"/>
          <w:lang w:val="es-CO"/>
        </w:rPr>
        <w:t>nacional.</w:t>
      </w:r>
    </w:p>
    <w:p w14:paraId="481D9487" w14:textId="31D7EA44" w:rsidR="00EC1202" w:rsidRDefault="00EC1202" w:rsidP="004A6849">
      <w:pPr>
        <w:rPr>
          <w:rFonts w:cs="Arial"/>
          <w:sz w:val="22"/>
          <w:szCs w:val="22"/>
          <w:lang w:val="es-CO"/>
        </w:rPr>
      </w:pPr>
    </w:p>
    <w:p w14:paraId="434309C5" w14:textId="7EBDD8DA" w:rsidR="00EC1202" w:rsidRPr="00EC1202" w:rsidRDefault="00EC1202" w:rsidP="004A6849">
      <w:pPr>
        <w:rPr>
          <w:rFonts w:cs="Arial"/>
          <w:sz w:val="22"/>
          <w:szCs w:val="22"/>
          <w:lang w:val="es-CO"/>
        </w:rPr>
      </w:pPr>
      <w:r>
        <w:rPr>
          <w:rFonts w:cs="Arial"/>
          <w:sz w:val="22"/>
          <w:szCs w:val="22"/>
          <w:lang w:val="es-CO"/>
        </w:rPr>
        <w:t xml:space="preserve">Acceda aquí al </w:t>
      </w:r>
      <w:proofErr w:type="gramStart"/>
      <w:r>
        <w:rPr>
          <w:rFonts w:cs="Arial"/>
          <w:sz w:val="22"/>
          <w:szCs w:val="22"/>
          <w:lang w:val="es-CO"/>
        </w:rPr>
        <w:t>link</w:t>
      </w:r>
      <w:proofErr w:type="gramEnd"/>
      <w:r>
        <w:rPr>
          <w:rFonts w:cs="Arial"/>
          <w:sz w:val="22"/>
          <w:szCs w:val="22"/>
          <w:lang w:val="es-CO"/>
        </w:rPr>
        <w:t xml:space="preserve"> para denuncias por soborno transnacional: </w:t>
      </w:r>
    </w:p>
    <w:p w14:paraId="556405E9" w14:textId="6CEA532E" w:rsidR="004B37D2" w:rsidRDefault="004B37D2" w:rsidP="004B37D2">
      <w:pPr>
        <w:pStyle w:val="Ttulo3"/>
        <w:numPr>
          <w:ilvl w:val="0"/>
          <w:numId w:val="0"/>
        </w:numPr>
        <w:rPr>
          <w:rFonts w:cs="Arial"/>
          <w:b w:val="0"/>
          <w:iCs/>
          <w:sz w:val="22"/>
          <w:szCs w:val="22"/>
          <w:lang w:val="es-MX"/>
        </w:rPr>
      </w:pPr>
      <w:hyperlink r:id="rId15" w:history="1">
        <w:r w:rsidRPr="008B0518">
          <w:rPr>
            <w:rStyle w:val="Hipervnculo"/>
            <w:rFonts w:cs="Arial"/>
            <w:b w:val="0"/>
            <w:iCs/>
            <w:sz w:val="22"/>
            <w:szCs w:val="22"/>
            <w:lang w:val="es-MX"/>
          </w:rPr>
          <w:t>https://www.supersociedades.gov.co/delegatura_aec/Paginas/Denuncia-Soborno-Transnacional.aspx</w:t>
        </w:r>
      </w:hyperlink>
    </w:p>
    <w:p w14:paraId="30C1E81C" w14:textId="77777777" w:rsidR="004B37D2" w:rsidRPr="004B37D2" w:rsidRDefault="004B37D2" w:rsidP="004B37D2">
      <w:pPr>
        <w:rPr>
          <w:lang w:val="es-MX"/>
        </w:rPr>
      </w:pPr>
    </w:p>
    <w:p w14:paraId="2F096860" w14:textId="536A7F74" w:rsidR="009E07EA" w:rsidRPr="004B37D2" w:rsidRDefault="00093DA0" w:rsidP="006F02F4">
      <w:pPr>
        <w:pStyle w:val="Ttulo3"/>
        <w:numPr>
          <w:ilvl w:val="0"/>
          <w:numId w:val="0"/>
        </w:numPr>
        <w:rPr>
          <w:rFonts w:cs="Arial"/>
          <w:b w:val="0"/>
          <w:iCs/>
          <w:sz w:val="22"/>
          <w:szCs w:val="22"/>
          <w:lang w:val="es-MX"/>
        </w:rPr>
      </w:pPr>
      <w:r w:rsidRPr="004B37D2">
        <w:rPr>
          <w:rFonts w:cs="Arial"/>
          <w:b w:val="0"/>
          <w:iCs/>
          <w:sz w:val="22"/>
          <w:szCs w:val="22"/>
          <w:lang w:val="es-MX"/>
        </w:rPr>
        <w:t>5</w:t>
      </w:r>
      <w:r w:rsidR="00FA1EDA" w:rsidRPr="004B37D2">
        <w:rPr>
          <w:rFonts w:cs="Arial"/>
          <w:b w:val="0"/>
          <w:iCs/>
          <w:sz w:val="22"/>
          <w:szCs w:val="22"/>
          <w:lang w:val="es-MX"/>
        </w:rPr>
        <w:t xml:space="preserve">.6.3 </w:t>
      </w:r>
      <w:r w:rsidR="009E07EA" w:rsidRPr="004B37D2">
        <w:rPr>
          <w:rFonts w:cs="Arial"/>
          <w:b w:val="0"/>
          <w:iCs/>
          <w:sz w:val="22"/>
          <w:szCs w:val="22"/>
          <w:lang w:val="es-MX"/>
        </w:rPr>
        <w:t>Colaborar oportunamente con la entrega de información y pruebas sobre conductas de soborno internacional</w:t>
      </w:r>
      <w:r w:rsidR="002A5B09">
        <w:rPr>
          <w:rFonts w:cs="Arial"/>
          <w:b w:val="0"/>
          <w:iCs/>
          <w:sz w:val="22"/>
          <w:szCs w:val="22"/>
          <w:lang w:val="es-MX"/>
        </w:rPr>
        <w:t xml:space="preserve"> y obtener los beneficios por colaboración logrando la exoneración total o parcial de la sanción. </w:t>
      </w:r>
    </w:p>
    <w:p w14:paraId="16F607F0" w14:textId="77777777" w:rsidR="009E07EA" w:rsidRPr="00D902B7" w:rsidRDefault="009E07EA">
      <w:pPr>
        <w:rPr>
          <w:rFonts w:cs="Arial"/>
          <w:sz w:val="22"/>
          <w:szCs w:val="22"/>
          <w:lang w:val="es-MX"/>
        </w:rPr>
      </w:pPr>
    </w:p>
    <w:p w14:paraId="779B4C97" w14:textId="77777777" w:rsidR="009E07EA" w:rsidRPr="005738BE" w:rsidRDefault="009E07EA">
      <w:pPr>
        <w:rPr>
          <w:rFonts w:cs="Arial"/>
          <w:sz w:val="22"/>
          <w:szCs w:val="22"/>
          <w:lang w:val="es-MX"/>
        </w:rPr>
      </w:pPr>
      <w:r w:rsidRPr="00D902B7">
        <w:rPr>
          <w:rFonts w:cs="Arial"/>
          <w:sz w:val="22"/>
          <w:szCs w:val="22"/>
          <w:lang w:val="es-MX"/>
        </w:rPr>
        <w:t xml:space="preserve">Los sujetos de la responsabilidad administrativa por soborno de servidores públicos extranjeros en negocios </w:t>
      </w:r>
      <w:proofErr w:type="gramStart"/>
      <w:r w:rsidRPr="00D902B7">
        <w:rPr>
          <w:rFonts w:cs="Arial"/>
          <w:sz w:val="22"/>
          <w:szCs w:val="22"/>
          <w:lang w:val="es-MX"/>
        </w:rPr>
        <w:t>internacionales</w:t>
      </w:r>
      <w:r w:rsidR="00BE0912" w:rsidRPr="00D902B7">
        <w:rPr>
          <w:rFonts w:cs="Arial"/>
          <w:sz w:val="22"/>
          <w:szCs w:val="22"/>
          <w:lang w:val="es-MX"/>
        </w:rPr>
        <w:t>,</w:t>
      </w:r>
      <w:proofErr w:type="gramEnd"/>
      <w:r w:rsidRPr="00305F7C">
        <w:rPr>
          <w:rFonts w:cs="Arial"/>
          <w:sz w:val="22"/>
          <w:szCs w:val="22"/>
          <w:lang w:val="es-MX"/>
        </w:rPr>
        <w:t xml:space="preserve"> deben poner en conocimiento de la Superintendencia de Sociedades estos hechos y colaborar oportunamente con la entrega de información y pruebas relacionadas. </w:t>
      </w:r>
    </w:p>
    <w:p w14:paraId="1BD624DC" w14:textId="77777777" w:rsidR="009E07EA" w:rsidRPr="005738BE" w:rsidRDefault="009E07EA">
      <w:pPr>
        <w:rPr>
          <w:rFonts w:cs="Arial"/>
          <w:sz w:val="22"/>
          <w:szCs w:val="22"/>
          <w:lang w:val="es-MX"/>
        </w:rPr>
      </w:pPr>
    </w:p>
    <w:p w14:paraId="0150C3E6" w14:textId="77777777" w:rsidR="009E07EA" w:rsidRPr="005738BE" w:rsidRDefault="009E07EA">
      <w:pPr>
        <w:rPr>
          <w:rFonts w:cs="Arial"/>
          <w:color w:val="000000"/>
          <w:sz w:val="22"/>
          <w:szCs w:val="22"/>
          <w:shd w:val="clear" w:color="auto" w:fill="FFFFFF"/>
        </w:rPr>
      </w:pPr>
      <w:r w:rsidRPr="005738BE">
        <w:rPr>
          <w:rFonts w:cs="Arial"/>
          <w:sz w:val="22"/>
          <w:szCs w:val="22"/>
          <w:lang w:val="es-MX"/>
        </w:rPr>
        <w:t>Los beneficios por colaboración podrán incluir la exoneración total o parcial de la sanción</w:t>
      </w:r>
      <w:r w:rsidR="00BE0912" w:rsidRPr="005738BE">
        <w:rPr>
          <w:rFonts w:cs="Arial"/>
          <w:sz w:val="22"/>
          <w:szCs w:val="22"/>
          <w:lang w:val="es-MX"/>
        </w:rPr>
        <w:t>,</w:t>
      </w:r>
      <w:r w:rsidRPr="005738BE">
        <w:rPr>
          <w:rFonts w:cs="Arial"/>
          <w:sz w:val="22"/>
          <w:szCs w:val="22"/>
          <w:lang w:val="es-MX"/>
        </w:rPr>
        <w:t xml:space="preserve"> siempre que la </w:t>
      </w:r>
      <w:r w:rsidR="00BE0912" w:rsidRPr="005738BE">
        <w:rPr>
          <w:rFonts w:cs="Arial"/>
          <w:sz w:val="22"/>
          <w:szCs w:val="22"/>
          <w:lang w:val="es-MX"/>
        </w:rPr>
        <w:t xml:space="preserve">información suministrada </w:t>
      </w:r>
      <w:r w:rsidRPr="005738BE">
        <w:rPr>
          <w:rFonts w:cs="Arial"/>
          <w:sz w:val="22"/>
          <w:szCs w:val="22"/>
          <w:lang w:val="es-MX"/>
        </w:rPr>
        <w:t xml:space="preserve">sea de calidad, oportuna y </w:t>
      </w:r>
      <w:r w:rsidRPr="005738BE">
        <w:rPr>
          <w:rFonts w:cs="Arial"/>
          <w:color w:val="000000"/>
          <w:sz w:val="22"/>
          <w:szCs w:val="22"/>
          <w:shd w:val="clear" w:color="auto" w:fill="FFFFFF"/>
        </w:rPr>
        <w:t>útil para el esclarecimiento de los hechos, para la represión de las conductas y para determinar su modalidad, duración y efectos</w:t>
      </w:r>
      <w:r w:rsidR="006332CD" w:rsidRPr="005738BE">
        <w:rPr>
          <w:rFonts w:cs="Arial"/>
          <w:color w:val="000000"/>
          <w:sz w:val="22"/>
          <w:szCs w:val="22"/>
          <w:shd w:val="clear" w:color="auto" w:fill="FFFFFF"/>
        </w:rPr>
        <w:t xml:space="preserve">. También </w:t>
      </w:r>
      <w:r w:rsidR="00BE0912" w:rsidRPr="005738BE">
        <w:rPr>
          <w:rFonts w:cs="Arial"/>
          <w:color w:val="000000"/>
          <w:sz w:val="22"/>
          <w:szCs w:val="22"/>
          <w:shd w:val="clear" w:color="auto" w:fill="FFFFFF"/>
        </w:rPr>
        <w:t>para determinar</w:t>
      </w:r>
      <w:r w:rsidRPr="005738BE">
        <w:rPr>
          <w:rFonts w:cs="Arial"/>
          <w:color w:val="000000"/>
          <w:sz w:val="22"/>
          <w:szCs w:val="22"/>
          <w:shd w:val="clear" w:color="auto" w:fill="FFFFFF"/>
        </w:rPr>
        <w:t xml:space="preserve"> la identidad de los responsables, su grado de participación y el beneficio que hubier</w:t>
      </w:r>
      <w:r w:rsidR="00BE0912" w:rsidRPr="005738BE">
        <w:rPr>
          <w:rFonts w:cs="Arial"/>
          <w:color w:val="000000"/>
          <w:sz w:val="22"/>
          <w:szCs w:val="22"/>
          <w:shd w:val="clear" w:color="auto" w:fill="FFFFFF"/>
        </w:rPr>
        <w:t>en</w:t>
      </w:r>
      <w:r w:rsidRPr="005738BE">
        <w:rPr>
          <w:rFonts w:cs="Arial"/>
          <w:color w:val="000000"/>
          <w:sz w:val="22"/>
          <w:szCs w:val="22"/>
          <w:shd w:val="clear" w:color="auto" w:fill="FFFFFF"/>
        </w:rPr>
        <w:t xml:space="preserve"> obtenido con ella.</w:t>
      </w:r>
    </w:p>
    <w:p w14:paraId="1277F5F8" w14:textId="77777777" w:rsidR="009E07EA" w:rsidRPr="005738BE" w:rsidRDefault="009E07EA">
      <w:pPr>
        <w:rPr>
          <w:rFonts w:cs="Arial"/>
          <w:color w:val="000000"/>
          <w:sz w:val="22"/>
          <w:szCs w:val="22"/>
          <w:shd w:val="clear" w:color="auto" w:fill="FFFFFF"/>
        </w:rPr>
      </w:pPr>
    </w:p>
    <w:p w14:paraId="1F23F367" w14:textId="77777777" w:rsidR="009E07EA" w:rsidRPr="005738BE" w:rsidRDefault="009E07EA" w:rsidP="009E07EA">
      <w:pPr>
        <w:shd w:val="clear" w:color="auto" w:fill="FFFFFF"/>
        <w:rPr>
          <w:rFonts w:cs="Arial"/>
          <w:color w:val="333333"/>
          <w:sz w:val="22"/>
          <w:szCs w:val="22"/>
          <w:lang w:val="es-CO" w:eastAsia="es-CO"/>
        </w:rPr>
      </w:pPr>
      <w:r w:rsidRPr="005738BE">
        <w:rPr>
          <w:rFonts w:cs="Arial"/>
          <w:color w:val="000000"/>
          <w:sz w:val="22"/>
          <w:szCs w:val="22"/>
          <w:lang w:val="es-CO" w:eastAsia="es-CO"/>
        </w:rPr>
        <w:t>La exoneración total podrá ser concedida siempre que</w:t>
      </w:r>
      <w:r w:rsidR="00BE0912" w:rsidRPr="005738BE">
        <w:rPr>
          <w:rFonts w:cs="Arial"/>
          <w:color w:val="000000"/>
          <w:sz w:val="22"/>
          <w:szCs w:val="22"/>
          <w:lang w:val="es-CO" w:eastAsia="es-CO"/>
        </w:rPr>
        <w:t>,</w:t>
      </w:r>
      <w:r w:rsidRPr="005738BE">
        <w:rPr>
          <w:rFonts w:cs="Arial"/>
          <w:color w:val="000000"/>
          <w:sz w:val="22"/>
          <w:szCs w:val="22"/>
          <w:lang w:val="es-CO" w:eastAsia="es-CO"/>
        </w:rPr>
        <w:t xml:space="preserve"> de manera previa a que se hubiere iniciado la correspondiente actuación administrativa, la persona jurídica: (i) haya puesto </w:t>
      </w:r>
      <w:r w:rsidR="00BE0912" w:rsidRPr="005738BE">
        <w:rPr>
          <w:rFonts w:cs="Arial"/>
          <w:color w:val="000000"/>
          <w:sz w:val="22"/>
          <w:szCs w:val="22"/>
          <w:lang w:val="es-CO" w:eastAsia="es-CO"/>
        </w:rPr>
        <w:t xml:space="preserve">las infracciones </w:t>
      </w:r>
      <w:r w:rsidRPr="005738BE">
        <w:rPr>
          <w:rFonts w:cs="Arial"/>
          <w:color w:val="000000"/>
          <w:sz w:val="22"/>
          <w:szCs w:val="22"/>
          <w:lang w:val="es-CO" w:eastAsia="es-CO"/>
        </w:rPr>
        <w:t>en conocimiento de la Superintendencia y (</w:t>
      </w:r>
      <w:proofErr w:type="spellStart"/>
      <w:r w:rsidRPr="005738BE">
        <w:rPr>
          <w:rFonts w:cs="Arial"/>
          <w:color w:val="000000"/>
          <w:sz w:val="22"/>
          <w:szCs w:val="22"/>
          <w:lang w:val="es-CO" w:eastAsia="es-CO"/>
        </w:rPr>
        <w:t>ii</w:t>
      </w:r>
      <w:proofErr w:type="spellEnd"/>
      <w:r w:rsidRPr="005738BE">
        <w:rPr>
          <w:rFonts w:cs="Arial"/>
          <w:color w:val="000000"/>
          <w:sz w:val="22"/>
          <w:szCs w:val="22"/>
          <w:lang w:val="es-CO" w:eastAsia="es-CO"/>
        </w:rPr>
        <w:t>) no se hayan ejercido las obligaciones y derechos que surgieren de un contrato originado en un negocio internacional.</w:t>
      </w:r>
    </w:p>
    <w:p w14:paraId="413D8043" w14:textId="77777777" w:rsidR="009E07EA" w:rsidRPr="005738BE" w:rsidRDefault="009E07EA" w:rsidP="009E07EA">
      <w:pPr>
        <w:shd w:val="clear" w:color="auto" w:fill="FFFFFF"/>
        <w:jc w:val="left"/>
        <w:rPr>
          <w:rFonts w:cs="Arial"/>
          <w:color w:val="000000"/>
          <w:sz w:val="22"/>
          <w:szCs w:val="22"/>
          <w:lang w:val="es-CO" w:eastAsia="es-CO"/>
        </w:rPr>
      </w:pPr>
      <w:r w:rsidRPr="005738BE">
        <w:rPr>
          <w:rFonts w:cs="Arial"/>
          <w:color w:val="000000"/>
          <w:sz w:val="22"/>
          <w:szCs w:val="22"/>
          <w:lang w:val="es-CO" w:eastAsia="es-CO"/>
        </w:rPr>
        <w:t> </w:t>
      </w:r>
    </w:p>
    <w:p w14:paraId="6F6E5142" w14:textId="41242A63" w:rsidR="009E07EA" w:rsidRDefault="006332CD" w:rsidP="009E07EA">
      <w:pPr>
        <w:shd w:val="clear" w:color="auto" w:fill="FFFFFF"/>
        <w:rPr>
          <w:rFonts w:cs="Arial"/>
          <w:color w:val="000000"/>
          <w:sz w:val="22"/>
          <w:szCs w:val="22"/>
          <w:lang w:val="es-CO" w:eastAsia="es-CO"/>
        </w:rPr>
      </w:pPr>
      <w:r w:rsidRPr="005738BE">
        <w:rPr>
          <w:rFonts w:cs="Arial"/>
          <w:color w:val="000000"/>
          <w:sz w:val="22"/>
          <w:szCs w:val="22"/>
          <w:lang w:val="es-CO" w:eastAsia="es-CO"/>
        </w:rPr>
        <w:lastRenderedPageBreak/>
        <w:t>A su turno, l</w:t>
      </w:r>
      <w:r w:rsidR="009E07EA" w:rsidRPr="005738BE">
        <w:rPr>
          <w:rFonts w:cs="Arial"/>
          <w:color w:val="000000"/>
          <w:sz w:val="22"/>
          <w:szCs w:val="22"/>
          <w:lang w:val="es-CO" w:eastAsia="es-CO"/>
        </w:rPr>
        <w:t xml:space="preserve">a exoneración parcial podrá ser concedida cuando la información haya sido entregada de manera posterior a la iniciación de la actuación administrativa. En </w:t>
      </w:r>
      <w:r w:rsidRPr="005738BE">
        <w:rPr>
          <w:rFonts w:cs="Arial"/>
          <w:color w:val="000000"/>
          <w:sz w:val="22"/>
          <w:szCs w:val="22"/>
          <w:lang w:val="es-CO" w:eastAsia="es-CO"/>
        </w:rPr>
        <w:t xml:space="preserve">este evento, si la sanción que se impone es una multa, su disminución no podrá </w:t>
      </w:r>
      <w:r w:rsidR="009E07EA" w:rsidRPr="005738BE">
        <w:rPr>
          <w:rFonts w:cs="Arial"/>
          <w:color w:val="000000"/>
          <w:sz w:val="22"/>
          <w:szCs w:val="22"/>
          <w:lang w:val="es-CO" w:eastAsia="es-CO"/>
        </w:rPr>
        <w:t>exceder del 50%</w:t>
      </w:r>
      <w:r w:rsidRPr="005738BE">
        <w:rPr>
          <w:rFonts w:cs="Arial"/>
          <w:color w:val="000000"/>
          <w:sz w:val="22"/>
          <w:szCs w:val="22"/>
          <w:lang w:val="es-CO" w:eastAsia="es-CO"/>
        </w:rPr>
        <w:t xml:space="preserve">. </w:t>
      </w:r>
    </w:p>
    <w:p w14:paraId="237AE285" w14:textId="3C50D7E4" w:rsidR="00D902B7" w:rsidRDefault="00D902B7" w:rsidP="009E07EA">
      <w:pPr>
        <w:shd w:val="clear" w:color="auto" w:fill="FFFFFF"/>
        <w:rPr>
          <w:rFonts w:cs="Arial"/>
          <w:color w:val="000000"/>
          <w:sz w:val="22"/>
          <w:szCs w:val="22"/>
          <w:lang w:val="es-CO" w:eastAsia="es-CO"/>
        </w:rPr>
      </w:pPr>
    </w:p>
    <w:p w14:paraId="6A1C96D6" w14:textId="77777777" w:rsidR="00D902B7" w:rsidRDefault="00D902B7" w:rsidP="009E07EA">
      <w:pPr>
        <w:shd w:val="clear" w:color="auto" w:fill="FFFFFF"/>
        <w:rPr>
          <w:rFonts w:cs="Arial"/>
          <w:color w:val="000000"/>
          <w:sz w:val="22"/>
          <w:szCs w:val="22"/>
          <w:lang w:val="es-CO" w:eastAsia="es-CO"/>
        </w:rPr>
      </w:pPr>
      <w:r>
        <w:rPr>
          <w:rFonts w:cs="Arial"/>
          <w:color w:val="000000"/>
          <w:sz w:val="22"/>
          <w:szCs w:val="22"/>
          <w:lang w:val="es-CO" w:eastAsia="es-CO"/>
        </w:rPr>
        <w:t xml:space="preserve">La Superintendencia de Sociedades ha desarrollado con mayor detalle el trámite de Solicitud de Beneficios por Colaboración a través de la Resolución No. 200-000816 del 27 de septiembre de 2018. Consúltela aquí: </w:t>
      </w:r>
    </w:p>
    <w:p w14:paraId="76303B12" w14:textId="77777777" w:rsidR="009E07EA" w:rsidRPr="00D902B7" w:rsidRDefault="009E07EA">
      <w:pPr>
        <w:rPr>
          <w:rFonts w:cs="Arial"/>
          <w:sz w:val="22"/>
          <w:szCs w:val="22"/>
          <w:lang w:val="es-CO"/>
        </w:rPr>
      </w:pPr>
    </w:p>
    <w:p w14:paraId="33572989" w14:textId="77777777" w:rsidR="00E70DC1" w:rsidRPr="005738BE" w:rsidRDefault="00E70DC1">
      <w:pPr>
        <w:rPr>
          <w:rFonts w:cs="Arial"/>
          <w:sz w:val="22"/>
          <w:szCs w:val="22"/>
          <w:lang w:val="es-CO"/>
        </w:rPr>
      </w:pPr>
    </w:p>
    <w:p w14:paraId="1D123B71" w14:textId="185B0237" w:rsidR="00A40ACF" w:rsidRDefault="00F839B0" w:rsidP="006F70DB">
      <w:pPr>
        <w:widowControl w:val="0"/>
        <w:autoSpaceDE w:val="0"/>
        <w:autoSpaceDN w:val="0"/>
        <w:adjustRightInd w:val="0"/>
        <w:spacing w:line="271" w:lineRule="exact"/>
        <w:ind w:left="100" w:right="-1"/>
        <w:rPr>
          <w:rFonts w:cs="Arial"/>
          <w:b/>
          <w:bCs/>
          <w:iCs/>
          <w:position w:val="-1"/>
          <w:sz w:val="22"/>
          <w:szCs w:val="22"/>
        </w:rPr>
      </w:pPr>
      <w:r w:rsidRPr="005738BE">
        <w:rPr>
          <w:rFonts w:cs="Arial"/>
          <w:b/>
          <w:bCs/>
          <w:iCs/>
          <w:position w:val="-1"/>
          <w:sz w:val="22"/>
          <w:szCs w:val="22"/>
        </w:rPr>
        <w:t>6</w:t>
      </w:r>
      <w:r w:rsidR="00FA1EDA" w:rsidRPr="005738BE">
        <w:rPr>
          <w:rFonts w:cs="Arial"/>
          <w:b/>
          <w:bCs/>
          <w:iCs/>
          <w:position w:val="-1"/>
          <w:sz w:val="22"/>
          <w:szCs w:val="22"/>
        </w:rPr>
        <w:t xml:space="preserve">. </w:t>
      </w:r>
      <w:r w:rsidR="00A40ACF">
        <w:rPr>
          <w:rFonts w:cs="Arial"/>
          <w:b/>
          <w:bCs/>
          <w:iCs/>
          <w:position w:val="-1"/>
          <w:sz w:val="22"/>
          <w:szCs w:val="22"/>
        </w:rPr>
        <w:t xml:space="preserve">CURSO SOBRE SOBORNO TRANSNACIONAL </w:t>
      </w:r>
    </w:p>
    <w:p w14:paraId="7670AE86" w14:textId="5BE453DF" w:rsidR="00D902B7" w:rsidRDefault="00D902B7" w:rsidP="006F70DB">
      <w:pPr>
        <w:widowControl w:val="0"/>
        <w:autoSpaceDE w:val="0"/>
        <w:autoSpaceDN w:val="0"/>
        <w:adjustRightInd w:val="0"/>
        <w:spacing w:line="271" w:lineRule="exact"/>
        <w:ind w:left="100" w:right="-1"/>
        <w:rPr>
          <w:rFonts w:cs="Arial"/>
          <w:b/>
          <w:bCs/>
          <w:iCs/>
          <w:position w:val="-1"/>
          <w:sz w:val="22"/>
          <w:szCs w:val="22"/>
        </w:rPr>
      </w:pPr>
    </w:p>
    <w:p w14:paraId="34B60CCF" w14:textId="1543EFDF" w:rsidR="00D902B7" w:rsidRDefault="00D902B7" w:rsidP="006F70DB">
      <w:pPr>
        <w:widowControl w:val="0"/>
        <w:autoSpaceDE w:val="0"/>
        <w:autoSpaceDN w:val="0"/>
        <w:adjustRightInd w:val="0"/>
        <w:spacing w:line="271" w:lineRule="exact"/>
        <w:ind w:left="100" w:right="-1"/>
        <w:rPr>
          <w:rFonts w:cs="Arial"/>
          <w:b/>
          <w:bCs/>
          <w:iCs/>
          <w:position w:val="-1"/>
          <w:sz w:val="22"/>
          <w:szCs w:val="22"/>
          <w:lang w:val="es-CO"/>
        </w:rPr>
      </w:pPr>
      <w:r w:rsidRPr="004B37D2">
        <w:rPr>
          <w:rFonts w:cs="Arial"/>
          <w:iCs/>
          <w:position w:val="-1"/>
          <w:sz w:val="22"/>
          <w:szCs w:val="22"/>
          <w:lang w:val="es-CO"/>
        </w:rPr>
        <w:t>La</w:t>
      </w:r>
      <w:r w:rsidR="004B37D2">
        <w:rPr>
          <w:rFonts w:cs="Arial"/>
          <w:iCs/>
          <w:position w:val="-1"/>
          <w:sz w:val="22"/>
          <w:szCs w:val="22"/>
          <w:lang w:val="es-CO"/>
        </w:rPr>
        <w:t xml:space="preserve"> Superintendencia de Sociedades </w:t>
      </w:r>
      <w:r w:rsidRPr="004B37D2">
        <w:rPr>
          <w:rFonts w:cs="Arial"/>
          <w:iCs/>
          <w:position w:val="-1"/>
          <w:sz w:val="22"/>
          <w:szCs w:val="22"/>
          <w:lang w:val="es-CO"/>
        </w:rPr>
        <w:t>ha diseñado y preparado</w:t>
      </w:r>
      <w:r>
        <w:rPr>
          <w:rFonts w:cs="Arial"/>
          <w:iCs/>
          <w:position w:val="-1"/>
          <w:sz w:val="22"/>
          <w:szCs w:val="22"/>
          <w:lang w:val="es-CO"/>
        </w:rPr>
        <w:t xml:space="preserve"> un</w:t>
      </w:r>
      <w:r w:rsidRPr="004B37D2">
        <w:rPr>
          <w:rFonts w:cs="Arial"/>
          <w:iCs/>
          <w:position w:val="-1"/>
          <w:sz w:val="22"/>
          <w:szCs w:val="22"/>
          <w:lang w:val="es-CO"/>
        </w:rPr>
        <w:t xml:space="preserve"> </w:t>
      </w:r>
      <w:r>
        <w:rPr>
          <w:rFonts w:cs="Arial"/>
          <w:iCs/>
          <w:position w:val="-1"/>
          <w:sz w:val="22"/>
          <w:szCs w:val="22"/>
          <w:lang w:val="es-CO"/>
        </w:rPr>
        <w:t xml:space="preserve">curso </w:t>
      </w:r>
      <w:r w:rsidRPr="004B37D2">
        <w:rPr>
          <w:rFonts w:cs="Arial"/>
          <w:iCs/>
          <w:position w:val="-1"/>
          <w:sz w:val="22"/>
          <w:szCs w:val="22"/>
          <w:lang w:val="es-CO"/>
        </w:rPr>
        <w:t>sob</w:t>
      </w:r>
      <w:r>
        <w:rPr>
          <w:rFonts w:cs="Arial"/>
          <w:iCs/>
          <w:position w:val="-1"/>
          <w:sz w:val="22"/>
          <w:szCs w:val="22"/>
          <w:lang w:val="es-CO"/>
        </w:rPr>
        <w:t xml:space="preserve">re soborno transnacional, que puede ser consultado aquí: </w:t>
      </w:r>
    </w:p>
    <w:p w14:paraId="3754894D" w14:textId="77777777" w:rsidR="00D902B7" w:rsidRDefault="00D902B7" w:rsidP="006F70DB">
      <w:pPr>
        <w:widowControl w:val="0"/>
        <w:autoSpaceDE w:val="0"/>
        <w:autoSpaceDN w:val="0"/>
        <w:adjustRightInd w:val="0"/>
        <w:spacing w:line="271" w:lineRule="exact"/>
        <w:ind w:left="100" w:right="-1"/>
        <w:rPr>
          <w:rFonts w:cs="Arial"/>
          <w:b/>
          <w:bCs/>
          <w:iCs/>
          <w:position w:val="-1"/>
          <w:sz w:val="22"/>
          <w:szCs w:val="22"/>
          <w:lang w:val="es-CO"/>
        </w:rPr>
      </w:pPr>
    </w:p>
    <w:p w14:paraId="6E750B65" w14:textId="64FB3C44" w:rsidR="004B37D2" w:rsidRPr="004B37D2" w:rsidRDefault="004B37D2" w:rsidP="006F70DB">
      <w:pPr>
        <w:widowControl w:val="0"/>
        <w:autoSpaceDE w:val="0"/>
        <w:autoSpaceDN w:val="0"/>
        <w:adjustRightInd w:val="0"/>
        <w:spacing w:line="271" w:lineRule="exact"/>
        <w:ind w:left="100" w:right="-1"/>
        <w:rPr>
          <w:rFonts w:cs="Arial"/>
          <w:iCs/>
          <w:position w:val="-1"/>
          <w:sz w:val="22"/>
          <w:szCs w:val="22"/>
          <w:lang w:val="es-CO"/>
        </w:rPr>
      </w:pPr>
      <w:hyperlink r:id="rId16" w:history="1">
        <w:r w:rsidRPr="004B37D2">
          <w:rPr>
            <w:rStyle w:val="Hipervnculo"/>
            <w:rFonts w:cs="Arial"/>
            <w:iCs/>
            <w:position w:val="-1"/>
            <w:sz w:val="22"/>
            <w:szCs w:val="22"/>
            <w:lang w:val="es-CO"/>
          </w:rPr>
          <w:t>https://www.supersociedades.gov.co/delegatura_aec/Paginas/Curso-virtual-sobre-Soborno-Transnacional.aspx</w:t>
        </w:r>
      </w:hyperlink>
    </w:p>
    <w:p w14:paraId="61728254" w14:textId="24CD2E46" w:rsidR="00D902B7" w:rsidRDefault="00D902B7" w:rsidP="006F70DB">
      <w:pPr>
        <w:widowControl w:val="0"/>
        <w:autoSpaceDE w:val="0"/>
        <w:autoSpaceDN w:val="0"/>
        <w:adjustRightInd w:val="0"/>
        <w:spacing w:line="271" w:lineRule="exact"/>
        <w:ind w:left="100" w:right="-1"/>
        <w:rPr>
          <w:rFonts w:cs="Arial"/>
          <w:b/>
          <w:bCs/>
          <w:iCs/>
          <w:position w:val="-1"/>
          <w:sz w:val="22"/>
          <w:szCs w:val="22"/>
        </w:rPr>
      </w:pPr>
      <w:r w:rsidRPr="00D902B7">
        <w:rPr>
          <w:rFonts w:cs="Arial"/>
          <w:b/>
          <w:bCs/>
          <w:iCs/>
          <w:position w:val="-1"/>
          <w:sz w:val="22"/>
          <w:szCs w:val="22"/>
          <w:lang w:val="es-CO"/>
        </w:rPr>
        <w:br/>
      </w:r>
    </w:p>
    <w:p w14:paraId="299690CB" w14:textId="77777777" w:rsidR="00A40ACF" w:rsidRDefault="00A40ACF" w:rsidP="006F70DB">
      <w:pPr>
        <w:widowControl w:val="0"/>
        <w:autoSpaceDE w:val="0"/>
        <w:autoSpaceDN w:val="0"/>
        <w:adjustRightInd w:val="0"/>
        <w:spacing w:line="271" w:lineRule="exact"/>
        <w:ind w:left="100" w:right="-1"/>
        <w:rPr>
          <w:rFonts w:cs="Arial"/>
          <w:b/>
          <w:bCs/>
          <w:iCs/>
          <w:position w:val="-1"/>
          <w:sz w:val="22"/>
          <w:szCs w:val="22"/>
        </w:rPr>
      </w:pPr>
    </w:p>
    <w:p w14:paraId="2330A93B" w14:textId="77777777" w:rsidR="00A40ACF" w:rsidRDefault="00A40ACF" w:rsidP="006F70DB">
      <w:pPr>
        <w:widowControl w:val="0"/>
        <w:autoSpaceDE w:val="0"/>
        <w:autoSpaceDN w:val="0"/>
        <w:adjustRightInd w:val="0"/>
        <w:spacing w:line="271" w:lineRule="exact"/>
        <w:ind w:left="100" w:right="-1"/>
        <w:rPr>
          <w:rFonts w:cs="Arial"/>
          <w:b/>
          <w:bCs/>
          <w:iCs/>
          <w:position w:val="-1"/>
          <w:sz w:val="22"/>
          <w:szCs w:val="22"/>
        </w:rPr>
      </w:pPr>
    </w:p>
    <w:p w14:paraId="31E13A52" w14:textId="19343917" w:rsidR="006F70DB" w:rsidRPr="00D902B7" w:rsidRDefault="00A40ACF" w:rsidP="006F70DB">
      <w:pPr>
        <w:widowControl w:val="0"/>
        <w:autoSpaceDE w:val="0"/>
        <w:autoSpaceDN w:val="0"/>
        <w:adjustRightInd w:val="0"/>
        <w:spacing w:line="271" w:lineRule="exact"/>
        <w:ind w:left="100" w:right="-1"/>
        <w:rPr>
          <w:rFonts w:cs="Arial"/>
          <w:sz w:val="22"/>
          <w:szCs w:val="22"/>
        </w:rPr>
      </w:pPr>
      <w:r>
        <w:rPr>
          <w:rFonts w:cs="Arial"/>
          <w:b/>
          <w:bCs/>
          <w:iCs/>
          <w:position w:val="-1"/>
          <w:sz w:val="22"/>
          <w:szCs w:val="22"/>
        </w:rPr>
        <w:t xml:space="preserve">7. </w:t>
      </w:r>
      <w:r w:rsidR="006F70DB" w:rsidRPr="00A40ACF">
        <w:rPr>
          <w:rFonts w:cs="Arial"/>
          <w:b/>
          <w:bCs/>
          <w:iCs/>
          <w:position w:val="-1"/>
          <w:sz w:val="22"/>
          <w:szCs w:val="22"/>
        </w:rPr>
        <w:t>CON</w:t>
      </w:r>
      <w:r w:rsidR="006F70DB" w:rsidRPr="00A40ACF">
        <w:rPr>
          <w:rFonts w:cs="Arial"/>
          <w:b/>
          <w:bCs/>
          <w:iCs/>
          <w:spacing w:val="-1"/>
          <w:position w:val="-1"/>
          <w:sz w:val="22"/>
          <w:szCs w:val="22"/>
        </w:rPr>
        <w:t>T</w:t>
      </w:r>
      <w:r w:rsidR="006F70DB" w:rsidRPr="00A40ACF">
        <w:rPr>
          <w:rFonts w:cs="Arial"/>
          <w:b/>
          <w:bCs/>
          <w:iCs/>
          <w:position w:val="-1"/>
          <w:sz w:val="22"/>
          <w:szCs w:val="22"/>
        </w:rPr>
        <w:t>ROL DE</w:t>
      </w:r>
      <w:r w:rsidR="006F70DB" w:rsidRPr="00A40ACF">
        <w:rPr>
          <w:rFonts w:cs="Arial"/>
          <w:b/>
          <w:bCs/>
          <w:iCs/>
          <w:spacing w:val="1"/>
          <w:position w:val="-1"/>
          <w:sz w:val="22"/>
          <w:szCs w:val="22"/>
        </w:rPr>
        <w:t xml:space="preserve"> </w:t>
      </w:r>
      <w:r w:rsidR="006F70DB" w:rsidRPr="00A40ACF">
        <w:rPr>
          <w:rFonts w:cs="Arial"/>
          <w:b/>
          <w:bCs/>
          <w:iCs/>
          <w:position w:val="-1"/>
          <w:sz w:val="22"/>
          <w:szCs w:val="22"/>
        </w:rPr>
        <w:t>C</w:t>
      </w:r>
      <w:r w:rsidR="006F70DB" w:rsidRPr="00A40ACF">
        <w:rPr>
          <w:rFonts w:cs="Arial"/>
          <w:b/>
          <w:bCs/>
          <w:iCs/>
          <w:spacing w:val="-3"/>
          <w:position w:val="-1"/>
          <w:sz w:val="22"/>
          <w:szCs w:val="22"/>
        </w:rPr>
        <w:t>A</w:t>
      </w:r>
      <w:r w:rsidR="006F70DB" w:rsidRPr="00D902B7">
        <w:rPr>
          <w:rFonts w:cs="Arial"/>
          <w:b/>
          <w:bCs/>
          <w:iCs/>
          <w:spacing w:val="-1"/>
          <w:position w:val="-1"/>
          <w:sz w:val="22"/>
          <w:szCs w:val="22"/>
        </w:rPr>
        <w:t>M</w:t>
      </w:r>
      <w:r w:rsidR="006F70DB" w:rsidRPr="00D902B7">
        <w:rPr>
          <w:rFonts w:cs="Arial"/>
          <w:b/>
          <w:bCs/>
          <w:iCs/>
          <w:position w:val="-1"/>
          <w:sz w:val="22"/>
          <w:szCs w:val="22"/>
        </w:rPr>
        <w:t>BIO</w:t>
      </w:r>
      <w:r w:rsidR="006F70DB" w:rsidRPr="00D902B7">
        <w:rPr>
          <w:rFonts w:cs="Arial"/>
          <w:b/>
          <w:bCs/>
          <w:iCs/>
          <w:spacing w:val="1"/>
          <w:position w:val="-1"/>
          <w:sz w:val="22"/>
          <w:szCs w:val="22"/>
        </w:rPr>
        <w:t>S</w:t>
      </w:r>
      <w:r w:rsidR="006F70DB" w:rsidRPr="00D902B7">
        <w:rPr>
          <w:rFonts w:cs="Arial"/>
          <w:b/>
          <w:bCs/>
          <w:iCs/>
          <w:position w:val="-1"/>
          <w:sz w:val="22"/>
          <w:szCs w:val="22"/>
        </w:rPr>
        <w:t>.</w:t>
      </w:r>
    </w:p>
    <w:p w14:paraId="2887358E" w14:textId="77777777" w:rsidR="006F70DB" w:rsidRPr="00D902B7" w:rsidRDefault="006F70DB" w:rsidP="006F70DB">
      <w:pPr>
        <w:widowControl w:val="0"/>
        <w:autoSpaceDE w:val="0"/>
        <w:autoSpaceDN w:val="0"/>
        <w:adjustRightInd w:val="0"/>
        <w:spacing w:before="1" w:line="130" w:lineRule="exact"/>
        <w:rPr>
          <w:rFonts w:cs="Arial"/>
          <w:sz w:val="22"/>
          <w:szCs w:val="22"/>
        </w:rPr>
      </w:pPr>
    </w:p>
    <w:p w14:paraId="661E534A" w14:textId="77777777" w:rsidR="006F70DB" w:rsidRPr="00305F7C" w:rsidRDefault="006F70DB" w:rsidP="006F70DB">
      <w:pPr>
        <w:widowControl w:val="0"/>
        <w:autoSpaceDE w:val="0"/>
        <w:autoSpaceDN w:val="0"/>
        <w:adjustRightInd w:val="0"/>
        <w:spacing w:line="200" w:lineRule="exact"/>
        <w:rPr>
          <w:rFonts w:cs="Arial"/>
          <w:sz w:val="22"/>
          <w:szCs w:val="22"/>
        </w:rPr>
      </w:pPr>
    </w:p>
    <w:tbl>
      <w:tblPr>
        <w:tblW w:w="9842" w:type="dxa"/>
        <w:tblInd w:w="-421" w:type="dxa"/>
        <w:tblLayout w:type="fixed"/>
        <w:tblCellMar>
          <w:left w:w="0" w:type="dxa"/>
          <w:right w:w="0" w:type="dxa"/>
        </w:tblCellMar>
        <w:tblLook w:val="0000" w:firstRow="0" w:lastRow="0" w:firstColumn="0" w:lastColumn="0" w:noHBand="0" w:noVBand="0"/>
      </w:tblPr>
      <w:tblGrid>
        <w:gridCol w:w="992"/>
        <w:gridCol w:w="1409"/>
        <w:gridCol w:w="1417"/>
        <w:gridCol w:w="3553"/>
        <w:gridCol w:w="2471"/>
      </w:tblGrid>
      <w:tr w:rsidR="006F70DB" w:rsidRPr="00305F7C" w14:paraId="2C3149AE" w14:textId="77777777" w:rsidTr="007A7BF8">
        <w:trPr>
          <w:trHeight w:hRule="exact" w:val="610"/>
          <w:tblHeader/>
        </w:trPr>
        <w:tc>
          <w:tcPr>
            <w:tcW w:w="992" w:type="dxa"/>
            <w:tcBorders>
              <w:top w:val="single" w:sz="4" w:space="0" w:color="000000"/>
              <w:left w:val="single" w:sz="4" w:space="0" w:color="000000"/>
              <w:bottom w:val="single" w:sz="4" w:space="0" w:color="000000"/>
              <w:right w:val="single" w:sz="4" w:space="0" w:color="000000"/>
            </w:tcBorders>
            <w:vAlign w:val="center"/>
          </w:tcPr>
          <w:p w14:paraId="346E1B65" w14:textId="77777777" w:rsidR="006F70DB" w:rsidRPr="004B37D2" w:rsidRDefault="006F70DB" w:rsidP="00F839B0">
            <w:pPr>
              <w:widowControl w:val="0"/>
              <w:autoSpaceDE w:val="0"/>
              <w:autoSpaceDN w:val="0"/>
              <w:adjustRightInd w:val="0"/>
              <w:spacing w:line="293" w:lineRule="exact"/>
              <w:ind w:left="-284" w:firstLine="284"/>
              <w:jc w:val="center"/>
              <w:rPr>
                <w:rFonts w:cs="Arial"/>
                <w:sz w:val="20"/>
              </w:rPr>
            </w:pPr>
            <w:r w:rsidRPr="004B37D2">
              <w:rPr>
                <w:rFonts w:cs="Arial"/>
                <w:b/>
                <w:bCs/>
                <w:sz w:val="20"/>
              </w:rPr>
              <w:t>Versión</w:t>
            </w:r>
          </w:p>
        </w:tc>
        <w:tc>
          <w:tcPr>
            <w:tcW w:w="1409" w:type="dxa"/>
            <w:tcBorders>
              <w:top w:val="single" w:sz="4" w:space="0" w:color="000000"/>
              <w:left w:val="single" w:sz="4" w:space="0" w:color="000000"/>
              <w:bottom w:val="single" w:sz="4" w:space="0" w:color="000000"/>
              <w:right w:val="single" w:sz="4" w:space="0" w:color="000000"/>
            </w:tcBorders>
            <w:vAlign w:val="center"/>
          </w:tcPr>
          <w:p w14:paraId="7F1DBF8A" w14:textId="77777777" w:rsidR="006F70DB" w:rsidRPr="004B37D2" w:rsidRDefault="006F70DB" w:rsidP="00FC17FA">
            <w:pPr>
              <w:widowControl w:val="0"/>
              <w:autoSpaceDE w:val="0"/>
              <w:autoSpaceDN w:val="0"/>
              <w:adjustRightInd w:val="0"/>
              <w:spacing w:line="293" w:lineRule="exact"/>
              <w:ind w:left="154" w:right="162"/>
              <w:jc w:val="center"/>
              <w:rPr>
                <w:rFonts w:cs="Arial"/>
                <w:sz w:val="20"/>
              </w:rPr>
            </w:pPr>
            <w:r w:rsidRPr="004B37D2">
              <w:rPr>
                <w:rFonts w:cs="Arial"/>
                <w:b/>
                <w:bCs/>
                <w:w w:val="99"/>
                <w:sz w:val="20"/>
              </w:rPr>
              <w:t>Vigenc</w:t>
            </w:r>
            <w:r w:rsidRPr="004B37D2">
              <w:rPr>
                <w:rFonts w:cs="Arial"/>
                <w:b/>
                <w:bCs/>
                <w:spacing w:val="2"/>
                <w:w w:val="99"/>
                <w:sz w:val="20"/>
              </w:rPr>
              <w:t>i</w:t>
            </w:r>
            <w:r w:rsidRPr="004B37D2">
              <w:rPr>
                <w:rFonts w:cs="Arial"/>
                <w:b/>
                <w:bCs/>
                <w:w w:val="99"/>
                <w:sz w:val="20"/>
              </w:rPr>
              <w:t>a</w:t>
            </w:r>
          </w:p>
          <w:p w14:paraId="334A06C5" w14:textId="77777777" w:rsidR="006F70DB" w:rsidRPr="004B37D2" w:rsidRDefault="006F70DB" w:rsidP="00FC17FA">
            <w:pPr>
              <w:widowControl w:val="0"/>
              <w:autoSpaceDE w:val="0"/>
              <w:autoSpaceDN w:val="0"/>
              <w:adjustRightInd w:val="0"/>
              <w:spacing w:before="1"/>
              <w:ind w:left="298" w:right="308"/>
              <w:jc w:val="center"/>
              <w:rPr>
                <w:rFonts w:cs="Arial"/>
                <w:sz w:val="20"/>
              </w:rPr>
            </w:pPr>
            <w:r w:rsidRPr="004B37D2">
              <w:rPr>
                <w:rFonts w:cs="Arial"/>
                <w:b/>
                <w:bCs/>
                <w:w w:val="99"/>
                <w:sz w:val="20"/>
              </w:rPr>
              <w:t>Desde</w:t>
            </w:r>
          </w:p>
        </w:tc>
        <w:tc>
          <w:tcPr>
            <w:tcW w:w="1417" w:type="dxa"/>
            <w:tcBorders>
              <w:top w:val="single" w:sz="4" w:space="0" w:color="000000"/>
              <w:left w:val="single" w:sz="4" w:space="0" w:color="000000"/>
              <w:bottom w:val="single" w:sz="4" w:space="0" w:color="000000"/>
              <w:right w:val="single" w:sz="4" w:space="0" w:color="000000"/>
            </w:tcBorders>
            <w:vAlign w:val="center"/>
          </w:tcPr>
          <w:p w14:paraId="39F2944D" w14:textId="77777777" w:rsidR="006F70DB" w:rsidRPr="004B37D2" w:rsidRDefault="006F70DB" w:rsidP="00345AE0">
            <w:pPr>
              <w:widowControl w:val="0"/>
              <w:autoSpaceDE w:val="0"/>
              <w:autoSpaceDN w:val="0"/>
              <w:adjustRightInd w:val="0"/>
              <w:spacing w:line="293" w:lineRule="exact"/>
              <w:ind w:left="24"/>
              <w:jc w:val="center"/>
              <w:rPr>
                <w:rFonts w:cs="Arial"/>
                <w:sz w:val="20"/>
              </w:rPr>
            </w:pPr>
            <w:r w:rsidRPr="004B37D2">
              <w:rPr>
                <w:rFonts w:cs="Arial"/>
                <w:b/>
                <w:bCs/>
                <w:w w:val="99"/>
                <w:sz w:val="20"/>
              </w:rPr>
              <w:t>Vigenc</w:t>
            </w:r>
            <w:r w:rsidRPr="004B37D2">
              <w:rPr>
                <w:rFonts w:cs="Arial"/>
                <w:b/>
                <w:bCs/>
                <w:spacing w:val="2"/>
                <w:w w:val="99"/>
                <w:sz w:val="20"/>
              </w:rPr>
              <w:t>i</w:t>
            </w:r>
            <w:r w:rsidRPr="004B37D2">
              <w:rPr>
                <w:rFonts w:cs="Arial"/>
                <w:b/>
                <w:bCs/>
                <w:w w:val="99"/>
                <w:sz w:val="20"/>
              </w:rPr>
              <w:t>a</w:t>
            </w:r>
          </w:p>
          <w:p w14:paraId="2A30148F" w14:textId="77777777" w:rsidR="006F70DB" w:rsidRPr="004B37D2" w:rsidRDefault="006F70DB" w:rsidP="00FC17FA">
            <w:pPr>
              <w:widowControl w:val="0"/>
              <w:autoSpaceDE w:val="0"/>
              <w:autoSpaceDN w:val="0"/>
              <w:adjustRightInd w:val="0"/>
              <w:spacing w:before="1"/>
              <w:jc w:val="center"/>
              <w:rPr>
                <w:rFonts w:cs="Arial"/>
                <w:sz w:val="20"/>
              </w:rPr>
            </w:pPr>
            <w:r w:rsidRPr="004B37D2">
              <w:rPr>
                <w:rFonts w:cs="Arial"/>
                <w:b/>
                <w:bCs/>
                <w:w w:val="99"/>
                <w:sz w:val="20"/>
              </w:rPr>
              <w:t>Hasta</w:t>
            </w:r>
          </w:p>
        </w:tc>
        <w:tc>
          <w:tcPr>
            <w:tcW w:w="3553" w:type="dxa"/>
            <w:tcBorders>
              <w:top w:val="single" w:sz="4" w:space="0" w:color="000000"/>
              <w:left w:val="single" w:sz="4" w:space="0" w:color="000000"/>
              <w:bottom w:val="single" w:sz="4" w:space="0" w:color="000000"/>
              <w:right w:val="single" w:sz="4" w:space="0" w:color="000000"/>
            </w:tcBorders>
            <w:vAlign w:val="center"/>
          </w:tcPr>
          <w:p w14:paraId="11916979" w14:textId="77777777" w:rsidR="006F70DB" w:rsidRPr="004B37D2" w:rsidRDefault="006F70DB" w:rsidP="00FC17FA">
            <w:pPr>
              <w:widowControl w:val="0"/>
              <w:autoSpaceDE w:val="0"/>
              <w:autoSpaceDN w:val="0"/>
              <w:adjustRightInd w:val="0"/>
              <w:spacing w:line="293" w:lineRule="exact"/>
              <w:ind w:left="240" w:right="246"/>
              <w:jc w:val="center"/>
              <w:rPr>
                <w:rFonts w:cs="Arial"/>
                <w:sz w:val="20"/>
              </w:rPr>
            </w:pPr>
            <w:r w:rsidRPr="004B37D2">
              <w:rPr>
                <w:rFonts w:cs="Arial"/>
                <w:b/>
                <w:bCs/>
                <w:sz w:val="20"/>
              </w:rPr>
              <w:t>Identifi</w:t>
            </w:r>
            <w:r w:rsidRPr="004B37D2">
              <w:rPr>
                <w:rFonts w:cs="Arial"/>
                <w:b/>
                <w:bCs/>
                <w:spacing w:val="3"/>
                <w:sz w:val="20"/>
              </w:rPr>
              <w:t>c</w:t>
            </w:r>
            <w:r w:rsidRPr="004B37D2">
              <w:rPr>
                <w:rFonts w:cs="Arial"/>
                <w:b/>
                <w:bCs/>
                <w:sz w:val="20"/>
              </w:rPr>
              <w:t>ación</w:t>
            </w:r>
            <w:r w:rsidRPr="004B37D2">
              <w:rPr>
                <w:rFonts w:cs="Arial"/>
                <w:b/>
                <w:bCs/>
                <w:spacing w:val="-15"/>
                <w:sz w:val="20"/>
              </w:rPr>
              <w:t xml:space="preserve"> </w:t>
            </w:r>
            <w:r w:rsidRPr="004B37D2">
              <w:rPr>
                <w:rFonts w:cs="Arial"/>
                <w:b/>
                <w:bCs/>
                <w:sz w:val="20"/>
              </w:rPr>
              <w:t>de</w:t>
            </w:r>
            <w:r w:rsidRPr="004B37D2">
              <w:rPr>
                <w:rFonts w:cs="Arial"/>
                <w:b/>
                <w:bCs/>
                <w:spacing w:val="-3"/>
                <w:sz w:val="20"/>
              </w:rPr>
              <w:t xml:space="preserve"> </w:t>
            </w:r>
            <w:r w:rsidRPr="004B37D2">
              <w:rPr>
                <w:rFonts w:cs="Arial"/>
                <w:b/>
                <w:bCs/>
                <w:w w:val="99"/>
                <w:sz w:val="20"/>
              </w:rPr>
              <w:t>l</w:t>
            </w:r>
            <w:r w:rsidRPr="004B37D2">
              <w:rPr>
                <w:rFonts w:cs="Arial"/>
                <w:b/>
                <w:bCs/>
                <w:spacing w:val="2"/>
                <w:w w:val="99"/>
                <w:sz w:val="20"/>
              </w:rPr>
              <w:t>o</w:t>
            </w:r>
            <w:r w:rsidRPr="004B37D2">
              <w:rPr>
                <w:rFonts w:cs="Arial"/>
                <w:b/>
                <w:bCs/>
                <w:w w:val="99"/>
                <w:sz w:val="20"/>
              </w:rPr>
              <w:t>s</w:t>
            </w:r>
          </w:p>
          <w:p w14:paraId="1288114A" w14:textId="77777777" w:rsidR="006F70DB" w:rsidRPr="004B37D2" w:rsidRDefault="006F70DB" w:rsidP="00FC17FA">
            <w:pPr>
              <w:widowControl w:val="0"/>
              <w:autoSpaceDE w:val="0"/>
              <w:autoSpaceDN w:val="0"/>
              <w:adjustRightInd w:val="0"/>
              <w:spacing w:before="1"/>
              <w:ind w:left="963" w:right="968"/>
              <w:jc w:val="center"/>
              <w:rPr>
                <w:rFonts w:cs="Arial"/>
                <w:sz w:val="20"/>
              </w:rPr>
            </w:pPr>
            <w:r w:rsidRPr="004B37D2">
              <w:rPr>
                <w:rFonts w:cs="Arial"/>
                <w:b/>
                <w:bCs/>
                <w:w w:val="99"/>
                <w:sz w:val="20"/>
              </w:rPr>
              <w:t>cambi</w:t>
            </w:r>
            <w:r w:rsidRPr="004B37D2">
              <w:rPr>
                <w:rFonts w:cs="Arial"/>
                <w:b/>
                <w:bCs/>
                <w:spacing w:val="2"/>
                <w:w w:val="99"/>
                <w:sz w:val="20"/>
              </w:rPr>
              <w:t>o</w:t>
            </w:r>
            <w:r w:rsidRPr="004B37D2">
              <w:rPr>
                <w:rFonts w:cs="Arial"/>
                <w:b/>
                <w:bCs/>
                <w:w w:val="99"/>
                <w:sz w:val="20"/>
              </w:rPr>
              <w:t>s</w:t>
            </w:r>
          </w:p>
        </w:tc>
        <w:tc>
          <w:tcPr>
            <w:tcW w:w="2471" w:type="dxa"/>
            <w:tcBorders>
              <w:top w:val="single" w:sz="4" w:space="0" w:color="000000"/>
              <w:left w:val="single" w:sz="4" w:space="0" w:color="000000"/>
              <w:bottom w:val="single" w:sz="4" w:space="0" w:color="000000"/>
              <w:right w:val="single" w:sz="4" w:space="0" w:color="000000"/>
            </w:tcBorders>
            <w:vAlign w:val="center"/>
          </w:tcPr>
          <w:p w14:paraId="090BFE8E" w14:textId="77777777" w:rsidR="006F70DB" w:rsidRPr="004B37D2" w:rsidRDefault="006F70DB" w:rsidP="00FC17FA">
            <w:pPr>
              <w:widowControl w:val="0"/>
              <w:autoSpaceDE w:val="0"/>
              <w:autoSpaceDN w:val="0"/>
              <w:adjustRightInd w:val="0"/>
              <w:spacing w:line="293" w:lineRule="exact"/>
              <w:ind w:left="79"/>
              <w:jc w:val="center"/>
              <w:rPr>
                <w:rFonts w:cs="Arial"/>
                <w:sz w:val="20"/>
              </w:rPr>
            </w:pPr>
            <w:r w:rsidRPr="004B37D2">
              <w:rPr>
                <w:rFonts w:cs="Arial"/>
                <w:b/>
                <w:bCs/>
                <w:sz w:val="20"/>
              </w:rPr>
              <w:t>Respo</w:t>
            </w:r>
            <w:r w:rsidRPr="004B37D2">
              <w:rPr>
                <w:rFonts w:cs="Arial"/>
                <w:b/>
                <w:bCs/>
                <w:spacing w:val="2"/>
                <w:sz w:val="20"/>
              </w:rPr>
              <w:t>n</w:t>
            </w:r>
            <w:r w:rsidRPr="004B37D2">
              <w:rPr>
                <w:rFonts w:cs="Arial"/>
                <w:b/>
                <w:bCs/>
                <w:sz w:val="20"/>
              </w:rPr>
              <w:t>sable</w:t>
            </w:r>
          </w:p>
        </w:tc>
      </w:tr>
      <w:tr w:rsidR="006F70DB" w:rsidRPr="00305F7C" w14:paraId="5921B492" w14:textId="77777777" w:rsidTr="007A7BF8">
        <w:trPr>
          <w:trHeight w:hRule="exact" w:val="1104"/>
        </w:trPr>
        <w:tc>
          <w:tcPr>
            <w:tcW w:w="992" w:type="dxa"/>
            <w:tcBorders>
              <w:top w:val="single" w:sz="4" w:space="0" w:color="000000"/>
              <w:left w:val="single" w:sz="4" w:space="0" w:color="000000"/>
              <w:bottom w:val="single" w:sz="4" w:space="0" w:color="000000"/>
              <w:right w:val="single" w:sz="4" w:space="0" w:color="000000"/>
            </w:tcBorders>
            <w:vAlign w:val="center"/>
          </w:tcPr>
          <w:p w14:paraId="79E4659C" w14:textId="77777777" w:rsidR="006F70DB" w:rsidRPr="004B37D2" w:rsidRDefault="006F70DB" w:rsidP="00345AE0">
            <w:pPr>
              <w:widowControl w:val="0"/>
              <w:autoSpaceDE w:val="0"/>
              <w:autoSpaceDN w:val="0"/>
              <w:adjustRightInd w:val="0"/>
              <w:spacing w:line="271" w:lineRule="exact"/>
              <w:ind w:left="64"/>
              <w:jc w:val="center"/>
              <w:rPr>
                <w:rFonts w:cs="Arial"/>
                <w:sz w:val="20"/>
              </w:rPr>
            </w:pPr>
            <w:r w:rsidRPr="004B37D2">
              <w:rPr>
                <w:rFonts w:cs="Arial"/>
                <w:spacing w:val="1"/>
                <w:sz w:val="20"/>
              </w:rPr>
              <w:t>001</w:t>
            </w:r>
          </w:p>
        </w:tc>
        <w:tc>
          <w:tcPr>
            <w:tcW w:w="1409" w:type="dxa"/>
            <w:tcBorders>
              <w:top w:val="single" w:sz="4" w:space="0" w:color="000000"/>
              <w:left w:val="single" w:sz="4" w:space="0" w:color="000000"/>
              <w:bottom w:val="single" w:sz="4" w:space="0" w:color="000000"/>
              <w:right w:val="single" w:sz="4" w:space="0" w:color="000000"/>
            </w:tcBorders>
            <w:vAlign w:val="center"/>
          </w:tcPr>
          <w:p w14:paraId="4A1B03DD" w14:textId="77777777" w:rsidR="006F70DB" w:rsidRPr="004B37D2" w:rsidRDefault="006B0794" w:rsidP="00345AE0">
            <w:pPr>
              <w:widowControl w:val="0"/>
              <w:autoSpaceDE w:val="0"/>
              <w:autoSpaceDN w:val="0"/>
              <w:adjustRightInd w:val="0"/>
              <w:spacing w:line="271" w:lineRule="exact"/>
              <w:ind w:left="61"/>
              <w:jc w:val="center"/>
              <w:rPr>
                <w:rFonts w:cs="Arial"/>
                <w:sz w:val="20"/>
              </w:rPr>
            </w:pPr>
            <w:r w:rsidRPr="004B37D2">
              <w:rPr>
                <w:rFonts w:cs="Arial"/>
                <w:spacing w:val="1"/>
                <w:sz w:val="20"/>
              </w:rPr>
              <w:t>26 de Julio de 2018</w:t>
            </w:r>
          </w:p>
        </w:tc>
        <w:tc>
          <w:tcPr>
            <w:tcW w:w="1417" w:type="dxa"/>
            <w:tcBorders>
              <w:top w:val="single" w:sz="4" w:space="0" w:color="000000"/>
              <w:left w:val="single" w:sz="4" w:space="0" w:color="000000"/>
              <w:bottom w:val="single" w:sz="4" w:space="0" w:color="000000"/>
              <w:right w:val="single" w:sz="4" w:space="0" w:color="000000"/>
            </w:tcBorders>
            <w:vAlign w:val="center"/>
          </w:tcPr>
          <w:p w14:paraId="0970083C" w14:textId="45422241" w:rsidR="006F70DB" w:rsidRPr="004B37D2" w:rsidRDefault="00CD0289" w:rsidP="00345AE0">
            <w:pPr>
              <w:widowControl w:val="0"/>
              <w:autoSpaceDE w:val="0"/>
              <w:autoSpaceDN w:val="0"/>
              <w:adjustRightInd w:val="0"/>
              <w:spacing w:line="271" w:lineRule="exact"/>
              <w:ind w:left="64"/>
              <w:jc w:val="center"/>
              <w:rPr>
                <w:rFonts w:cs="Arial"/>
                <w:sz w:val="20"/>
              </w:rPr>
            </w:pPr>
            <w:r>
              <w:rPr>
                <w:rFonts w:cs="Arial"/>
                <w:sz w:val="20"/>
              </w:rPr>
              <w:t xml:space="preserve">03 de agosto </w:t>
            </w:r>
            <w:r w:rsidR="00751BE3">
              <w:rPr>
                <w:rFonts w:cs="Arial"/>
                <w:sz w:val="20"/>
              </w:rPr>
              <w:t>de 2021</w:t>
            </w:r>
          </w:p>
        </w:tc>
        <w:tc>
          <w:tcPr>
            <w:tcW w:w="3553" w:type="dxa"/>
            <w:tcBorders>
              <w:top w:val="single" w:sz="4" w:space="0" w:color="000000"/>
              <w:left w:val="single" w:sz="4" w:space="0" w:color="000000"/>
              <w:bottom w:val="single" w:sz="4" w:space="0" w:color="000000"/>
              <w:right w:val="single" w:sz="4" w:space="0" w:color="000000"/>
            </w:tcBorders>
            <w:vAlign w:val="center"/>
          </w:tcPr>
          <w:p w14:paraId="29F89C32" w14:textId="77777777" w:rsidR="006F70DB" w:rsidRPr="004B37D2" w:rsidRDefault="006F70DB" w:rsidP="007A7BF8">
            <w:pPr>
              <w:widowControl w:val="0"/>
              <w:autoSpaceDE w:val="0"/>
              <w:autoSpaceDN w:val="0"/>
              <w:adjustRightInd w:val="0"/>
              <w:spacing w:line="271" w:lineRule="exact"/>
              <w:ind w:left="142"/>
              <w:jc w:val="left"/>
              <w:rPr>
                <w:rFonts w:cs="Arial"/>
                <w:spacing w:val="1"/>
                <w:sz w:val="20"/>
              </w:rPr>
            </w:pPr>
            <w:r w:rsidRPr="004B37D2">
              <w:rPr>
                <w:rFonts w:cs="Arial"/>
                <w:sz w:val="20"/>
              </w:rPr>
              <w:t>C</w:t>
            </w:r>
            <w:r w:rsidRPr="004B37D2">
              <w:rPr>
                <w:rFonts w:cs="Arial"/>
                <w:spacing w:val="-1"/>
                <w:sz w:val="20"/>
              </w:rPr>
              <w:t>r</w:t>
            </w:r>
            <w:r w:rsidRPr="004B37D2">
              <w:rPr>
                <w:rFonts w:cs="Arial"/>
                <w:spacing w:val="1"/>
                <w:sz w:val="20"/>
              </w:rPr>
              <w:t>ea</w:t>
            </w:r>
            <w:r w:rsidRPr="004B37D2">
              <w:rPr>
                <w:rFonts w:cs="Arial"/>
                <w:sz w:val="20"/>
              </w:rPr>
              <w:t>ción</w:t>
            </w:r>
            <w:r w:rsidRPr="004B37D2">
              <w:rPr>
                <w:rFonts w:cs="Arial"/>
                <w:spacing w:val="1"/>
                <w:sz w:val="20"/>
              </w:rPr>
              <w:t xml:space="preserve"> </w:t>
            </w:r>
            <w:r w:rsidRPr="004B37D2">
              <w:rPr>
                <w:rFonts w:cs="Arial"/>
                <w:spacing w:val="-1"/>
                <w:sz w:val="20"/>
              </w:rPr>
              <w:t>d</w:t>
            </w:r>
            <w:r w:rsidRPr="004B37D2">
              <w:rPr>
                <w:rFonts w:cs="Arial"/>
                <w:spacing w:val="1"/>
                <w:sz w:val="20"/>
              </w:rPr>
              <w:t>e</w:t>
            </w:r>
            <w:r w:rsidRPr="004B37D2">
              <w:rPr>
                <w:rFonts w:cs="Arial"/>
                <w:sz w:val="20"/>
              </w:rPr>
              <w:t xml:space="preserve">l </w:t>
            </w:r>
            <w:r w:rsidRPr="004B37D2">
              <w:rPr>
                <w:rFonts w:cs="Arial"/>
                <w:spacing w:val="-1"/>
                <w:sz w:val="20"/>
              </w:rPr>
              <w:t>d</w:t>
            </w:r>
            <w:r w:rsidRPr="004B37D2">
              <w:rPr>
                <w:rFonts w:cs="Arial"/>
                <w:spacing w:val="1"/>
                <w:sz w:val="20"/>
              </w:rPr>
              <w:t>o</w:t>
            </w:r>
            <w:r w:rsidR="00FA1EDA" w:rsidRPr="004B37D2">
              <w:rPr>
                <w:rFonts w:cs="Arial"/>
                <w:spacing w:val="1"/>
                <w:sz w:val="20"/>
              </w:rPr>
              <w:t>cumento</w:t>
            </w:r>
          </w:p>
        </w:tc>
        <w:tc>
          <w:tcPr>
            <w:tcW w:w="2471" w:type="dxa"/>
            <w:tcBorders>
              <w:top w:val="single" w:sz="4" w:space="0" w:color="000000"/>
              <w:left w:val="single" w:sz="4" w:space="0" w:color="000000"/>
              <w:bottom w:val="single" w:sz="4" w:space="0" w:color="000000"/>
              <w:right w:val="single" w:sz="4" w:space="0" w:color="000000"/>
            </w:tcBorders>
            <w:vAlign w:val="center"/>
          </w:tcPr>
          <w:p w14:paraId="418CFF0F" w14:textId="77777777" w:rsidR="00522183" w:rsidRPr="004B37D2" w:rsidRDefault="00522183" w:rsidP="00345AE0">
            <w:pPr>
              <w:widowControl w:val="0"/>
              <w:autoSpaceDE w:val="0"/>
              <w:autoSpaceDN w:val="0"/>
              <w:adjustRightInd w:val="0"/>
              <w:ind w:left="61"/>
              <w:jc w:val="center"/>
              <w:rPr>
                <w:rFonts w:cs="Arial"/>
                <w:sz w:val="20"/>
              </w:rPr>
            </w:pPr>
            <w:r w:rsidRPr="004B37D2">
              <w:rPr>
                <w:rFonts w:cs="Arial"/>
                <w:sz w:val="20"/>
              </w:rPr>
              <w:t>Coordinador Grupo de Soborno Trans</w:t>
            </w:r>
            <w:r w:rsidR="0070545E" w:rsidRPr="004B37D2">
              <w:rPr>
                <w:rFonts w:cs="Arial"/>
                <w:sz w:val="20"/>
              </w:rPr>
              <w:t>n</w:t>
            </w:r>
            <w:r w:rsidRPr="004B37D2">
              <w:rPr>
                <w:rFonts w:cs="Arial"/>
                <w:sz w:val="20"/>
              </w:rPr>
              <w:t>acional e I</w:t>
            </w:r>
            <w:r w:rsidR="0070545E" w:rsidRPr="004B37D2">
              <w:rPr>
                <w:rFonts w:cs="Arial"/>
                <w:sz w:val="20"/>
              </w:rPr>
              <w:t>nvesti</w:t>
            </w:r>
            <w:r w:rsidRPr="004B37D2">
              <w:rPr>
                <w:rFonts w:cs="Arial"/>
                <w:sz w:val="20"/>
              </w:rPr>
              <w:t>gaciones Especiales</w:t>
            </w:r>
          </w:p>
        </w:tc>
      </w:tr>
      <w:tr w:rsidR="00345AE0" w:rsidRPr="00305F7C" w14:paraId="14CBDC0C" w14:textId="77777777" w:rsidTr="007A7BF8">
        <w:trPr>
          <w:trHeight w:hRule="exact" w:val="1074"/>
        </w:trPr>
        <w:tc>
          <w:tcPr>
            <w:tcW w:w="992" w:type="dxa"/>
            <w:tcBorders>
              <w:top w:val="single" w:sz="4" w:space="0" w:color="000000"/>
              <w:left w:val="single" w:sz="4" w:space="0" w:color="000000"/>
              <w:bottom w:val="single" w:sz="4" w:space="0" w:color="000000"/>
              <w:right w:val="single" w:sz="4" w:space="0" w:color="000000"/>
            </w:tcBorders>
            <w:vAlign w:val="center"/>
          </w:tcPr>
          <w:p w14:paraId="7D1921DF" w14:textId="6FD991B0" w:rsidR="00345AE0" w:rsidRPr="004B37D2" w:rsidRDefault="00305F7C" w:rsidP="00FC17FA">
            <w:pPr>
              <w:widowControl w:val="0"/>
              <w:autoSpaceDE w:val="0"/>
              <w:autoSpaceDN w:val="0"/>
              <w:adjustRightInd w:val="0"/>
              <w:spacing w:line="271" w:lineRule="exact"/>
              <w:ind w:left="64"/>
              <w:jc w:val="center"/>
              <w:rPr>
                <w:rFonts w:cs="Arial"/>
                <w:spacing w:val="1"/>
                <w:sz w:val="20"/>
              </w:rPr>
            </w:pPr>
            <w:r w:rsidRPr="004B37D2">
              <w:rPr>
                <w:rFonts w:cs="Arial"/>
                <w:spacing w:val="1"/>
                <w:sz w:val="20"/>
              </w:rPr>
              <w:t>002</w:t>
            </w:r>
          </w:p>
        </w:tc>
        <w:tc>
          <w:tcPr>
            <w:tcW w:w="1409" w:type="dxa"/>
            <w:tcBorders>
              <w:top w:val="single" w:sz="4" w:space="0" w:color="000000"/>
              <w:left w:val="single" w:sz="4" w:space="0" w:color="000000"/>
              <w:bottom w:val="single" w:sz="4" w:space="0" w:color="000000"/>
              <w:right w:val="single" w:sz="4" w:space="0" w:color="000000"/>
            </w:tcBorders>
            <w:vAlign w:val="center"/>
          </w:tcPr>
          <w:p w14:paraId="48356A3D" w14:textId="3E173D21" w:rsidR="00345AE0" w:rsidRPr="004B37D2" w:rsidRDefault="00CD0289" w:rsidP="00FC17FA">
            <w:pPr>
              <w:widowControl w:val="0"/>
              <w:autoSpaceDE w:val="0"/>
              <w:autoSpaceDN w:val="0"/>
              <w:adjustRightInd w:val="0"/>
              <w:spacing w:line="271" w:lineRule="exact"/>
              <w:ind w:left="61"/>
              <w:jc w:val="center"/>
              <w:rPr>
                <w:rFonts w:cs="Arial"/>
                <w:spacing w:val="1"/>
                <w:sz w:val="20"/>
              </w:rPr>
            </w:pPr>
            <w:r>
              <w:rPr>
                <w:rFonts w:cs="Arial"/>
                <w:spacing w:val="1"/>
                <w:sz w:val="20"/>
              </w:rPr>
              <w:t>04 de agosto</w:t>
            </w:r>
            <w:r w:rsidR="00305F7C" w:rsidRPr="004B37D2">
              <w:rPr>
                <w:rFonts w:cs="Arial"/>
                <w:spacing w:val="1"/>
                <w:sz w:val="20"/>
              </w:rPr>
              <w:t xml:space="preserve"> de 2021</w:t>
            </w:r>
          </w:p>
        </w:tc>
        <w:tc>
          <w:tcPr>
            <w:tcW w:w="1417" w:type="dxa"/>
            <w:tcBorders>
              <w:top w:val="single" w:sz="4" w:space="0" w:color="000000"/>
              <w:left w:val="single" w:sz="4" w:space="0" w:color="000000"/>
              <w:bottom w:val="single" w:sz="4" w:space="0" w:color="000000"/>
              <w:right w:val="single" w:sz="4" w:space="0" w:color="000000"/>
            </w:tcBorders>
            <w:vAlign w:val="center"/>
          </w:tcPr>
          <w:p w14:paraId="4439744F" w14:textId="77777777" w:rsidR="00345AE0" w:rsidRPr="004B37D2" w:rsidRDefault="00345AE0" w:rsidP="00FC17FA">
            <w:pPr>
              <w:widowControl w:val="0"/>
              <w:autoSpaceDE w:val="0"/>
              <w:autoSpaceDN w:val="0"/>
              <w:adjustRightInd w:val="0"/>
              <w:spacing w:line="271" w:lineRule="exact"/>
              <w:ind w:left="64"/>
              <w:jc w:val="center"/>
              <w:rPr>
                <w:rFonts w:cs="Arial"/>
                <w:sz w:val="20"/>
              </w:rPr>
            </w:pPr>
          </w:p>
        </w:tc>
        <w:tc>
          <w:tcPr>
            <w:tcW w:w="3553" w:type="dxa"/>
            <w:tcBorders>
              <w:top w:val="single" w:sz="4" w:space="0" w:color="000000"/>
              <w:left w:val="single" w:sz="4" w:space="0" w:color="000000"/>
              <w:bottom w:val="single" w:sz="4" w:space="0" w:color="000000"/>
              <w:right w:val="single" w:sz="4" w:space="0" w:color="000000"/>
            </w:tcBorders>
            <w:vAlign w:val="center"/>
          </w:tcPr>
          <w:p w14:paraId="6B2FE5D8" w14:textId="6A008F6E" w:rsidR="00345AE0" w:rsidRPr="004B37D2" w:rsidRDefault="00751BE3" w:rsidP="007A7BF8">
            <w:pPr>
              <w:widowControl w:val="0"/>
              <w:autoSpaceDE w:val="0"/>
              <w:autoSpaceDN w:val="0"/>
              <w:adjustRightInd w:val="0"/>
              <w:spacing w:line="271" w:lineRule="exact"/>
              <w:ind w:left="142"/>
              <w:jc w:val="left"/>
              <w:rPr>
                <w:rFonts w:cs="Arial"/>
                <w:sz w:val="20"/>
              </w:rPr>
            </w:pPr>
            <w:r>
              <w:rPr>
                <w:rFonts w:cs="Arial"/>
                <w:sz w:val="20"/>
              </w:rPr>
              <w:t>Mo</w:t>
            </w:r>
            <w:r w:rsidR="00305F7C" w:rsidRPr="004B37D2">
              <w:rPr>
                <w:rFonts w:cs="Arial"/>
                <w:sz w:val="20"/>
              </w:rPr>
              <w:t xml:space="preserve">dificación </w:t>
            </w:r>
            <w:r>
              <w:rPr>
                <w:rFonts w:cs="Arial"/>
                <w:sz w:val="20"/>
              </w:rPr>
              <w:t>por actualización del nombre del documento y los responsables.</w:t>
            </w:r>
          </w:p>
        </w:tc>
        <w:tc>
          <w:tcPr>
            <w:tcW w:w="2471" w:type="dxa"/>
            <w:tcBorders>
              <w:top w:val="single" w:sz="4" w:space="0" w:color="000000"/>
              <w:left w:val="single" w:sz="4" w:space="0" w:color="000000"/>
              <w:bottom w:val="single" w:sz="4" w:space="0" w:color="000000"/>
              <w:right w:val="single" w:sz="4" w:space="0" w:color="000000"/>
            </w:tcBorders>
            <w:vAlign w:val="center"/>
          </w:tcPr>
          <w:p w14:paraId="279185EF" w14:textId="44564543" w:rsidR="00345AE0" w:rsidRPr="004B37D2" w:rsidRDefault="004B37D2" w:rsidP="00FC17FA">
            <w:pPr>
              <w:widowControl w:val="0"/>
              <w:autoSpaceDE w:val="0"/>
              <w:autoSpaceDN w:val="0"/>
              <w:adjustRightInd w:val="0"/>
              <w:ind w:left="61"/>
              <w:jc w:val="center"/>
              <w:rPr>
                <w:rFonts w:cs="Arial"/>
                <w:sz w:val="20"/>
              </w:rPr>
            </w:pPr>
            <w:r>
              <w:rPr>
                <w:rFonts w:cs="Arial"/>
                <w:sz w:val="20"/>
              </w:rPr>
              <w:t xml:space="preserve">Coordinador </w:t>
            </w:r>
            <w:r w:rsidR="00305F7C">
              <w:rPr>
                <w:rFonts w:cs="Arial"/>
                <w:sz w:val="20"/>
              </w:rPr>
              <w:t>Grupo de Investigaciones de Soborno Transnacional y otros delitos</w:t>
            </w:r>
          </w:p>
        </w:tc>
      </w:tr>
    </w:tbl>
    <w:p w14:paraId="6BC57101" w14:textId="77777777" w:rsidR="006F70DB" w:rsidRPr="005738BE" w:rsidRDefault="006F70DB">
      <w:pPr>
        <w:rPr>
          <w:rFonts w:cs="Arial"/>
          <w:i/>
          <w:sz w:val="22"/>
          <w:szCs w:val="22"/>
          <w:lang w:val="es-MX"/>
        </w:rPr>
      </w:pPr>
    </w:p>
    <w:p w14:paraId="108D197E" w14:textId="77777777" w:rsidR="002A16A0" w:rsidRPr="00EC1202" w:rsidRDefault="002A16A0">
      <w:pPr>
        <w:rPr>
          <w:rFonts w:cs="Arial"/>
          <w:i/>
          <w:sz w:val="22"/>
          <w:szCs w:val="22"/>
          <w:lang w:val="es-MX"/>
        </w:rPr>
      </w:pPr>
    </w:p>
    <w:p w14:paraId="1017C06E" w14:textId="77777777" w:rsidR="002A16A0" w:rsidRPr="00D902B7" w:rsidRDefault="002A16A0">
      <w:pPr>
        <w:rPr>
          <w:rFonts w:cs="Arial"/>
          <w:i/>
          <w:sz w:val="22"/>
          <w:szCs w:val="22"/>
          <w:lang w:val="es-MX"/>
        </w:rPr>
      </w:pPr>
    </w:p>
    <w:p w14:paraId="7A3E04A3" w14:textId="77777777" w:rsidR="00345AE0" w:rsidRPr="00D902B7" w:rsidRDefault="00345AE0">
      <w:pPr>
        <w:rPr>
          <w:rFonts w:cs="Arial"/>
          <w:i/>
          <w:sz w:val="22"/>
          <w:szCs w:val="22"/>
          <w:lang w:val="es-MX"/>
        </w:rPr>
      </w:pPr>
    </w:p>
    <w:p w14:paraId="3844E8C3" w14:textId="77777777" w:rsidR="00345AE0" w:rsidRPr="00D902B7" w:rsidRDefault="00345AE0">
      <w:pPr>
        <w:rPr>
          <w:rFonts w:cs="Arial"/>
          <w:i/>
          <w:sz w:val="22"/>
          <w:szCs w:val="22"/>
          <w:lang w:val="es-MX"/>
        </w:rPr>
      </w:pPr>
    </w:p>
    <w:p w14:paraId="46A24AF2" w14:textId="77777777" w:rsidR="00345AE0" w:rsidRPr="00D902B7" w:rsidRDefault="00345AE0">
      <w:pPr>
        <w:rPr>
          <w:rFonts w:cs="Arial"/>
          <w:i/>
          <w:sz w:val="22"/>
          <w:szCs w:val="22"/>
          <w:lang w:val="es-MX"/>
        </w:rPr>
      </w:pPr>
    </w:p>
    <w:p w14:paraId="5B21F20A" w14:textId="77777777" w:rsidR="00345AE0" w:rsidRPr="005738BE" w:rsidRDefault="00345AE0">
      <w:pPr>
        <w:rPr>
          <w:rFonts w:cs="Arial"/>
          <w:i/>
          <w:sz w:val="22"/>
          <w:szCs w:val="22"/>
          <w:lang w:val="es-MX"/>
        </w:rPr>
      </w:pPr>
    </w:p>
    <w:p w14:paraId="404F5874" w14:textId="77777777" w:rsidR="00345AE0" w:rsidRPr="005738BE" w:rsidRDefault="00345AE0">
      <w:pPr>
        <w:rPr>
          <w:rFonts w:cs="Arial"/>
          <w:i/>
          <w:sz w:val="22"/>
          <w:szCs w:val="22"/>
          <w:lang w:val="es-MX"/>
        </w:rPr>
      </w:pPr>
    </w:p>
    <w:p w14:paraId="48BBA2CD" w14:textId="77777777" w:rsidR="00345AE0" w:rsidRPr="005738BE" w:rsidRDefault="00345AE0">
      <w:pPr>
        <w:rPr>
          <w:rFonts w:cs="Arial"/>
          <w:i/>
          <w:sz w:val="22"/>
          <w:szCs w:val="22"/>
          <w:lang w:val="es-MX"/>
        </w:rPr>
      </w:pPr>
    </w:p>
    <w:p w14:paraId="616175D3" w14:textId="77777777" w:rsidR="00345AE0" w:rsidRPr="005738BE" w:rsidRDefault="00345AE0">
      <w:pPr>
        <w:rPr>
          <w:rFonts w:cs="Arial"/>
          <w:i/>
          <w:sz w:val="22"/>
          <w:szCs w:val="22"/>
          <w:lang w:val="es-MX"/>
        </w:rPr>
      </w:pPr>
    </w:p>
    <w:p w14:paraId="72F21A4F" w14:textId="77777777" w:rsidR="00345AE0" w:rsidRPr="005738BE" w:rsidRDefault="00345AE0">
      <w:pPr>
        <w:rPr>
          <w:rFonts w:cs="Arial"/>
          <w:i/>
          <w:sz w:val="22"/>
          <w:szCs w:val="22"/>
          <w:lang w:val="es-MX"/>
        </w:rPr>
      </w:pPr>
    </w:p>
    <w:p w14:paraId="4CE82FCD" w14:textId="77777777" w:rsidR="00345AE0" w:rsidRPr="005738BE" w:rsidRDefault="00345AE0">
      <w:pPr>
        <w:rPr>
          <w:rFonts w:cs="Arial"/>
          <w:i/>
          <w:sz w:val="22"/>
          <w:szCs w:val="22"/>
          <w:lang w:val="es-MX"/>
        </w:rPr>
      </w:pPr>
    </w:p>
    <w:p w14:paraId="027EA2EB" w14:textId="77777777" w:rsidR="00345AE0" w:rsidRPr="005738BE" w:rsidRDefault="00345AE0">
      <w:pPr>
        <w:rPr>
          <w:rFonts w:cs="Arial"/>
          <w:i/>
          <w:sz w:val="22"/>
          <w:szCs w:val="22"/>
          <w:lang w:val="es-MX"/>
        </w:rPr>
      </w:pPr>
    </w:p>
    <w:p w14:paraId="4F3CC3DF" w14:textId="77777777" w:rsidR="00345AE0" w:rsidRPr="005738BE" w:rsidRDefault="00345AE0">
      <w:pPr>
        <w:rPr>
          <w:rFonts w:cs="Arial"/>
          <w:i/>
          <w:sz w:val="22"/>
          <w:szCs w:val="22"/>
          <w:lang w:val="es-MX"/>
        </w:rPr>
      </w:pPr>
    </w:p>
    <w:p w14:paraId="69332C2F" w14:textId="77777777" w:rsidR="00345AE0" w:rsidRPr="005738BE" w:rsidRDefault="00345AE0">
      <w:pPr>
        <w:rPr>
          <w:rFonts w:cs="Arial"/>
          <w:i/>
          <w:sz w:val="22"/>
          <w:szCs w:val="22"/>
          <w:lang w:val="es-MX"/>
        </w:rPr>
      </w:pPr>
    </w:p>
    <w:p w14:paraId="6B3306AD" w14:textId="77777777" w:rsidR="00345AE0" w:rsidRPr="005738BE" w:rsidRDefault="00345AE0">
      <w:pPr>
        <w:rPr>
          <w:rFonts w:cs="Arial"/>
          <w:i/>
          <w:sz w:val="22"/>
          <w:szCs w:val="22"/>
          <w:lang w:val="es-MX"/>
        </w:rPr>
      </w:pPr>
    </w:p>
    <w:p w14:paraId="1F940180" w14:textId="77777777" w:rsidR="00345AE0" w:rsidRPr="005738BE" w:rsidRDefault="00345AE0">
      <w:pPr>
        <w:rPr>
          <w:rFonts w:cs="Arial"/>
          <w:i/>
          <w:sz w:val="22"/>
          <w:szCs w:val="22"/>
          <w:lang w:val="es-MX"/>
        </w:rPr>
      </w:pPr>
    </w:p>
    <w:p w14:paraId="0C0A5FA6" w14:textId="77777777" w:rsidR="00345AE0" w:rsidRPr="005738BE" w:rsidRDefault="00345AE0">
      <w:pPr>
        <w:rPr>
          <w:rFonts w:cs="Arial"/>
          <w:i/>
          <w:sz w:val="22"/>
          <w:szCs w:val="22"/>
          <w:lang w:val="es-MX"/>
        </w:rPr>
      </w:pPr>
    </w:p>
    <w:p w14:paraId="0504161C" w14:textId="77777777" w:rsidR="00345AE0" w:rsidRPr="005738BE" w:rsidRDefault="00345AE0">
      <w:pPr>
        <w:rPr>
          <w:rFonts w:cs="Arial"/>
          <w:i/>
          <w:sz w:val="22"/>
          <w:szCs w:val="22"/>
          <w:lang w:val="es-MX"/>
        </w:rPr>
      </w:pPr>
    </w:p>
    <w:p w14:paraId="08D0E97F" w14:textId="77777777" w:rsidR="00345AE0" w:rsidRPr="005738BE" w:rsidRDefault="00345AE0">
      <w:pPr>
        <w:rPr>
          <w:rFonts w:cs="Arial"/>
          <w:i/>
          <w:sz w:val="22"/>
          <w:szCs w:val="22"/>
          <w:lang w:val="es-MX"/>
        </w:rPr>
      </w:pPr>
    </w:p>
    <w:p w14:paraId="519A5EE3" w14:textId="77777777" w:rsidR="002A16A0" w:rsidRPr="005738BE" w:rsidRDefault="002A16A0">
      <w:pPr>
        <w:rPr>
          <w:rFonts w:cs="Arial"/>
          <w:i/>
          <w:sz w:val="22"/>
          <w:szCs w:val="22"/>
          <w:lang w:val="es-MX"/>
        </w:rPr>
      </w:pPr>
    </w:p>
    <w:tbl>
      <w:tblPr>
        <w:tblpPr w:leftFromText="141" w:rightFromText="141" w:vertAnchor="text" w:horzAnchor="margin" w:tblpXSpec="center" w:tblpY="97"/>
        <w:tblW w:w="10524" w:type="dxa"/>
        <w:tblBorders>
          <w:top w:val="thickThinLargeGap" w:sz="2" w:space="0" w:color="auto"/>
          <w:bottom w:val="thickThinLargeGap" w:sz="2"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3544"/>
        <w:gridCol w:w="3294"/>
      </w:tblGrid>
      <w:tr w:rsidR="006F70DB" w:rsidRPr="0099288D" w14:paraId="6AE259CF" w14:textId="77777777" w:rsidTr="0099288D">
        <w:trPr>
          <w:trHeight w:val="801"/>
        </w:trPr>
        <w:tc>
          <w:tcPr>
            <w:tcW w:w="3686" w:type="dxa"/>
            <w:tcBorders>
              <w:top w:val="thickThinLargeGap" w:sz="2" w:space="0" w:color="auto"/>
            </w:tcBorders>
          </w:tcPr>
          <w:p w14:paraId="2A371BAF" w14:textId="5808F668" w:rsidR="006F70DB" w:rsidRPr="0099288D" w:rsidRDefault="006B0794" w:rsidP="00DC5ACF">
            <w:pPr>
              <w:pStyle w:val="Piedepgina"/>
              <w:rPr>
                <w:rFonts w:cs="Arial"/>
                <w:bCs/>
                <w:color w:val="000000"/>
                <w:sz w:val="18"/>
                <w:szCs w:val="18"/>
                <w:lang w:val="es-ES_tradnl"/>
              </w:rPr>
            </w:pPr>
            <w:r w:rsidRPr="0099288D">
              <w:rPr>
                <w:rFonts w:cs="Arial"/>
                <w:b/>
                <w:sz w:val="18"/>
                <w:szCs w:val="18"/>
              </w:rPr>
              <w:t>Elaboró</w:t>
            </w:r>
            <w:r w:rsidR="006F70DB" w:rsidRPr="0099288D">
              <w:rPr>
                <w:rFonts w:cs="Arial"/>
                <w:b/>
                <w:sz w:val="18"/>
                <w:szCs w:val="18"/>
              </w:rPr>
              <w:t>:</w:t>
            </w:r>
            <w:r w:rsidR="00751BE3" w:rsidRPr="0099288D">
              <w:rPr>
                <w:rFonts w:cs="Arial"/>
                <w:b/>
                <w:sz w:val="18"/>
                <w:szCs w:val="18"/>
              </w:rPr>
              <w:t xml:space="preserve"> </w:t>
            </w:r>
            <w:r w:rsidR="00751BE3" w:rsidRPr="0099288D">
              <w:rPr>
                <w:rFonts w:cs="Arial"/>
                <w:bCs/>
                <w:sz w:val="18"/>
                <w:szCs w:val="18"/>
              </w:rPr>
              <w:t>Coordinador</w:t>
            </w:r>
            <w:r w:rsidR="006F70DB" w:rsidRPr="0099288D">
              <w:rPr>
                <w:rFonts w:cs="Arial"/>
                <w:bCs/>
                <w:sz w:val="18"/>
                <w:szCs w:val="18"/>
              </w:rPr>
              <w:t xml:space="preserve"> </w:t>
            </w:r>
            <w:r w:rsidR="00305F7C" w:rsidRPr="0099288D">
              <w:rPr>
                <w:rFonts w:cs="Arial"/>
                <w:sz w:val="18"/>
                <w:szCs w:val="18"/>
              </w:rPr>
              <w:t>Grupo de Investigaciones de Soborno Transnacional y otros delitos</w:t>
            </w:r>
          </w:p>
          <w:p w14:paraId="3B379201" w14:textId="77777777" w:rsidR="00FC17FA" w:rsidRPr="0099288D" w:rsidRDefault="00FC17FA" w:rsidP="00DC5ACF">
            <w:pPr>
              <w:pStyle w:val="Piedepgina"/>
              <w:rPr>
                <w:rFonts w:cs="Arial"/>
                <w:sz w:val="18"/>
                <w:szCs w:val="18"/>
                <w:highlight w:val="yellow"/>
              </w:rPr>
            </w:pPr>
          </w:p>
        </w:tc>
        <w:tc>
          <w:tcPr>
            <w:tcW w:w="3544" w:type="dxa"/>
            <w:tcBorders>
              <w:top w:val="thickThinLargeGap" w:sz="2" w:space="0" w:color="auto"/>
            </w:tcBorders>
          </w:tcPr>
          <w:p w14:paraId="5119C406" w14:textId="0536C978" w:rsidR="00345AE0" w:rsidRPr="0099288D" w:rsidRDefault="006B0794" w:rsidP="006B0794">
            <w:pPr>
              <w:pStyle w:val="Piedepgina"/>
              <w:rPr>
                <w:rFonts w:cs="Arial"/>
                <w:sz w:val="18"/>
                <w:szCs w:val="18"/>
                <w:highlight w:val="yellow"/>
              </w:rPr>
            </w:pPr>
            <w:r w:rsidRPr="0099288D">
              <w:rPr>
                <w:rFonts w:cs="Arial"/>
                <w:b/>
                <w:sz w:val="18"/>
                <w:szCs w:val="18"/>
              </w:rPr>
              <w:t>Revisó</w:t>
            </w:r>
            <w:r w:rsidR="006F70DB" w:rsidRPr="0099288D">
              <w:rPr>
                <w:rFonts w:cs="Arial"/>
                <w:b/>
                <w:sz w:val="18"/>
                <w:szCs w:val="18"/>
              </w:rPr>
              <w:t>:</w:t>
            </w:r>
            <w:r w:rsidR="002A16A0" w:rsidRPr="0099288D">
              <w:rPr>
                <w:rFonts w:cs="Arial"/>
                <w:sz w:val="18"/>
                <w:szCs w:val="18"/>
              </w:rPr>
              <w:t xml:space="preserve"> </w:t>
            </w:r>
            <w:r w:rsidR="00305F7C" w:rsidRPr="0099288D">
              <w:rPr>
                <w:rFonts w:cs="Arial"/>
                <w:sz w:val="18"/>
                <w:szCs w:val="18"/>
              </w:rPr>
              <w:t xml:space="preserve"> </w:t>
            </w:r>
            <w:proofErr w:type="gramStart"/>
            <w:r w:rsidR="00751BE3" w:rsidRPr="0099288D">
              <w:rPr>
                <w:rFonts w:cs="Arial"/>
                <w:sz w:val="18"/>
                <w:szCs w:val="18"/>
              </w:rPr>
              <w:t>Director</w:t>
            </w:r>
            <w:proofErr w:type="gramEnd"/>
            <w:r w:rsidR="00751BE3" w:rsidRPr="0099288D">
              <w:rPr>
                <w:rFonts w:cs="Arial"/>
                <w:sz w:val="18"/>
                <w:szCs w:val="18"/>
              </w:rPr>
              <w:t xml:space="preserve"> de Cumplimiento. </w:t>
            </w:r>
            <w:r w:rsidR="00305F7C" w:rsidRPr="0099288D" w:rsidDel="00305F7C">
              <w:rPr>
                <w:rFonts w:cs="Arial"/>
                <w:sz w:val="18"/>
                <w:szCs w:val="18"/>
              </w:rPr>
              <w:t xml:space="preserve"> </w:t>
            </w:r>
          </w:p>
        </w:tc>
        <w:tc>
          <w:tcPr>
            <w:tcW w:w="3294" w:type="dxa"/>
            <w:tcBorders>
              <w:top w:val="thickThinLargeGap" w:sz="2" w:space="0" w:color="auto"/>
            </w:tcBorders>
          </w:tcPr>
          <w:p w14:paraId="6482040D" w14:textId="0677F29E" w:rsidR="006F70DB" w:rsidRPr="0099288D" w:rsidRDefault="006F70DB" w:rsidP="0059073B">
            <w:pPr>
              <w:ind w:right="36"/>
              <w:rPr>
                <w:rFonts w:cs="Arial"/>
                <w:sz w:val="18"/>
                <w:szCs w:val="18"/>
                <w:highlight w:val="yellow"/>
              </w:rPr>
            </w:pPr>
            <w:r w:rsidRPr="0099288D">
              <w:rPr>
                <w:rFonts w:cs="Arial"/>
                <w:b/>
                <w:sz w:val="18"/>
                <w:szCs w:val="18"/>
              </w:rPr>
              <w:t>Aprobó:</w:t>
            </w:r>
            <w:r w:rsidRPr="0099288D">
              <w:rPr>
                <w:rFonts w:cs="Arial"/>
                <w:sz w:val="18"/>
                <w:szCs w:val="18"/>
              </w:rPr>
              <w:t xml:space="preserve"> </w:t>
            </w:r>
            <w:r w:rsidR="002A16A0" w:rsidRPr="0099288D">
              <w:rPr>
                <w:rFonts w:cs="Arial"/>
                <w:bCs/>
                <w:color w:val="000000"/>
                <w:sz w:val="18"/>
                <w:szCs w:val="18"/>
                <w:lang w:val="es-ES_tradnl"/>
              </w:rPr>
              <w:t xml:space="preserve"> </w:t>
            </w:r>
            <w:proofErr w:type="gramStart"/>
            <w:r w:rsidR="00751BE3" w:rsidRPr="0099288D">
              <w:rPr>
                <w:rFonts w:cs="Arial"/>
                <w:bCs/>
                <w:color w:val="000000"/>
                <w:sz w:val="18"/>
                <w:szCs w:val="18"/>
                <w:lang w:val="es-ES_tradnl"/>
              </w:rPr>
              <w:t>Delegado</w:t>
            </w:r>
            <w:proofErr w:type="gramEnd"/>
            <w:r w:rsidR="00751BE3" w:rsidRPr="0099288D">
              <w:rPr>
                <w:rFonts w:cs="Arial"/>
                <w:bCs/>
                <w:color w:val="000000"/>
                <w:sz w:val="18"/>
                <w:szCs w:val="18"/>
                <w:lang w:val="es-ES_tradnl"/>
              </w:rPr>
              <w:t xml:space="preserve"> de Asuntos Económicos y </w:t>
            </w:r>
            <w:r w:rsidR="000C13CB" w:rsidRPr="0099288D">
              <w:rPr>
                <w:rFonts w:cs="Arial"/>
                <w:bCs/>
                <w:color w:val="000000"/>
                <w:sz w:val="18"/>
                <w:szCs w:val="18"/>
                <w:lang w:val="es-ES_tradnl"/>
              </w:rPr>
              <w:t xml:space="preserve">Societarios </w:t>
            </w:r>
          </w:p>
        </w:tc>
      </w:tr>
      <w:tr w:rsidR="006F70DB" w:rsidRPr="0099288D" w14:paraId="6D06E1A6" w14:textId="77777777" w:rsidTr="0099288D">
        <w:trPr>
          <w:trHeight w:val="250"/>
        </w:trPr>
        <w:tc>
          <w:tcPr>
            <w:tcW w:w="3686" w:type="dxa"/>
            <w:tcBorders>
              <w:bottom w:val="thickThinLargeGap" w:sz="2" w:space="0" w:color="auto"/>
            </w:tcBorders>
          </w:tcPr>
          <w:p w14:paraId="089C5A68" w14:textId="4645F0C0" w:rsidR="006F70DB" w:rsidRPr="0099288D" w:rsidRDefault="006F70DB" w:rsidP="0059073B">
            <w:pPr>
              <w:pStyle w:val="Piedepgina"/>
              <w:rPr>
                <w:rFonts w:cs="Arial"/>
                <w:sz w:val="18"/>
                <w:szCs w:val="18"/>
              </w:rPr>
            </w:pPr>
            <w:proofErr w:type="gramStart"/>
            <w:r w:rsidRPr="0099288D">
              <w:rPr>
                <w:rFonts w:cs="Arial"/>
                <w:b/>
                <w:sz w:val="18"/>
                <w:szCs w:val="18"/>
              </w:rPr>
              <w:t>Fecha :</w:t>
            </w:r>
            <w:proofErr w:type="gramEnd"/>
            <w:r w:rsidRPr="0099288D">
              <w:rPr>
                <w:rFonts w:cs="Arial"/>
                <w:sz w:val="18"/>
                <w:szCs w:val="18"/>
              </w:rPr>
              <w:t xml:space="preserve"> </w:t>
            </w:r>
            <w:r w:rsidR="00305F7C" w:rsidRPr="0099288D">
              <w:rPr>
                <w:rFonts w:cs="Arial"/>
                <w:spacing w:val="1"/>
                <w:sz w:val="18"/>
                <w:szCs w:val="18"/>
              </w:rPr>
              <w:t>27 de julio de 2021</w:t>
            </w:r>
          </w:p>
        </w:tc>
        <w:tc>
          <w:tcPr>
            <w:tcW w:w="3544" w:type="dxa"/>
            <w:tcBorders>
              <w:bottom w:val="thickThinLargeGap" w:sz="2" w:space="0" w:color="auto"/>
            </w:tcBorders>
          </w:tcPr>
          <w:p w14:paraId="7144F329" w14:textId="6B15E15A" w:rsidR="006F70DB" w:rsidRPr="0099288D" w:rsidRDefault="006F70DB" w:rsidP="0059073B">
            <w:pPr>
              <w:pStyle w:val="Piedepgina"/>
              <w:rPr>
                <w:rFonts w:cs="Arial"/>
                <w:sz w:val="18"/>
                <w:szCs w:val="18"/>
              </w:rPr>
            </w:pPr>
            <w:proofErr w:type="gramStart"/>
            <w:r w:rsidRPr="0099288D">
              <w:rPr>
                <w:rFonts w:cs="Arial"/>
                <w:b/>
                <w:sz w:val="18"/>
                <w:szCs w:val="18"/>
              </w:rPr>
              <w:t>Fecha :</w:t>
            </w:r>
            <w:proofErr w:type="gramEnd"/>
            <w:r w:rsidRPr="0099288D">
              <w:rPr>
                <w:rFonts w:cs="Arial"/>
                <w:sz w:val="18"/>
                <w:szCs w:val="18"/>
              </w:rPr>
              <w:t xml:space="preserve"> </w:t>
            </w:r>
            <w:r w:rsidR="00305F7C" w:rsidRPr="0099288D">
              <w:rPr>
                <w:rFonts w:cs="Arial"/>
                <w:spacing w:val="1"/>
                <w:sz w:val="18"/>
                <w:szCs w:val="18"/>
              </w:rPr>
              <w:t>27 de julio de 2021</w:t>
            </w:r>
          </w:p>
        </w:tc>
        <w:tc>
          <w:tcPr>
            <w:tcW w:w="3294" w:type="dxa"/>
            <w:tcBorders>
              <w:bottom w:val="thickThinLargeGap" w:sz="2" w:space="0" w:color="auto"/>
            </w:tcBorders>
          </w:tcPr>
          <w:p w14:paraId="7D31729D" w14:textId="42A34CBF" w:rsidR="006F70DB" w:rsidRPr="0099288D" w:rsidRDefault="006F70DB" w:rsidP="00A018E4">
            <w:pPr>
              <w:pStyle w:val="Piedepgina"/>
              <w:ind w:left="290" w:hanging="290"/>
              <w:rPr>
                <w:rFonts w:cs="Arial"/>
                <w:sz w:val="18"/>
                <w:szCs w:val="18"/>
              </w:rPr>
            </w:pPr>
            <w:proofErr w:type="gramStart"/>
            <w:r w:rsidRPr="0099288D">
              <w:rPr>
                <w:rFonts w:cs="Arial"/>
                <w:b/>
                <w:sz w:val="18"/>
                <w:szCs w:val="18"/>
              </w:rPr>
              <w:t>Fecha :</w:t>
            </w:r>
            <w:proofErr w:type="gramEnd"/>
            <w:r w:rsidRPr="0099288D">
              <w:rPr>
                <w:rFonts w:cs="Arial"/>
                <w:sz w:val="18"/>
                <w:szCs w:val="18"/>
              </w:rPr>
              <w:t xml:space="preserve"> </w:t>
            </w:r>
            <w:r w:rsidR="00751BE3" w:rsidRPr="0099288D">
              <w:rPr>
                <w:rFonts w:cs="Arial"/>
                <w:spacing w:val="1"/>
                <w:sz w:val="18"/>
                <w:szCs w:val="18"/>
              </w:rPr>
              <w:t>30</w:t>
            </w:r>
            <w:r w:rsidR="00305F7C" w:rsidRPr="0099288D">
              <w:rPr>
                <w:rFonts w:cs="Arial"/>
                <w:spacing w:val="1"/>
                <w:sz w:val="18"/>
                <w:szCs w:val="18"/>
              </w:rPr>
              <w:t xml:space="preserve"> de julio de 2021</w:t>
            </w:r>
          </w:p>
        </w:tc>
      </w:tr>
    </w:tbl>
    <w:p w14:paraId="3C0B9DCF" w14:textId="77777777" w:rsidR="006F70DB" w:rsidRPr="005738BE" w:rsidRDefault="006F70DB" w:rsidP="00345AE0">
      <w:pPr>
        <w:rPr>
          <w:rFonts w:cs="Arial"/>
          <w:sz w:val="22"/>
          <w:szCs w:val="22"/>
          <w:lang w:val="es-MX"/>
        </w:rPr>
      </w:pPr>
    </w:p>
    <w:sectPr w:rsidR="006F70DB" w:rsidRPr="005738BE" w:rsidSect="00F839B0">
      <w:headerReference w:type="default" r:id="rId17"/>
      <w:pgSz w:w="12240" w:h="15840"/>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72332" w14:textId="77777777" w:rsidR="00F85917" w:rsidRDefault="00F85917" w:rsidP="00F86193">
      <w:r>
        <w:separator/>
      </w:r>
    </w:p>
  </w:endnote>
  <w:endnote w:type="continuationSeparator" w:id="0">
    <w:p w14:paraId="10F1786F" w14:textId="77777777" w:rsidR="00F85917" w:rsidRDefault="00F85917" w:rsidP="00F8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03C53" w14:textId="77777777" w:rsidR="00F85917" w:rsidRDefault="00F85917" w:rsidP="00F86193">
      <w:r>
        <w:separator/>
      </w:r>
    </w:p>
  </w:footnote>
  <w:footnote w:type="continuationSeparator" w:id="0">
    <w:p w14:paraId="5E88563B" w14:textId="77777777" w:rsidR="00F85917" w:rsidRDefault="00F85917" w:rsidP="00F86193">
      <w:r>
        <w:continuationSeparator/>
      </w:r>
    </w:p>
  </w:footnote>
  <w:footnote w:id="1">
    <w:p w14:paraId="43181DC5" w14:textId="77777777" w:rsidR="00387653" w:rsidRPr="0075080A" w:rsidRDefault="00387653" w:rsidP="0075080A">
      <w:pPr>
        <w:pStyle w:val="Textonotapie"/>
        <w:rPr>
          <w:i/>
        </w:rPr>
      </w:pPr>
      <w:r w:rsidRPr="0059073B">
        <w:rPr>
          <w:rStyle w:val="Refdenotaalpie"/>
          <w:sz w:val="18"/>
        </w:rPr>
        <w:footnoteRef/>
      </w:r>
      <w:r w:rsidRPr="0059073B">
        <w:rPr>
          <w:sz w:val="18"/>
        </w:rPr>
        <w:t xml:space="preserve"> OCDE (2015), Informe de la OCDE sobre Cohecho Internacional. Análisis del Delito de Cohecho de Servidores Públicos Extranjeros, OECD Publishing. http:dx.doi.org/10.1787/978926422654-es</w:t>
      </w:r>
    </w:p>
  </w:footnote>
  <w:footnote w:id="2">
    <w:p w14:paraId="0F3AEE41" w14:textId="77777777" w:rsidR="00387653" w:rsidRPr="0059073B" w:rsidRDefault="00387653" w:rsidP="003E716C">
      <w:pPr>
        <w:pStyle w:val="Textonotapie"/>
        <w:rPr>
          <w:rFonts w:cs="Arial"/>
          <w:sz w:val="18"/>
          <w:lang w:val="en-US"/>
        </w:rPr>
      </w:pPr>
      <w:r w:rsidRPr="0059073B">
        <w:rPr>
          <w:rStyle w:val="Refdenotaalpie"/>
          <w:rFonts w:cs="Arial"/>
          <w:sz w:val="18"/>
        </w:rPr>
        <w:footnoteRef/>
      </w:r>
      <w:r w:rsidRPr="0059073B">
        <w:rPr>
          <w:rFonts w:cs="Arial"/>
          <w:sz w:val="18"/>
          <w:lang w:val="en-US"/>
        </w:rPr>
        <w:t xml:space="preserve"> FCPA. A Resource Guide to the U.S. Foreign Corrupt Practices Act. Document by the Criminal Division of the U.S. Department of Justice and Enforcement Division of the U.S. Securities and Exchange Commission.</w:t>
      </w:r>
    </w:p>
  </w:footnote>
  <w:footnote w:id="3">
    <w:p w14:paraId="62D2E55D" w14:textId="77777777" w:rsidR="00387653" w:rsidRPr="00F96D8C" w:rsidRDefault="00387653" w:rsidP="00387653">
      <w:pPr>
        <w:pStyle w:val="Textonotapie"/>
        <w:rPr>
          <w:rFonts w:cs="Arial"/>
          <w:lang w:val="en-US"/>
        </w:rPr>
      </w:pPr>
      <w:r w:rsidRPr="0059073B">
        <w:rPr>
          <w:rStyle w:val="Refdenotaalpie"/>
          <w:rFonts w:cs="Arial"/>
          <w:sz w:val="18"/>
        </w:rPr>
        <w:footnoteRef/>
      </w:r>
      <w:r w:rsidRPr="0059073B">
        <w:rPr>
          <w:rFonts w:cs="Arial"/>
          <w:sz w:val="18"/>
          <w:lang w:val="en-US"/>
        </w:rPr>
        <w:t xml:space="preserve"> Foreign Bribery and Corruption Conference- -October 31 – November 4, 2016, Washington D.C.</w:t>
      </w:r>
    </w:p>
  </w:footnote>
  <w:footnote w:id="4">
    <w:p w14:paraId="4FB61200" w14:textId="77777777" w:rsidR="00387653" w:rsidRPr="000972A2" w:rsidRDefault="00387653">
      <w:pPr>
        <w:pStyle w:val="Textonotapie"/>
        <w:rPr>
          <w:lang w:val="es-CO"/>
        </w:rPr>
      </w:pPr>
      <w:r w:rsidRPr="0059073B">
        <w:rPr>
          <w:rStyle w:val="Refdenotaalpie"/>
          <w:sz w:val="18"/>
        </w:rPr>
        <w:footnoteRef/>
      </w:r>
      <w:r w:rsidRPr="0059073B">
        <w:rPr>
          <w:sz w:val="18"/>
        </w:rPr>
        <w:t xml:space="preserve"> </w:t>
      </w:r>
      <w:r w:rsidRPr="0059073B">
        <w:rPr>
          <w:sz w:val="18"/>
          <w:lang w:val="es-CO"/>
        </w:rPr>
        <w:t>Op. Cit. 3</w:t>
      </w:r>
    </w:p>
  </w:footnote>
  <w:footnote w:id="5">
    <w:p w14:paraId="6D7FE0FB" w14:textId="5F74FB5D" w:rsidR="00EC1202" w:rsidRDefault="00EC1202" w:rsidP="004B37D2">
      <w:pPr>
        <w:pStyle w:val="Textonotapie"/>
        <w:jc w:val="left"/>
      </w:pPr>
      <w:r>
        <w:rPr>
          <w:rStyle w:val="Refdenotaalpie"/>
        </w:rPr>
        <w:footnoteRef/>
      </w:r>
      <w:r>
        <w:t xml:space="preserve">Ver infografía: </w:t>
      </w:r>
      <w:r w:rsidRPr="00EC1202">
        <w:t>https://www.supersociedades.gov.co/delegatura_aec/Documents/2020/INFOGRAFIA-PTEE-20102020.pdf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22" w:type="dxa"/>
      <w:tblInd w:w="-552" w:type="dxa"/>
      <w:tblLayout w:type="fixed"/>
      <w:tblCellMar>
        <w:left w:w="0" w:type="dxa"/>
        <w:right w:w="0" w:type="dxa"/>
      </w:tblCellMar>
      <w:tblLook w:val="0000" w:firstRow="0" w:lastRow="0" w:firstColumn="0" w:lastColumn="0" w:noHBand="0" w:noVBand="0"/>
    </w:tblPr>
    <w:tblGrid>
      <w:gridCol w:w="2238"/>
      <w:gridCol w:w="5559"/>
      <w:gridCol w:w="2425"/>
    </w:tblGrid>
    <w:tr w:rsidR="006F70DB" w14:paraId="10E647E2" w14:textId="77777777" w:rsidTr="0050337A">
      <w:trPr>
        <w:trHeight w:val="340"/>
      </w:trPr>
      <w:tc>
        <w:tcPr>
          <w:tcW w:w="2238" w:type="dxa"/>
          <w:vMerge w:val="restart"/>
          <w:tcBorders>
            <w:top w:val="single" w:sz="12" w:space="0" w:color="000000"/>
            <w:left w:val="single" w:sz="12" w:space="0" w:color="000000"/>
            <w:bottom w:val="single" w:sz="12" w:space="0" w:color="000000"/>
            <w:right w:val="single" w:sz="2" w:space="0" w:color="000000"/>
          </w:tcBorders>
        </w:tcPr>
        <w:p w14:paraId="4061C436" w14:textId="332927D9" w:rsidR="006F70DB" w:rsidRDefault="006F70DB" w:rsidP="00FC17FA">
          <w:pPr>
            <w:widowControl w:val="0"/>
            <w:tabs>
              <w:tab w:val="left" w:pos="17"/>
            </w:tabs>
            <w:autoSpaceDE w:val="0"/>
            <w:autoSpaceDN w:val="0"/>
            <w:adjustRightInd w:val="0"/>
            <w:spacing w:before="64"/>
            <w:ind w:left="17" w:hanging="17"/>
            <w:jc w:val="center"/>
            <w:rPr>
              <w:rFonts w:ascii="Times New Roman" w:hAnsi="Times New Roman"/>
              <w:sz w:val="20"/>
            </w:rPr>
          </w:pPr>
        </w:p>
        <w:p w14:paraId="01B12F47" w14:textId="4CEA894C" w:rsidR="006F70DB" w:rsidRDefault="0050337A" w:rsidP="00A018E4">
          <w:pPr>
            <w:widowControl w:val="0"/>
            <w:autoSpaceDE w:val="0"/>
            <w:autoSpaceDN w:val="0"/>
            <w:adjustRightInd w:val="0"/>
            <w:spacing w:before="2" w:line="180" w:lineRule="exact"/>
            <w:rPr>
              <w:rFonts w:ascii="Times New Roman" w:hAnsi="Times New Roman"/>
              <w:sz w:val="18"/>
              <w:szCs w:val="18"/>
            </w:rPr>
          </w:pPr>
          <w:r>
            <w:rPr>
              <w:noProof/>
              <w:lang w:val="es-CO" w:eastAsia="es-CO"/>
            </w:rPr>
            <w:drawing>
              <wp:anchor distT="0" distB="0" distL="114300" distR="114300" simplePos="0" relativeHeight="251659264" behindDoc="1" locked="0" layoutInCell="1" allowOverlap="1" wp14:anchorId="79DCB605" wp14:editId="5F97B5F3">
                <wp:simplePos x="0" y="0"/>
                <wp:positionH relativeFrom="column">
                  <wp:posOffset>19380</wp:posOffset>
                </wp:positionH>
                <wp:positionV relativeFrom="paragraph">
                  <wp:posOffset>18415</wp:posOffset>
                </wp:positionV>
                <wp:extent cx="1360170" cy="776605"/>
                <wp:effectExtent l="0" t="0" r="0" b="444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360170" cy="776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6F5A3D" w14:textId="77777777" w:rsidR="006F70DB" w:rsidRDefault="006F70DB" w:rsidP="00A018E4">
          <w:pPr>
            <w:widowControl w:val="0"/>
            <w:autoSpaceDE w:val="0"/>
            <w:autoSpaceDN w:val="0"/>
            <w:adjustRightInd w:val="0"/>
            <w:spacing w:line="200" w:lineRule="exact"/>
            <w:rPr>
              <w:rFonts w:ascii="Times New Roman" w:hAnsi="Times New Roman"/>
              <w:szCs w:val="24"/>
            </w:rPr>
          </w:pPr>
        </w:p>
      </w:tc>
      <w:tc>
        <w:tcPr>
          <w:tcW w:w="5559" w:type="dxa"/>
          <w:tcBorders>
            <w:top w:val="single" w:sz="12" w:space="0" w:color="000000"/>
            <w:left w:val="single" w:sz="2" w:space="0" w:color="000000"/>
            <w:bottom w:val="single" w:sz="2" w:space="0" w:color="000000"/>
            <w:right w:val="single" w:sz="2" w:space="0" w:color="000000"/>
          </w:tcBorders>
          <w:vAlign w:val="center"/>
        </w:tcPr>
        <w:p w14:paraId="1BE5866B" w14:textId="77777777" w:rsidR="006F70DB" w:rsidRPr="0050337A" w:rsidRDefault="006F70DB" w:rsidP="0050337A">
          <w:pPr>
            <w:widowControl w:val="0"/>
            <w:autoSpaceDE w:val="0"/>
            <w:autoSpaceDN w:val="0"/>
            <w:adjustRightInd w:val="0"/>
            <w:ind w:left="61"/>
            <w:jc w:val="center"/>
            <w:rPr>
              <w:rFonts w:ascii="Verdana" w:hAnsi="Verdana"/>
              <w:szCs w:val="24"/>
            </w:rPr>
          </w:pPr>
          <w:r w:rsidRPr="0050337A">
            <w:rPr>
              <w:rFonts w:ascii="Verdana" w:hAnsi="Verdana" w:cs="Arial"/>
              <w:b/>
              <w:bCs/>
              <w:spacing w:val="2"/>
              <w:sz w:val="20"/>
            </w:rPr>
            <w:t>SUPERINTENDENCIA</w:t>
          </w:r>
          <w:r w:rsidRPr="0050337A">
            <w:rPr>
              <w:rFonts w:ascii="Verdana" w:hAnsi="Verdana" w:cs="Arial"/>
              <w:b/>
              <w:bCs/>
              <w:spacing w:val="-2"/>
              <w:w w:val="99"/>
              <w:sz w:val="20"/>
            </w:rPr>
            <w:t xml:space="preserve"> </w:t>
          </w:r>
          <w:r w:rsidRPr="0050337A">
            <w:rPr>
              <w:rFonts w:ascii="Verdana" w:hAnsi="Verdana" w:cs="Arial"/>
              <w:b/>
              <w:bCs/>
              <w:spacing w:val="2"/>
              <w:sz w:val="20"/>
            </w:rPr>
            <w:t>D</w:t>
          </w:r>
          <w:r w:rsidRPr="0050337A">
            <w:rPr>
              <w:rFonts w:ascii="Verdana" w:hAnsi="Verdana" w:cs="Arial"/>
              <w:b/>
              <w:bCs/>
              <w:sz w:val="20"/>
            </w:rPr>
            <w:t>E</w:t>
          </w:r>
          <w:r w:rsidRPr="0050337A">
            <w:rPr>
              <w:rFonts w:ascii="Verdana" w:hAnsi="Verdana" w:cs="Arial"/>
              <w:b/>
              <w:bCs/>
              <w:spacing w:val="-2"/>
              <w:sz w:val="20"/>
            </w:rPr>
            <w:t xml:space="preserve"> </w:t>
          </w:r>
          <w:r w:rsidRPr="0050337A">
            <w:rPr>
              <w:rFonts w:ascii="Verdana" w:hAnsi="Verdana" w:cs="Arial"/>
              <w:b/>
              <w:bCs/>
              <w:spacing w:val="-1"/>
              <w:sz w:val="20"/>
            </w:rPr>
            <w:t>S</w:t>
          </w:r>
          <w:r w:rsidRPr="0050337A">
            <w:rPr>
              <w:rFonts w:ascii="Verdana" w:hAnsi="Verdana" w:cs="Arial"/>
              <w:b/>
              <w:bCs/>
              <w:spacing w:val="1"/>
              <w:sz w:val="20"/>
            </w:rPr>
            <w:t>O</w:t>
          </w:r>
          <w:r w:rsidRPr="0050337A">
            <w:rPr>
              <w:rFonts w:ascii="Verdana" w:hAnsi="Verdana" w:cs="Arial"/>
              <w:b/>
              <w:bCs/>
              <w:sz w:val="20"/>
            </w:rPr>
            <w:t>CI</w:t>
          </w:r>
          <w:r w:rsidRPr="0050337A">
            <w:rPr>
              <w:rFonts w:ascii="Verdana" w:hAnsi="Verdana" w:cs="Arial"/>
              <w:b/>
              <w:bCs/>
              <w:spacing w:val="1"/>
              <w:sz w:val="20"/>
            </w:rPr>
            <w:t>E</w:t>
          </w:r>
          <w:r w:rsidRPr="0050337A">
            <w:rPr>
              <w:rFonts w:ascii="Verdana" w:hAnsi="Verdana" w:cs="Arial"/>
              <w:b/>
              <w:bCs/>
              <w:spacing w:val="5"/>
              <w:sz w:val="20"/>
            </w:rPr>
            <w:t>D</w:t>
          </w:r>
          <w:r w:rsidRPr="0050337A">
            <w:rPr>
              <w:rFonts w:ascii="Verdana" w:hAnsi="Verdana" w:cs="Arial"/>
              <w:b/>
              <w:bCs/>
              <w:spacing w:val="-5"/>
              <w:sz w:val="20"/>
            </w:rPr>
            <w:t>A</w:t>
          </w:r>
          <w:r w:rsidRPr="0050337A">
            <w:rPr>
              <w:rFonts w:ascii="Verdana" w:hAnsi="Verdana" w:cs="Arial"/>
              <w:b/>
              <w:bCs/>
              <w:sz w:val="20"/>
            </w:rPr>
            <w:t>D</w:t>
          </w:r>
          <w:r w:rsidRPr="0050337A">
            <w:rPr>
              <w:rFonts w:ascii="Verdana" w:hAnsi="Verdana" w:cs="Arial"/>
              <w:b/>
              <w:bCs/>
              <w:spacing w:val="2"/>
              <w:sz w:val="20"/>
            </w:rPr>
            <w:t>E</w:t>
          </w:r>
          <w:r w:rsidRPr="0050337A">
            <w:rPr>
              <w:rFonts w:ascii="Verdana" w:hAnsi="Verdana" w:cs="Arial"/>
              <w:b/>
              <w:bCs/>
              <w:sz w:val="20"/>
            </w:rPr>
            <w:t>S</w:t>
          </w:r>
        </w:p>
      </w:tc>
      <w:tc>
        <w:tcPr>
          <w:tcW w:w="2425" w:type="dxa"/>
          <w:tcBorders>
            <w:top w:val="single" w:sz="12" w:space="0" w:color="000000"/>
            <w:left w:val="single" w:sz="2" w:space="0" w:color="000000"/>
            <w:bottom w:val="single" w:sz="2" w:space="0" w:color="000000"/>
            <w:right w:val="single" w:sz="12" w:space="0" w:color="000000"/>
          </w:tcBorders>
          <w:vAlign w:val="center"/>
        </w:tcPr>
        <w:p w14:paraId="4F628071" w14:textId="77777777" w:rsidR="006F70DB" w:rsidRPr="0050337A" w:rsidRDefault="006F70DB" w:rsidP="0050337A">
          <w:pPr>
            <w:widowControl w:val="0"/>
            <w:autoSpaceDE w:val="0"/>
            <w:autoSpaceDN w:val="0"/>
            <w:adjustRightInd w:val="0"/>
            <w:ind w:left="68"/>
            <w:jc w:val="left"/>
            <w:rPr>
              <w:rFonts w:ascii="Verdana" w:hAnsi="Verdana"/>
              <w:sz w:val="18"/>
              <w:szCs w:val="24"/>
            </w:rPr>
          </w:pPr>
          <w:r w:rsidRPr="0050337A">
            <w:rPr>
              <w:rFonts w:ascii="Verdana" w:hAnsi="Verdana" w:cs="Arial"/>
              <w:sz w:val="18"/>
            </w:rPr>
            <w:t>Cód</w:t>
          </w:r>
          <w:r w:rsidRPr="0050337A">
            <w:rPr>
              <w:rFonts w:ascii="Verdana" w:hAnsi="Verdana" w:cs="Arial"/>
              <w:spacing w:val="1"/>
              <w:sz w:val="18"/>
            </w:rPr>
            <w:t>i</w:t>
          </w:r>
          <w:r w:rsidRPr="0050337A">
            <w:rPr>
              <w:rFonts w:ascii="Verdana" w:hAnsi="Verdana" w:cs="Arial"/>
              <w:sz w:val="18"/>
            </w:rPr>
            <w:t>g</w:t>
          </w:r>
          <w:r w:rsidRPr="0050337A">
            <w:rPr>
              <w:rFonts w:ascii="Verdana" w:hAnsi="Verdana" w:cs="Arial"/>
              <w:spacing w:val="-1"/>
              <w:sz w:val="18"/>
            </w:rPr>
            <w:t>o</w:t>
          </w:r>
          <w:r w:rsidRPr="0050337A">
            <w:rPr>
              <w:rFonts w:ascii="Verdana" w:hAnsi="Verdana" w:cs="Arial"/>
              <w:sz w:val="18"/>
            </w:rPr>
            <w:t>:</w:t>
          </w:r>
          <w:r w:rsidR="008711C5" w:rsidRPr="0050337A">
            <w:rPr>
              <w:rFonts w:ascii="Verdana" w:hAnsi="Verdana" w:cs="Arial"/>
              <w:sz w:val="18"/>
            </w:rPr>
            <w:t xml:space="preserve"> IA-</w:t>
          </w:r>
          <w:r w:rsidR="00FC17FA" w:rsidRPr="0050337A">
            <w:rPr>
              <w:rFonts w:ascii="Verdana" w:hAnsi="Verdana" w:cs="Arial"/>
              <w:sz w:val="18"/>
            </w:rPr>
            <w:t>G-001</w:t>
          </w:r>
        </w:p>
      </w:tc>
    </w:tr>
    <w:tr w:rsidR="006F70DB" w14:paraId="670AE920" w14:textId="77777777" w:rsidTr="0050337A">
      <w:trPr>
        <w:trHeight w:val="340"/>
      </w:trPr>
      <w:tc>
        <w:tcPr>
          <w:tcW w:w="2238" w:type="dxa"/>
          <w:vMerge/>
          <w:tcBorders>
            <w:top w:val="single" w:sz="12" w:space="0" w:color="000000"/>
            <w:left w:val="single" w:sz="12" w:space="0" w:color="000000"/>
            <w:bottom w:val="single" w:sz="12" w:space="0" w:color="000000"/>
            <w:right w:val="single" w:sz="2" w:space="0" w:color="000000"/>
          </w:tcBorders>
        </w:tcPr>
        <w:p w14:paraId="6D605635" w14:textId="77777777" w:rsidR="006F70DB" w:rsidRDefault="006F70DB" w:rsidP="00A018E4">
          <w:pPr>
            <w:widowControl w:val="0"/>
            <w:autoSpaceDE w:val="0"/>
            <w:autoSpaceDN w:val="0"/>
            <w:adjustRightInd w:val="0"/>
            <w:ind w:left="66"/>
            <w:rPr>
              <w:rFonts w:ascii="Times New Roman" w:hAnsi="Times New Roman"/>
              <w:szCs w:val="24"/>
            </w:rPr>
          </w:pPr>
        </w:p>
      </w:tc>
      <w:tc>
        <w:tcPr>
          <w:tcW w:w="5559" w:type="dxa"/>
          <w:tcBorders>
            <w:top w:val="single" w:sz="2" w:space="0" w:color="000000"/>
            <w:left w:val="single" w:sz="2" w:space="0" w:color="000000"/>
            <w:bottom w:val="single" w:sz="2" w:space="0" w:color="000000"/>
            <w:right w:val="single" w:sz="2" w:space="0" w:color="000000"/>
          </w:tcBorders>
          <w:vAlign w:val="center"/>
        </w:tcPr>
        <w:p w14:paraId="23D8166F" w14:textId="77777777" w:rsidR="006F70DB" w:rsidRPr="0050337A" w:rsidRDefault="006F70DB" w:rsidP="0050337A">
          <w:pPr>
            <w:widowControl w:val="0"/>
            <w:autoSpaceDE w:val="0"/>
            <w:autoSpaceDN w:val="0"/>
            <w:adjustRightInd w:val="0"/>
            <w:ind w:left="61"/>
            <w:jc w:val="center"/>
            <w:rPr>
              <w:rFonts w:ascii="Verdana" w:hAnsi="Verdana"/>
              <w:szCs w:val="24"/>
            </w:rPr>
          </w:pPr>
          <w:r w:rsidRPr="0050337A">
            <w:rPr>
              <w:rFonts w:ascii="Verdana" w:hAnsi="Verdana" w:cs="Arial"/>
              <w:b/>
              <w:bCs/>
              <w:spacing w:val="-1"/>
              <w:sz w:val="20"/>
            </w:rPr>
            <w:t>S</w:t>
          </w:r>
          <w:r w:rsidRPr="0050337A">
            <w:rPr>
              <w:rFonts w:ascii="Verdana" w:hAnsi="Verdana" w:cs="Arial"/>
              <w:b/>
              <w:bCs/>
              <w:sz w:val="20"/>
            </w:rPr>
            <w:t>I</w:t>
          </w:r>
          <w:r w:rsidRPr="0050337A">
            <w:rPr>
              <w:rFonts w:ascii="Verdana" w:hAnsi="Verdana" w:cs="Arial"/>
              <w:b/>
              <w:bCs/>
              <w:spacing w:val="-1"/>
              <w:sz w:val="20"/>
            </w:rPr>
            <w:t>S</w:t>
          </w:r>
          <w:r w:rsidRPr="0050337A">
            <w:rPr>
              <w:rFonts w:ascii="Verdana" w:hAnsi="Verdana" w:cs="Arial"/>
              <w:b/>
              <w:bCs/>
              <w:spacing w:val="3"/>
              <w:sz w:val="20"/>
            </w:rPr>
            <w:t>T</w:t>
          </w:r>
          <w:r w:rsidRPr="0050337A">
            <w:rPr>
              <w:rFonts w:ascii="Verdana" w:hAnsi="Verdana" w:cs="Arial"/>
              <w:b/>
              <w:bCs/>
              <w:spacing w:val="-1"/>
              <w:sz w:val="20"/>
            </w:rPr>
            <w:t>E</w:t>
          </w:r>
          <w:r w:rsidRPr="0050337A">
            <w:rPr>
              <w:rFonts w:ascii="Verdana" w:hAnsi="Verdana" w:cs="Arial"/>
              <w:b/>
              <w:bCs/>
              <w:spacing w:val="7"/>
              <w:sz w:val="20"/>
            </w:rPr>
            <w:t>M</w:t>
          </w:r>
          <w:r w:rsidRPr="0050337A">
            <w:rPr>
              <w:rFonts w:ascii="Verdana" w:hAnsi="Verdana" w:cs="Arial"/>
              <w:b/>
              <w:bCs/>
              <w:sz w:val="20"/>
            </w:rPr>
            <w:t>A</w:t>
          </w:r>
          <w:r w:rsidRPr="0050337A">
            <w:rPr>
              <w:rFonts w:ascii="Verdana" w:hAnsi="Verdana" w:cs="Arial"/>
              <w:b/>
              <w:bCs/>
              <w:spacing w:val="-14"/>
              <w:sz w:val="20"/>
            </w:rPr>
            <w:t xml:space="preserve"> </w:t>
          </w:r>
          <w:r w:rsidRPr="0050337A">
            <w:rPr>
              <w:rFonts w:ascii="Verdana" w:hAnsi="Verdana" w:cs="Arial"/>
              <w:b/>
              <w:bCs/>
              <w:spacing w:val="1"/>
              <w:sz w:val="20"/>
            </w:rPr>
            <w:t>GE</w:t>
          </w:r>
          <w:r w:rsidRPr="0050337A">
            <w:rPr>
              <w:rFonts w:ascii="Verdana" w:hAnsi="Verdana" w:cs="Arial"/>
              <w:b/>
              <w:bCs/>
              <w:spacing w:val="-1"/>
              <w:sz w:val="20"/>
            </w:rPr>
            <w:t>S</w:t>
          </w:r>
          <w:r w:rsidRPr="0050337A">
            <w:rPr>
              <w:rFonts w:ascii="Verdana" w:hAnsi="Verdana" w:cs="Arial"/>
              <w:b/>
              <w:bCs/>
              <w:spacing w:val="3"/>
              <w:sz w:val="20"/>
            </w:rPr>
            <w:t>T</w:t>
          </w:r>
          <w:r w:rsidRPr="0050337A">
            <w:rPr>
              <w:rFonts w:ascii="Verdana" w:hAnsi="Verdana" w:cs="Arial"/>
              <w:b/>
              <w:bCs/>
              <w:sz w:val="20"/>
            </w:rPr>
            <w:t>I</w:t>
          </w:r>
          <w:r w:rsidRPr="0050337A">
            <w:rPr>
              <w:rFonts w:ascii="Verdana" w:hAnsi="Verdana" w:cs="Arial"/>
              <w:b/>
              <w:bCs/>
              <w:spacing w:val="1"/>
              <w:sz w:val="20"/>
            </w:rPr>
            <w:t>Ó</w:t>
          </w:r>
          <w:r w:rsidRPr="0050337A">
            <w:rPr>
              <w:rFonts w:ascii="Verdana" w:hAnsi="Verdana" w:cs="Arial"/>
              <w:b/>
              <w:bCs/>
              <w:sz w:val="20"/>
            </w:rPr>
            <w:t>N</w:t>
          </w:r>
          <w:r w:rsidRPr="0050337A">
            <w:rPr>
              <w:rFonts w:ascii="Verdana" w:hAnsi="Verdana" w:cs="Arial"/>
              <w:b/>
              <w:bCs/>
              <w:spacing w:val="-9"/>
              <w:sz w:val="20"/>
            </w:rPr>
            <w:t xml:space="preserve"> </w:t>
          </w:r>
          <w:r w:rsidRPr="0050337A">
            <w:rPr>
              <w:rFonts w:ascii="Verdana" w:hAnsi="Verdana" w:cs="Arial"/>
              <w:b/>
              <w:bCs/>
              <w:sz w:val="20"/>
            </w:rPr>
            <w:t>IN</w:t>
          </w:r>
          <w:r w:rsidRPr="0050337A">
            <w:rPr>
              <w:rFonts w:ascii="Verdana" w:hAnsi="Verdana" w:cs="Arial"/>
              <w:b/>
              <w:bCs/>
              <w:spacing w:val="3"/>
              <w:sz w:val="20"/>
            </w:rPr>
            <w:t>T</w:t>
          </w:r>
          <w:r w:rsidRPr="0050337A">
            <w:rPr>
              <w:rFonts w:ascii="Verdana" w:hAnsi="Verdana" w:cs="Arial"/>
              <w:b/>
              <w:bCs/>
              <w:spacing w:val="-1"/>
              <w:sz w:val="20"/>
            </w:rPr>
            <w:t>E</w:t>
          </w:r>
          <w:r w:rsidRPr="0050337A">
            <w:rPr>
              <w:rFonts w:ascii="Verdana" w:hAnsi="Verdana" w:cs="Arial"/>
              <w:b/>
              <w:bCs/>
              <w:spacing w:val="1"/>
              <w:sz w:val="20"/>
            </w:rPr>
            <w:t>G</w:t>
          </w:r>
          <w:r w:rsidRPr="0050337A">
            <w:rPr>
              <w:rFonts w:ascii="Verdana" w:hAnsi="Verdana" w:cs="Arial"/>
              <w:b/>
              <w:bCs/>
              <w:spacing w:val="2"/>
              <w:sz w:val="20"/>
            </w:rPr>
            <w:t>R</w:t>
          </w:r>
          <w:r w:rsidRPr="0050337A">
            <w:rPr>
              <w:rFonts w:ascii="Verdana" w:hAnsi="Verdana" w:cs="Arial"/>
              <w:b/>
              <w:bCs/>
              <w:spacing w:val="-5"/>
              <w:sz w:val="20"/>
            </w:rPr>
            <w:t>A</w:t>
          </w:r>
          <w:r w:rsidRPr="0050337A">
            <w:rPr>
              <w:rFonts w:ascii="Verdana" w:hAnsi="Verdana" w:cs="Arial"/>
              <w:b/>
              <w:bCs/>
              <w:sz w:val="20"/>
            </w:rPr>
            <w:t>DO</w:t>
          </w:r>
        </w:p>
      </w:tc>
      <w:tc>
        <w:tcPr>
          <w:tcW w:w="2425" w:type="dxa"/>
          <w:tcBorders>
            <w:top w:val="single" w:sz="2" w:space="0" w:color="000000"/>
            <w:left w:val="single" w:sz="2" w:space="0" w:color="000000"/>
            <w:bottom w:val="single" w:sz="2" w:space="0" w:color="000000"/>
            <w:right w:val="single" w:sz="12" w:space="0" w:color="000000"/>
          </w:tcBorders>
          <w:vAlign w:val="center"/>
        </w:tcPr>
        <w:p w14:paraId="33E15872" w14:textId="2599382D" w:rsidR="006F70DB" w:rsidRPr="0050337A" w:rsidRDefault="006F70DB" w:rsidP="0050337A">
          <w:pPr>
            <w:widowControl w:val="0"/>
            <w:autoSpaceDE w:val="0"/>
            <w:autoSpaceDN w:val="0"/>
            <w:adjustRightInd w:val="0"/>
            <w:ind w:left="68"/>
            <w:jc w:val="left"/>
            <w:rPr>
              <w:rFonts w:ascii="Verdana" w:hAnsi="Verdana"/>
              <w:sz w:val="18"/>
              <w:szCs w:val="24"/>
            </w:rPr>
          </w:pPr>
          <w:r w:rsidRPr="0050337A">
            <w:rPr>
              <w:rFonts w:ascii="Verdana" w:hAnsi="Verdana" w:cs="Arial"/>
              <w:sz w:val="18"/>
            </w:rPr>
            <w:t>Fe</w:t>
          </w:r>
          <w:r w:rsidRPr="0050337A">
            <w:rPr>
              <w:rFonts w:ascii="Verdana" w:hAnsi="Verdana" w:cs="Arial"/>
              <w:spacing w:val="1"/>
              <w:sz w:val="18"/>
            </w:rPr>
            <w:t>c</w:t>
          </w:r>
          <w:r w:rsidRPr="0050337A">
            <w:rPr>
              <w:rFonts w:ascii="Verdana" w:hAnsi="Verdana" w:cs="Arial"/>
              <w:sz w:val="18"/>
            </w:rPr>
            <w:t>ha:</w:t>
          </w:r>
          <w:r w:rsidRPr="0050337A">
            <w:rPr>
              <w:rFonts w:ascii="Verdana" w:hAnsi="Verdana" w:cs="Arial"/>
              <w:spacing w:val="-6"/>
              <w:sz w:val="18"/>
            </w:rPr>
            <w:t xml:space="preserve"> </w:t>
          </w:r>
          <w:r w:rsidR="00CD0289" w:rsidRPr="0050337A">
            <w:rPr>
              <w:rFonts w:ascii="Verdana" w:hAnsi="Verdana" w:cs="Arial"/>
              <w:spacing w:val="-6"/>
              <w:sz w:val="18"/>
            </w:rPr>
            <w:t>04 de agosto de</w:t>
          </w:r>
          <w:r w:rsidR="00726961" w:rsidRPr="0050337A">
            <w:rPr>
              <w:rFonts w:ascii="Verdana" w:hAnsi="Verdana" w:cs="Arial"/>
              <w:spacing w:val="-6"/>
              <w:sz w:val="18"/>
            </w:rPr>
            <w:t xml:space="preserve"> 2021</w:t>
          </w:r>
        </w:p>
      </w:tc>
    </w:tr>
    <w:tr w:rsidR="006F70DB" w14:paraId="699B49FD" w14:textId="77777777" w:rsidTr="0050337A">
      <w:trPr>
        <w:trHeight w:val="340"/>
      </w:trPr>
      <w:tc>
        <w:tcPr>
          <w:tcW w:w="2238" w:type="dxa"/>
          <w:vMerge/>
          <w:tcBorders>
            <w:top w:val="single" w:sz="12" w:space="0" w:color="000000"/>
            <w:left w:val="single" w:sz="12" w:space="0" w:color="000000"/>
            <w:bottom w:val="single" w:sz="12" w:space="0" w:color="000000"/>
            <w:right w:val="single" w:sz="2" w:space="0" w:color="000000"/>
          </w:tcBorders>
        </w:tcPr>
        <w:p w14:paraId="289E570E" w14:textId="77777777" w:rsidR="006F70DB" w:rsidRDefault="006F70DB" w:rsidP="00A018E4">
          <w:pPr>
            <w:widowControl w:val="0"/>
            <w:autoSpaceDE w:val="0"/>
            <w:autoSpaceDN w:val="0"/>
            <w:adjustRightInd w:val="0"/>
            <w:ind w:left="66"/>
            <w:rPr>
              <w:rFonts w:ascii="Times New Roman" w:hAnsi="Times New Roman"/>
              <w:szCs w:val="24"/>
            </w:rPr>
          </w:pPr>
        </w:p>
      </w:tc>
      <w:tc>
        <w:tcPr>
          <w:tcW w:w="5559" w:type="dxa"/>
          <w:tcBorders>
            <w:top w:val="single" w:sz="2" w:space="0" w:color="000000"/>
            <w:left w:val="single" w:sz="2" w:space="0" w:color="000000"/>
            <w:bottom w:val="single" w:sz="2" w:space="0" w:color="000000"/>
            <w:right w:val="single" w:sz="2" w:space="0" w:color="000000"/>
          </w:tcBorders>
          <w:vAlign w:val="center"/>
        </w:tcPr>
        <w:p w14:paraId="5D7E732D" w14:textId="77777777" w:rsidR="006F70DB" w:rsidRPr="0050337A" w:rsidRDefault="006F70DB" w:rsidP="0050337A">
          <w:pPr>
            <w:widowControl w:val="0"/>
            <w:autoSpaceDE w:val="0"/>
            <w:autoSpaceDN w:val="0"/>
            <w:adjustRightInd w:val="0"/>
            <w:ind w:left="61"/>
            <w:jc w:val="center"/>
            <w:rPr>
              <w:rFonts w:ascii="Verdana" w:hAnsi="Verdana"/>
              <w:szCs w:val="24"/>
            </w:rPr>
          </w:pPr>
          <w:r w:rsidRPr="0050337A">
            <w:rPr>
              <w:rFonts w:ascii="Verdana" w:hAnsi="Verdana" w:cs="Arial"/>
              <w:b/>
              <w:bCs/>
              <w:spacing w:val="-1"/>
              <w:sz w:val="20"/>
            </w:rPr>
            <w:t>P</w:t>
          </w:r>
          <w:r w:rsidRPr="0050337A">
            <w:rPr>
              <w:rFonts w:ascii="Verdana" w:hAnsi="Verdana" w:cs="Arial"/>
              <w:b/>
              <w:bCs/>
              <w:sz w:val="20"/>
            </w:rPr>
            <w:t>R</w:t>
          </w:r>
          <w:r w:rsidRPr="0050337A">
            <w:rPr>
              <w:rFonts w:ascii="Verdana" w:hAnsi="Verdana" w:cs="Arial"/>
              <w:b/>
              <w:bCs/>
              <w:spacing w:val="1"/>
              <w:sz w:val="20"/>
            </w:rPr>
            <w:t>O</w:t>
          </w:r>
          <w:r w:rsidRPr="0050337A">
            <w:rPr>
              <w:rFonts w:ascii="Verdana" w:hAnsi="Verdana" w:cs="Arial"/>
              <w:b/>
              <w:bCs/>
              <w:sz w:val="20"/>
            </w:rPr>
            <w:t>C</w:t>
          </w:r>
          <w:r w:rsidRPr="0050337A">
            <w:rPr>
              <w:rFonts w:ascii="Verdana" w:hAnsi="Verdana" w:cs="Arial"/>
              <w:b/>
              <w:bCs/>
              <w:spacing w:val="2"/>
              <w:sz w:val="20"/>
            </w:rPr>
            <w:t>E</w:t>
          </w:r>
          <w:r w:rsidRPr="0050337A">
            <w:rPr>
              <w:rFonts w:ascii="Verdana" w:hAnsi="Verdana" w:cs="Arial"/>
              <w:b/>
              <w:bCs/>
              <w:spacing w:val="-1"/>
              <w:sz w:val="20"/>
            </w:rPr>
            <w:t>S</w:t>
          </w:r>
          <w:r w:rsidRPr="0050337A">
            <w:rPr>
              <w:rFonts w:ascii="Verdana" w:hAnsi="Verdana" w:cs="Arial"/>
              <w:b/>
              <w:bCs/>
              <w:sz w:val="20"/>
            </w:rPr>
            <w:t>O:</w:t>
          </w:r>
          <w:r w:rsidRPr="0050337A">
            <w:rPr>
              <w:rFonts w:ascii="Verdana" w:hAnsi="Verdana" w:cs="Arial"/>
              <w:b/>
              <w:bCs/>
              <w:spacing w:val="-9"/>
              <w:sz w:val="20"/>
            </w:rPr>
            <w:t xml:space="preserve"> </w:t>
          </w:r>
          <w:r w:rsidR="003E616B" w:rsidRPr="0050337A">
            <w:rPr>
              <w:rFonts w:ascii="Verdana" w:hAnsi="Verdana" w:cs="Arial"/>
              <w:b/>
              <w:bCs/>
              <w:spacing w:val="-9"/>
              <w:sz w:val="20"/>
            </w:rPr>
            <w:t>INVESTIGACIONES ADMINISTRATIVAS</w:t>
          </w:r>
        </w:p>
      </w:tc>
      <w:tc>
        <w:tcPr>
          <w:tcW w:w="2425" w:type="dxa"/>
          <w:tcBorders>
            <w:top w:val="single" w:sz="2" w:space="0" w:color="000000"/>
            <w:left w:val="single" w:sz="2" w:space="0" w:color="000000"/>
            <w:bottom w:val="single" w:sz="2" w:space="0" w:color="000000"/>
            <w:right w:val="single" w:sz="12" w:space="0" w:color="000000"/>
          </w:tcBorders>
          <w:vAlign w:val="center"/>
        </w:tcPr>
        <w:p w14:paraId="57155CF0" w14:textId="35A79E20" w:rsidR="006F70DB" w:rsidRPr="0050337A" w:rsidRDefault="006F70DB" w:rsidP="0050337A">
          <w:pPr>
            <w:widowControl w:val="0"/>
            <w:autoSpaceDE w:val="0"/>
            <w:autoSpaceDN w:val="0"/>
            <w:adjustRightInd w:val="0"/>
            <w:ind w:left="68"/>
            <w:jc w:val="left"/>
            <w:rPr>
              <w:rFonts w:ascii="Verdana" w:hAnsi="Verdana"/>
              <w:sz w:val="18"/>
              <w:szCs w:val="24"/>
            </w:rPr>
          </w:pPr>
          <w:r w:rsidRPr="0050337A">
            <w:rPr>
              <w:rFonts w:ascii="Verdana" w:hAnsi="Verdana" w:cs="Arial"/>
              <w:spacing w:val="-1"/>
              <w:sz w:val="18"/>
            </w:rPr>
            <w:t>V</w:t>
          </w:r>
          <w:r w:rsidRPr="0050337A">
            <w:rPr>
              <w:rFonts w:ascii="Verdana" w:hAnsi="Verdana" w:cs="Arial"/>
              <w:sz w:val="18"/>
            </w:rPr>
            <w:t>er</w:t>
          </w:r>
          <w:r w:rsidRPr="0050337A">
            <w:rPr>
              <w:rFonts w:ascii="Verdana" w:hAnsi="Verdana" w:cs="Arial"/>
              <w:spacing w:val="2"/>
              <w:sz w:val="18"/>
            </w:rPr>
            <w:t>s</w:t>
          </w:r>
          <w:r w:rsidRPr="0050337A">
            <w:rPr>
              <w:rFonts w:ascii="Verdana" w:hAnsi="Verdana" w:cs="Arial"/>
              <w:spacing w:val="-1"/>
              <w:sz w:val="18"/>
            </w:rPr>
            <w:t>i</w:t>
          </w:r>
          <w:r w:rsidRPr="0050337A">
            <w:rPr>
              <w:rFonts w:ascii="Verdana" w:hAnsi="Verdana" w:cs="Arial"/>
              <w:spacing w:val="2"/>
              <w:sz w:val="18"/>
            </w:rPr>
            <w:t>ó</w:t>
          </w:r>
          <w:r w:rsidRPr="0050337A">
            <w:rPr>
              <w:rFonts w:ascii="Verdana" w:hAnsi="Verdana" w:cs="Arial"/>
              <w:sz w:val="18"/>
            </w:rPr>
            <w:t>n:</w:t>
          </w:r>
          <w:r w:rsidRPr="0050337A">
            <w:rPr>
              <w:rFonts w:ascii="Verdana" w:hAnsi="Verdana" w:cs="Arial"/>
              <w:spacing w:val="-8"/>
              <w:sz w:val="18"/>
            </w:rPr>
            <w:t xml:space="preserve"> 00</w:t>
          </w:r>
          <w:r w:rsidR="00726961" w:rsidRPr="0050337A">
            <w:rPr>
              <w:rFonts w:ascii="Verdana" w:hAnsi="Verdana" w:cs="Arial"/>
              <w:spacing w:val="-8"/>
              <w:sz w:val="18"/>
            </w:rPr>
            <w:t>2</w:t>
          </w:r>
        </w:p>
      </w:tc>
    </w:tr>
    <w:tr w:rsidR="006F70DB" w14:paraId="14B07D40" w14:textId="77777777" w:rsidTr="0050337A">
      <w:trPr>
        <w:trHeight w:val="340"/>
      </w:trPr>
      <w:tc>
        <w:tcPr>
          <w:tcW w:w="2238" w:type="dxa"/>
          <w:vMerge/>
          <w:tcBorders>
            <w:top w:val="single" w:sz="12" w:space="0" w:color="000000"/>
            <w:left w:val="single" w:sz="12" w:space="0" w:color="000000"/>
            <w:bottom w:val="single" w:sz="12" w:space="0" w:color="000000"/>
            <w:right w:val="single" w:sz="2" w:space="0" w:color="000000"/>
          </w:tcBorders>
        </w:tcPr>
        <w:p w14:paraId="057250D8" w14:textId="77777777" w:rsidR="006F70DB" w:rsidRDefault="006F70DB" w:rsidP="00A018E4">
          <w:pPr>
            <w:widowControl w:val="0"/>
            <w:autoSpaceDE w:val="0"/>
            <w:autoSpaceDN w:val="0"/>
            <w:adjustRightInd w:val="0"/>
            <w:spacing w:before="56"/>
            <w:ind w:left="66"/>
            <w:rPr>
              <w:rFonts w:ascii="Times New Roman" w:hAnsi="Times New Roman"/>
              <w:szCs w:val="24"/>
            </w:rPr>
          </w:pPr>
        </w:p>
      </w:tc>
      <w:tc>
        <w:tcPr>
          <w:tcW w:w="5559" w:type="dxa"/>
          <w:tcBorders>
            <w:top w:val="single" w:sz="2" w:space="0" w:color="000000"/>
            <w:left w:val="single" w:sz="2" w:space="0" w:color="000000"/>
            <w:bottom w:val="single" w:sz="12" w:space="0" w:color="000000"/>
            <w:right w:val="single" w:sz="2" w:space="0" w:color="000000"/>
          </w:tcBorders>
          <w:vAlign w:val="center"/>
        </w:tcPr>
        <w:p w14:paraId="0D943175" w14:textId="7BD4860F" w:rsidR="006F70DB" w:rsidRPr="0050337A" w:rsidRDefault="006B0794" w:rsidP="0050337A">
          <w:pPr>
            <w:widowControl w:val="0"/>
            <w:autoSpaceDE w:val="0"/>
            <w:autoSpaceDN w:val="0"/>
            <w:adjustRightInd w:val="0"/>
            <w:ind w:left="61" w:right="80"/>
            <w:jc w:val="center"/>
            <w:rPr>
              <w:rFonts w:ascii="Verdana" w:hAnsi="Verdana" w:cs="Arial"/>
              <w:b/>
              <w:bCs/>
              <w:spacing w:val="7"/>
              <w:sz w:val="20"/>
            </w:rPr>
          </w:pPr>
          <w:r w:rsidRPr="0050337A">
            <w:rPr>
              <w:rFonts w:ascii="Verdana" w:hAnsi="Verdana" w:cs="Arial"/>
              <w:b/>
              <w:bCs/>
              <w:sz w:val="20"/>
            </w:rPr>
            <w:t xml:space="preserve">GUIA PRÁCTICA PARA ENTENDER LA LUCHA CONTRA EL SOBORNO </w:t>
          </w:r>
          <w:r w:rsidR="00726961" w:rsidRPr="0050337A">
            <w:rPr>
              <w:rFonts w:ascii="Verdana" w:hAnsi="Verdana" w:cs="Arial"/>
              <w:b/>
              <w:bCs/>
              <w:sz w:val="20"/>
            </w:rPr>
            <w:t>TRANSNACIONAL</w:t>
          </w:r>
          <w:r w:rsidRPr="0050337A">
            <w:rPr>
              <w:rFonts w:ascii="Verdana" w:hAnsi="Verdana" w:cs="Arial"/>
              <w:b/>
              <w:bCs/>
              <w:sz w:val="20"/>
            </w:rPr>
            <w:t xml:space="preserve"> EN COLOMBIA</w:t>
          </w:r>
        </w:p>
      </w:tc>
      <w:tc>
        <w:tcPr>
          <w:tcW w:w="2425" w:type="dxa"/>
          <w:tcBorders>
            <w:top w:val="single" w:sz="2" w:space="0" w:color="000000"/>
            <w:left w:val="single" w:sz="2" w:space="0" w:color="000000"/>
            <w:bottom w:val="single" w:sz="12" w:space="0" w:color="000000"/>
            <w:right w:val="single" w:sz="12" w:space="0" w:color="000000"/>
          </w:tcBorders>
          <w:vAlign w:val="center"/>
        </w:tcPr>
        <w:p w14:paraId="093A17D2" w14:textId="4612BBC2" w:rsidR="006F70DB" w:rsidRPr="0050337A" w:rsidRDefault="006F70DB" w:rsidP="0050337A">
          <w:pPr>
            <w:widowControl w:val="0"/>
            <w:autoSpaceDE w:val="0"/>
            <w:autoSpaceDN w:val="0"/>
            <w:adjustRightInd w:val="0"/>
            <w:ind w:left="68"/>
            <w:jc w:val="left"/>
            <w:rPr>
              <w:rFonts w:ascii="Verdana" w:hAnsi="Verdana"/>
              <w:sz w:val="18"/>
              <w:szCs w:val="24"/>
            </w:rPr>
          </w:pPr>
          <w:r w:rsidRPr="0050337A">
            <w:rPr>
              <w:rFonts w:ascii="Verdana" w:hAnsi="Verdana" w:cs="Arial"/>
              <w:sz w:val="18"/>
            </w:rPr>
            <w:t>Nú</w:t>
          </w:r>
          <w:r w:rsidRPr="0050337A">
            <w:rPr>
              <w:rFonts w:ascii="Verdana" w:hAnsi="Verdana" w:cs="Arial"/>
              <w:spacing w:val="4"/>
              <w:sz w:val="18"/>
            </w:rPr>
            <w:t>m</w:t>
          </w:r>
          <w:r w:rsidRPr="0050337A">
            <w:rPr>
              <w:rFonts w:ascii="Verdana" w:hAnsi="Verdana" w:cs="Arial"/>
              <w:sz w:val="18"/>
            </w:rPr>
            <w:t>ero</w:t>
          </w:r>
          <w:r w:rsidRPr="0050337A">
            <w:rPr>
              <w:rFonts w:ascii="Verdana" w:hAnsi="Verdana" w:cs="Arial"/>
              <w:spacing w:val="-7"/>
              <w:sz w:val="18"/>
            </w:rPr>
            <w:t xml:space="preserve"> </w:t>
          </w:r>
          <w:r w:rsidRPr="0050337A">
            <w:rPr>
              <w:rFonts w:ascii="Verdana" w:hAnsi="Verdana" w:cs="Arial"/>
              <w:sz w:val="18"/>
            </w:rPr>
            <w:t>de</w:t>
          </w:r>
          <w:r w:rsidRPr="0050337A">
            <w:rPr>
              <w:rFonts w:ascii="Verdana" w:hAnsi="Verdana" w:cs="Arial"/>
              <w:spacing w:val="-3"/>
              <w:sz w:val="18"/>
            </w:rPr>
            <w:t xml:space="preserve"> </w:t>
          </w:r>
          <w:r w:rsidRPr="0050337A">
            <w:rPr>
              <w:rFonts w:ascii="Verdana" w:hAnsi="Verdana" w:cs="Arial"/>
              <w:sz w:val="18"/>
            </w:rPr>
            <w:t>p</w:t>
          </w:r>
          <w:r w:rsidRPr="0050337A">
            <w:rPr>
              <w:rFonts w:ascii="Verdana" w:hAnsi="Verdana" w:cs="Arial"/>
              <w:spacing w:val="-1"/>
              <w:sz w:val="18"/>
            </w:rPr>
            <w:t>á</w:t>
          </w:r>
          <w:r w:rsidRPr="0050337A">
            <w:rPr>
              <w:rFonts w:ascii="Verdana" w:hAnsi="Verdana" w:cs="Arial"/>
              <w:spacing w:val="2"/>
              <w:sz w:val="18"/>
            </w:rPr>
            <w:t>g</w:t>
          </w:r>
          <w:r w:rsidRPr="0050337A">
            <w:rPr>
              <w:rFonts w:ascii="Verdana" w:hAnsi="Verdana" w:cs="Arial"/>
              <w:spacing w:val="-1"/>
              <w:sz w:val="18"/>
            </w:rPr>
            <w:t>i</w:t>
          </w:r>
          <w:r w:rsidRPr="0050337A">
            <w:rPr>
              <w:rFonts w:ascii="Verdana" w:hAnsi="Verdana" w:cs="Arial"/>
              <w:spacing w:val="2"/>
              <w:sz w:val="18"/>
            </w:rPr>
            <w:t>n</w:t>
          </w:r>
          <w:r w:rsidRPr="0050337A">
            <w:rPr>
              <w:rFonts w:ascii="Verdana" w:hAnsi="Verdana" w:cs="Arial"/>
              <w:sz w:val="18"/>
            </w:rPr>
            <w:t xml:space="preserve">a </w:t>
          </w:r>
          <w:r w:rsidRPr="0050337A">
            <w:rPr>
              <w:rFonts w:ascii="Verdana" w:hAnsi="Verdana" w:cs="Arial"/>
              <w:sz w:val="18"/>
            </w:rPr>
            <w:fldChar w:fldCharType="begin"/>
          </w:r>
          <w:r w:rsidRPr="0050337A">
            <w:rPr>
              <w:rFonts w:ascii="Verdana" w:hAnsi="Verdana" w:cs="Arial"/>
              <w:sz w:val="18"/>
            </w:rPr>
            <w:instrText xml:space="preserve"> PAGE  \* MERGEFORMAT </w:instrText>
          </w:r>
          <w:r w:rsidRPr="0050337A">
            <w:rPr>
              <w:rFonts w:ascii="Verdana" w:hAnsi="Verdana" w:cs="Arial"/>
              <w:sz w:val="18"/>
            </w:rPr>
            <w:fldChar w:fldCharType="separate"/>
          </w:r>
          <w:r w:rsidR="00CD0289" w:rsidRPr="0050337A">
            <w:rPr>
              <w:rFonts w:ascii="Verdana" w:hAnsi="Verdana" w:cs="Arial"/>
              <w:noProof/>
              <w:sz w:val="18"/>
            </w:rPr>
            <w:t>15</w:t>
          </w:r>
          <w:r w:rsidRPr="0050337A">
            <w:rPr>
              <w:rFonts w:ascii="Verdana" w:hAnsi="Verdana" w:cs="Arial"/>
              <w:sz w:val="18"/>
            </w:rPr>
            <w:fldChar w:fldCharType="end"/>
          </w:r>
          <w:r w:rsidRPr="0050337A">
            <w:rPr>
              <w:rFonts w:ascii="Verdana" w:hAnsi="Verdana" w:cs="Arial"/>
              <w:spacing w:val="-6"/>
              <w:sz w:val="18"/>
            </w:rPr>
            <w:t xml:space="preserve"> </w:t>
          </w:r>
          <w:r w:rsidRPr="0050337A">
            <w:rPr>
              <w:rFonts w:ascii="Verdana" w:hAnsi="Verdana" w:cs="Arial"/>
              <w:sz w:val="18"/>
            </w:rPr>
            <w:t>de 1</w:t>
          </w:r>
          <w:r w:rsidR="00345AE0" w:rsidRPr="0050337A">
            <w:rPr>
              <w:rFonts w:ascii="Verdana" w:hAnsi="Verdana" w:cs="Arial"/>
              <w:sz w:val="18"/>
            </w:rPr>
            <w:t>3</w:t>
          </w:r>
        </w:p>
      </w:tc>
    </w:tr>
  </w:tbl>
  <w:p w14:paraId="51C1CF4C" w14:textId="77777777" w:rsidR="006F70DB" w:rsidRDefault="006F70DB" w:rsidP="006F70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F528A"/>
    <w:multiLevelType w:val="hybridMultilevel"/>
    <w:tmpl w:val="B9BE5210"/>
    <w:lvl w:ilvl="0" w:tplc="54D2561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F3C678C"/>
    <w:multiLevelType w:val="hybridMultilevel"/>
    <w:tmpl w:val="8C7C1132"/>
    <w:lvl w:ilvl="0" w:tplc="490C9EF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89D4D9B"/>
    <w:multiLevelType w:val="multilevel"/>
    <w:tmpl w:val="F1B410E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0954E2"/>
    <w:multiLevelType w:val="hybridMultilevel"/>
    <w:tmpl w:val="4002E3BE"/>
    <w:lvl w:ilvl="0" w:tplc="A7F28770">
      <w:start w:val="1"/>
      <w:numFmt w:val="bullet"/>
      <w:lvlText w:val="-"/>
      <w:lvlJc w:val="left"/>
      <w:pPr>
        <w:ind w:left="663" w:hanging="360"/>
      </w:pPr>
      <w:rPr>
        <w:rFonts w:ascii="Arial" w:eastAsia="Times New Roman" w:hAnsi="Arial" w:cs="Arial" w:hint="default"/>
      </w:rPr>
    </w:lvl>
    <w:lvl w:ilvl="1" w:tplc="240A0003" w:tentative="1">
      <w:start w:val="1"/>
      <w:numFmt w:val="bullet"/>
      <w:lvlText w:val="o"/>
      <w:lvlJc w:val="left"/>
      <w:pPr>
        <w:ind w:left="1383" w:hanging="360"/>
      </w:pPr>
      <w:rPr>
        <w:rFonts w:ascii="Courier New" w:hAnsi="Courier New" w:cs="Courier New" w:hint="default"/>
      </w:rPr>
    </w:lvl>
    <w:lvl w:ilvl="2" w:tplc="240A0005" w:tentative="1">
      <w:start w:val="1"/>
      <w:numFmt w:val="bullet"/>
      <w:lvlText w:val=""/>
      <w:lvlJc w:val="left"/>
      <w:pPr>
        <w:ind w:left="2103" w:hanging="360"/>
      </w:pPr>
      <w:rPr>
        <w:rFonts w:ascii="Wingdings" w:hAnsi="Wingdings" w:hint="default"/>
      </w:rPr>
    </w:lvl>
    <w:lvl w:ilvl="3" w:tplc="240A0001" w:tentative="1">
      <w:start w:val="1"/>
      <w:numFmt w:val="bullet"/>
      <w:lvlText w:val=""/>
      <w:lvlJc w:val="left"/>
      <w:pPr>
        <w:ind w:left="2823" w:hanging="360"/>
      </w:pPr>
      <w:rPr>
        <w:rFonts w:ascii="Symbol" w:hAnsi="Symbol" w:hint="default"/>
      </w:rPr>
    </w:lvl>
    <w:lvl w:ilvl="4" w:tplc="240A0003" w:tentative="1">
      <w:start w:val="1"/>
      <w:numFmt w:val="bullet"/>
      <w:lvlText w:val="o"/>
      <w:lvlJc w:val="left"/>
      <w:pPr>
        <w:ind w:left="3543" w:hanging="360"/>
      </w:pPr>
      <w:rPr>
        <w:rFonts w:ascii="Courier New" w:hAnsi="Courier New" w:cs="Courier New" w:hint="default"/>
      </w:rPr>
    </w:lvl>
    <w:lvl w:ilvl="5" w:tplc="240A0005" w:tentative="1">
      <w:start w:val="1"/>
      <w:numFmt w:val="bullet"/>
      <w:lvlText w:val=""/>
      <w:lvlJc w:val="left"/>
      <w:pPr>
        <w:ind w:left="4263" w:hanging="360"/>
      </w:pPr>
      <w:rPr>
        <w:rFonts w:ascii="Wingdings" w:hAnsi="Wingdings" w:hint="default"/>
      </w:rPr>
    </w:lvl>
    <w:lvl w:ilvl="6" w:tplc="240A0001" w:tentative="1">
      <w:start w:val="1"/>
      <w:numFmt w:val="bullet"/>
      <w:lvlText w:val=""/>
      <w:lvlJc w:val="left"/>
      <w:pPr>
        <w:ind w:left="4983" w:hanging="360"/>
      </w:pPr>
      <w:rPr>
        <w:rFonts w:ascii="Symbol" w:hAnsi="Symbol" w:hint="default"/>
      </w:rPr>
    </w:lvl>
    <w:lvl w:ilvl="7" w:tplc="240A0003" w:tentative="1">
      <w:start w:val="1"/>
      <w:numFmt w:val="bullet"/>
      <w:lvlText w:val="o"/>
      <w:lvlJc w:val="left"/>
      <w:pPr>
        <w:ind w:left="5703" w:hanging="360"/>
      </w:pPr>
      <w:rPr>
        <w:rFonts w:ascii="Courier New" w:hAnsi="Courier New" w:cs="Courier New" w:hint="default"/>
      </w:rPr>
    </w:lvl>
    <w:lvl w:ilvl="8" w:tplc="240A0005" w:tentative="1">
      <w:start w:val="1"/>
      <w:numFmt w:val="bullet"/>
      <w:lvlText w:val=""/>
      <w:lvlJc w:val="left"/>
      <w:pPr>
        <w:ind w:left="6423" w:hanging="360"/>
      </w:pPr>
      <w:rPr>
        <w:rFonts w:ascii="Wingdings" w:hAnsi="Wingdings" w:hint="default"/>
      </w:rPr>
    </w:lvl>
  </w:abstractNum>
  <w:abstractNum w:abstractNumId="4" w15:restartNumberingAfterBreak="0">
    <w:nsid w:val="3CD32B7C"/>
    <w:multiLevelType w:val="hybridMultilevel"/>
    <w:tmpl w:val="BC64F0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D385023"/>
    <w:multiLevelType w:val="hybridMultilevel"/>
    <w:tmpl w:val="3BDAA5D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E795869"/>
    <w:multiLevelType w:val="hybridMultilevel"/>
    <w:tmpl w:val="157E01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9BD2DCE"/>
    <w:multiLevelType w:val="hybridMultilevel"/>
    <w:tmpl w:val="0706BFA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5077262B"/>
    <w:multiLevelType w:val="hybridMultilevel"/>
    <w:tmpl w:val="034E44D2"/>
    <w:lvl w:ilvl="0" w:tplc="08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9440103"/>
    <w:multiLevelType w:val="multilevel"/>
    <w:tmpl w:val="E8D0129E"/>
    <w:lvl w:ilvl="0">
      <w:start w:val="1"/>
      <w:numFmt w:val="decimal"/>
      <w:pStyle w:val="Ttulo"/>
      <w:lvlText w:val="%1."/>
      <w:lvlJc w:val="left"/>
      <w:pPr>
        <w:ind w:left="360" w:hanging="360"/>
      </w:pPr>
      <w:rPr>
        <w:rFonts w:ascii="Arial" w:hAnsi="Arial" w:hint="default"/>
        <w:b/>
        <w:i w:val="0"/>
        <w:color w:val="auto"/>
        <w:spacing w:val="0"/>
        <w:position w:val="0"/>
        <w:sz w:val="22"/>
        <w:szCs w:val="22"/>
      </w:rPr>
    </w:lvl>
    <w:lvl w:ilvl="1">
      <w:start w:val="1"/>
      <w:numFmt w:val="decimal"/>
      <w:pStyle w:val="Ttulo2"/>
      <w:isLgl/>
      <w:lvlText w:val="%1.%2."/>
      <w:lvlJc w:val="left"/>
      <w:pPr>
        <w:ind w:left="804" w:hanging="94"/>
      </w:pPr>
      <w:rPr>
        <w:rFonts w:ascii="Arial" w:hAnsi="Arial" w:hint="default"/>
        <w:b/>
        <w:i w:val="0"/>
        <w:color w:val="auto"/>
        <w:sz w:val="22"/>
        <w:szCs w:val="22"/>
      </w:rPr>
    </w:lvl>
    <w:lvl w:ilvl="2">
      <w:start w:val="1"/>
      <w:numFmt w:val="decimal"/>
      <w:pStyle w:val="Ttulo3"/>
      <w:lvlText w:val="%1.%2.%3."/>
      <w:lvlJc w:val="left"/>
      <w:pPr>
        <w:ind w:left="2014" w:hanging="1021"/>
      </w:pPr>
      <w:rPr>
        <w:rFonts w:ascii="Arial" w:hAnsi="Arial" w:cstheme="majorHAnsi" w:hint="default"/>
        <w:b w:val="0"/>
        <w:i w:val="0"/>
        <w:color w:val="auto"/>
        <w:sz w:val="24"/>
      </w:rPr>
    </w:lvl>
    <w:lvl w:ilvl="3">
      <w:start w:val="1"/>
      <w:numFmt w:val="decimal"/>
      <w:pStyle w:val="Ttulo4"/>
      <w:lvlText w:val="%1.%2.%3.%4."/>
      <w:lvlJc w:val="left"/>
      <w:pPr>
        <w:ind w:left="1730" w:hanging="1021"/>
      </w:pPr>
      <w:rPr>
        <w:rFonts w:ascii="Arial" w:hAnsi="Arial" w:cs="Arial" w:hint="default"/>
        <w:b w:val="0"/>
        <w:i w:val="0"/>
        <w:color w:val="auto"/>
        <w:sz w:val="24"/>
      </w:rPr>
    </w:lvl>
    <w:lvl w:ilvl="4">
      <w:start w:val="1"/>
      <w:numFmt w:val="decimal"/>
      <w:pStyle w:val="Ttulo5"/>
      <w:lvlText w:val="%1.%2.%3.%4.%5."/>
      <w:lvlJc w:val="left"/>
      <w:pPr>
        <w:ind w:left="2232" w:hanging="792"/>
      </w:pPr>
      <w:rPr>
        <w:rFonts w:ascii="Arial" w:hAnsi="Arial" w:hint="default"/>
        <w:color w:val="auto"/>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38973859">
    <w:abstractNumId w:val="9"/>
  </w:num>
  <w:num w:numId="2" w16cid:durableId="1872375381">
    <w:abstractNumId w:val="0"/>
  </w:num>
  <w:num w:numId="3" w16cid:durableId="525367726">
    <w:abstractNumId w:val="9"/>
  </w:num>
  <w:num w:numId="4" w16cid:durableId="325207030">
    <w:abstractNumId w:val="9"/>
  </w:num>
  <w:num w:numId="5" w16cid:durableId="1077559131">
    <w:abstractNumId w:val="9"/>
  </w:num>
  <w:num w:numId="6" w16cid:durableId="835650910">
    <w:abstractNumId w:val="9"/>
  </w:num>
  <w:num w:numId="7" w16cid:durableId="1303079724">
    <w:abstractNumId w:val="9"/>
  </w:num>
  <w:num w:numId="8" w16cid:durableId="1540819476">
    <w:abstractNumId w:val="9"/>
  </w:num>
  <w:num w:numId="9" w16cid:durableId="958757944">
    <w:abstractNumId w:val="9"/>
  </w:num>
  <w:num w:numId="10" w16cid:durableId="1022626545">
    <w:abstractNumId w:val="9"/>
  </w:num>
  <w:num w:numId="11" w16cid:durableId="1538468343">
    <w:abstractNumId w:val="9"/>
  </w:num>
  <w:num w:numId="12" w16cid:durableId="1495563529">
    <w:abstractNumId w:val="9"/>
  </w:num>
  <w:num w:numId="13" w16cid:durableId="758133614">
    <w:abstractNumId w:val="9"/>
  </w:num>
  <w:num w:numId="14" w16cid:durableId="1868368417">
    <w:abstractNumId w:val="9"/>
  </w:num>
  <w:num w:numId="15" w16cid:durableId="449787345">
    <w:abstractNumId w:val="9"/>
  </w:num>
  <w:num w:numId="16" w16cid:durableId="657071510">
    <w:abstractNumId w:val="9"/>
  </w:num>
  <w:num w:numId="17" w16cid:durableId="671373276">
    <w:abstractNumId w:val="9"/>
  </w:num>
  <w:num w:numId="18" w16cid:durableId="1085805851">
    <w:abstractNumId w:val="9"/>
  </w:num>
  <w:num w:numId="19" w16cid:durableId="1697732174">
    <w:abstractNumId w:val="9"/>
  </w:num>
  <w:num w:numId="20" w16cid:durableId="1671256674">
    <w:abstractNumId w:val="9"/>
  </w:num>
  <w:num w:numId="21" w16cid:durableId="1479345375">
    <w:abstractNumId w:val="9"/>
  </w:num>
  <w:num w:numId="22" w16cid:durableId="1171334969">
    <w:abstractNumId w:val="9"/>
  </w:num>
  <w:num w:numId="23" w16cid:durableId="1024132168">
    <w:abstractNumId w:val="9"/>
  </w:num>
  <w:num w:numId="24" w16cid:durableId="488788959">
    <w:abstractNumId w:val="9"/>
  </w:num>
  <w:num w:numId="25" w16cid:durableId="559051855">
    <w:abstractNumId w:val="9"/>
  </w:num>
  <w:num w:numId="26" w16cid:durableId="865411209">
    <w:abstractNumId w:val="6"/>
  </w:num>
  <w:num w:numId="27" w16cid:durableId="1802066794">
    <w:abstractNumId w:val="1"/>
  </w:num>
  <w:num w:numId="28" w16cid:durableId="797071584">
    <w:abstractNumId w:val="9"/>
  </w:num>
  <w:num w:numId="29" w16cid:durableId="1254125037">
    <w:abstractNumId w:val="5"/>
  </w:num>
  <w:num w:numId="30" w16cid:durableId="1759869282">
    <w:abstractNumId w:val="4"/>
  </w:num>
  <w:num w:numId="31" w16cid:durableId="1662349683">
    <w:abstractNumId w:val="3"/>
  </w:num>
  <w:num w:numId="32" w16cid:durableId="1973171521">
    <w:abstractNumId w:val="2"/>
  </w:num>
  <w:num w:numId="33" w16cid:durableId="1554152790">
    <w:abstractNumId w:val="9"/>
  </w:num>
  <w:num w:numId="34" w16cid:durableId="680592225">
    <w:abstractNumId w:val="9"/>
  </w:num>
  <w:num w:numId="35" w16cid:durableId="703674706">
    <w:abstractNumId w:val="8"/>
  </w:num>
  <w:num w:numId="36" w16cid:durableId="1608587065">
    <w:abstractNumId w:val="7"/>
  </w:num>
  <w:num w:numId="37" w16cid:durableId="75643944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193"/>
    <w:rsid w:val="00000474"/>
    <w:rsid w:val="00000D4C"/>
    <w:rsid w:val="00004179"/>
    <w:rsid w:val="00005021"/>
    <w:rsid w:val="00005197"/>
    <w:rsid w:val="00011691"/>
    <w:rsid w:val="00031B26"/>
    <w:rsid w:val="000349DA"/>
    <w:rsid w:val="00042DA7"/>
    <w:rsid w:val="0006176C"/>
    <w:rsid w:val="00064046"/>
    <w:rsid w:val="00066AD0"/>
    <w:rsid w:val="00075704"/>
    <w:rsid w:val="0009392B"/>
    <w:rsid w:val="00093DA0"/>
    <w:rsid w:val="000972A2"/>
    <w:rsid w:val="000A40B3"/>
    <w:rsid w:val="000A5AC5"/>
    <w:rsid w:val="000B1B72"/>
    <w:rsid w:val="000B2102"/>
    <w:rsid w:val="000B23C8"/>
    <w:rsid w:val="000B5267"/>
    <w:rsid w:val="000C13CB"/>
    <w:rsid w:val="000C6E0F"/>
    <w:rsid w:val="000C7300"/>
    <w:rsid w:val="000D0B38"/>
    <w:rsid w:val="000D57A2"/>
    <w:rsid w:val="000E3E64"/>
    <w:rsid w:val="000E44DE"/>
    <w:rsid w:val="00103066"/>
    <w:rsid w:val="00117A2D"/>
    <w:rsid w:val="00122C70"/>
    <w:rsid w:val="0012374F"/>
    <w:rsid w:val="001242C4"/>
    <w:rsid w:val="001248A7"/>
    <w:rsid w:val="00125FE4"/>
    <w:rsid w:val="00126022"/>
    <w:rsid w:val="001321BF"/>
    <w:rsid w:val="0013685D"/>
    <w:rsid w:val="00140736"/>
    <w:rsid w:val="00164719"/>
    <w:rsid w:val="001655E6"/>
    <w:rsid w:val="00171110"/>
    <w:rsid w:val="0017479A"/>
    <w:rsid w:val="00183135"/>
    <w:rsid w:val="00191289"/>
    <w:rsid w:val="0019620D"/>
    <w:rsid w:val="001A3683"/>
    <w:rsid w:val="001B0132"/>
    <w:rsid w:val="001B2603"/>
    <w:rsid w:val="001B2B78"/>
    <w:rsid w:val="001C27F5"/>
    <w:rsid w:val="001D25CF"/>
    <w:rsid w:val="001D5DCE"/>
    <w:rsid w:val="001D7CD2"/>
    <w:rsid w:val="00203172"/>
    <w:rsid w:val="00226CA9"/>
    <w:rsid w:val="00227819"/>
    <w:rsid w:val="00234CA6"/>
    <w:rsid w:val="002354E9"/>
    <w:rsid w:val="0028490D"/>
    <w:rsid w:val="00285D54"/>
    <w:rsid w:val="002916F4"/>
    <w:rsid w:val="002A16A0"/>
    <w:rsid w:val="002A5B09"/>
    <w:rsid w:val="002A6EBD"/>
    <w:rsid w:val="002B6C20"/>
    <w:rsid w:val="002C3FB3"/>
    <w:rsid w:val="002C6658"/>
    <w:rsid w:val="002D015B"/>
    <w:rsid w:val="002D7A41"/>
    <w:rsid w:val="002D7C05"/>
    <w:rsid w:val="002E1753"/>
    <w:rsid w:val="002E51B4"/>
    <w:rsid w:val="002F2E78"/>
    <w:rsid w:val="003038C0"/>
    <w:rsid w:val="00305F7C"/>
    <w:rsid w:val="00331CD8"/>
    <w:rsid w:val="00334C82"/>
    <w:rsid w:val="0033601E"/>
    <w:rsid w:val="00336B45"/>
    <w:rsid w:val="00336F0A"/>
    <w:rsid w:val="00345AE0"/>
    <w:rsid w:val="00347E03"/>
    <w:rsid w:val="00352539"/>
    <w:rsid w:val="00354031"/>
    <w:rsid w:val="0035695E"/>
    <w:rsid w:val="003674A3"/>
    <w:rsid w:val="00387653"/>
    <w:rsid w:val="00397A40"/>
    <w:rsid w:val="003B6B63"/>
    <w:rsid w:val="003C0A02"/>
    <w:rsid w:val="003D30C1"/>
    <w:rsid w:val="003D5388"/>
    <w:rsid w:val="003E616B"/>
    <w:rsid w:val="003E710F"/>
    <w:rsid w:val="003E716C"/>
    <w:rsid w:val="00412067"/>
    <w:rsid w:val="00412C63"/>
    <w:rsid w:val="00413412"/>
    <w:rsid w:val="00417210"/>
    <w:rsid w:val="004248A3"/>
    <w:rsid w:val="004735A8"/>
    <w:rsid w:val="004753B1"/>
    <w:rsid w:val="00493386"/>
    <w:rsid w:val="004955AE"/>
    <w:rsid w:val="004A16DA"/>
    <w:rsid w:val="004A5C15"/>
    <w:rsid w:val="004A6849"/>
    <w:rsid w:val="004B37D2"/>
    <w:rsid w:val="004B716E"/>
    <w:rsid w:val="004D4599"/>
    <w:rsid w:val="004F482F"/>
    <w:rsid w:val="005023CD"/>
    <w:rsid w:val="0050337A"/>
    <w:rsid w:val="00505229"/>
    <w:rsid w:val="005127A4"/>
    <w:rsid w:val="00522183"/>
    <w:rsid w:val="00540618"/>
    <w:rsid w:val="00544DED"/>
    <w:rsid w:val="00546CAB"/>
    <w:rsid w:val="00547720"/>
    <w:rsid w:val="005538B3"/>
    <w:rsid w:val="00554465"/>
    <w:rsid w:val="00573841"/>
    <w:rsid w:val="005738BE"/>
    <w:rsid w:val="00582756"/>
    <w:rsid w:val="0059073B"/>
    <w:rsid w:val="00597C3C"/>
    <w:rsid w:val="005A403F"/>
    <w:rsid w:val="005C0382"/>
    <w:rsid w:val="005D4555"/>
    <w:rsid w:val="005E5884"/>
    <w:rsid w:val="005E5EBF"/>
    <w:rsid w:val="005F509F"/>
    <w:rsid w:val="00600F63"/>
    <w:rsid w:val="00612077"/>
    <w:rsid w:val="00612674"/>
    <w:rsid w:val="00614C7F"/>
    <w:rsid w:val="006311A9"/>
    <w:rsid w:val="006332CD"/>
    <w:rsid w:val="00634C80"/>
    <w:rsid w:val="00634E10"/>
    <w:rsid w:val="00642F8B"/>
    <w:rsid w:val="0066152C"/>
    <w:rsid w:val="006704A6"/>
    <w:rsid w:val="00672143"/>
    <w:rsid w:val="00676F48"/>
    <w:rsid w:val="006A0140"/>
    <w:rsid w:val="006A4F41"/>
    <w:rsid w:val="006A6E18"/>
    <w:rsid w:val="006B0794"/>
    <w:rsid w:val="006B463A"/>
    <w:rsid w:val="006C1893"/>
    <w:rsid w:val="006C7504"/>
    <w:rsid w:val="006E781D"/>
    <w:rsid w:val="006F02F4"/>
    <w:rsid w:val="006F70DB"/>
    <w:rsid w:val="0070064B"/>
    <w:rsid w:val="0070545E"/>
    <w:rsid w:val="0070671E"/>
    <w:rsid w:val="00726961"/>
    <w:rsid w:val="0075080A"/>
    <w:rsid w:val="00751BE3"/>
    <w:rsid w:val="007530E7"/>
    <w:rsid w:val="007574BF"/>
    <w:rsid w:val="00782732"/>
    <w:rsid w:val="007852EB"/>
    <w:rsid w:val="00787F57"/>
    <w:rsid w:val="00793BE3"/>
    <w:rsid w:val="0079699C"/>
    <w:rsid w:val="007A4D19"/>
    <w:rsid w:val="007A5B33"/>
    <w:rsid w:val="007A7BF8"/>
    <w:rsid w:val="007B4FAF"/>
    <w:rsid w:val="007B52C7"/>
    <w:rsid w:val="007B5DD8"/>
    <w:rsid w:val="007C4F2E"/>
    <w:rsid w:val="007E7F5D"/>
    <w:rsid w:val="007F19E3"/>
    <w:rsid w:val="008063F6"/>
    <w:rsid w:val="00806DA8"/>
    <w:rsid w:val="0082016A"/>
    <w:rsid w:val="00822B62"/>
    <w:rsid w:val="008236B1"/>
    <w:rsid w:val="008363C2"/>
    <w:rsid w:val="0085367E"/>
    <w:rsid w:val="00857FC7"/>
    <w:rsid w:val="008636F0"/>
    <w:rsid w:val="00863CC2"/>
    <w:rsid w:val="008669E5"/>
    <w:rsid w:val="00870328"/>
    <w:rsid w:val="008711C5"/>
    <w:rsid w:val="00872764"/>
    <w:rsid w:val="00881266"/>
    <w:rsid w:val="00887B6C"/>
    <w:rsid w:val="008933A3"/>
    <w:rsid w:val="008A2C69"/>
    <w:rsid w:val="008C6A42"/>
    <w:rsid w:val="008E098D"/>
    <w:rsid w:val="008F05F7"/>
    <w:rsid w:val="008F76CF"/>
    <w:rsid w:val="00901282"/>
    <w:rsid w:val="00905E66"/>
    <w:rsid w:val="00911A76"/>
    <w:rsid w:val="0092004E"/>
    <w:rsid w:val="009376D9"/>
    <w:rsid w:val="00945790"/>
    <w:rsid w:val="00946F61"/>
    <w:rsid w:val="009542C7"/>
    <w:rsid w:val="00962CD2"/>
    <w:rsid w:val="00991133"/>
    <w:rsid w:val="0099288D"/>
    <w:rsid w:val="009A1A8C"/>
    <w:rsid w:val="009A70B6"/>
    <w:rsid w:val="009C53CE"/>
    <w:rsid w:val="009D0139"/>
    <w:rsid w:val="009D1039"/>
    <w:rsid w:val="009D3092"/>
    <w:rsid w:val="009E07EA"/>
    <w:rsid w:val="009E0DD3"/>
    <w:rsid w:val="009E27B0"/>
    <w:rsid w:val="009F48AD"/>
    <w:rsid w:val="009F562E"/>
    <w:rsid w:val="00A06DBC"/>
    <w:rsid w:val="00A24FFF"/>
    <w:rsid w:val="00A34E22"/>
    <w:rsid w:val="00A37B61"/>
    <w:rsid w:val="00A40ACF"/>
    <w:rsid w:val="00A41CD3"/>
    <w:rsid w:val="00A4419D"/>
    <w:rsid w:val="00A44ED6"/>
    <w:rsid w:val="00A51B63"/>
    <w:rsid w:val="00A52D06"/>
    <w:rsid w:val="00A54351"/>
    <w:rsid w:val="00A54AB8"/>
    <w:rsid w:val="00A5592F"/>
    <w:rsid w:val="00A644EA"/>
    <w:rsid w:val="00A80C3C"/>
    <w:rsid w:val="00A85F41"/>
    <w:rsid w:val="00A900C5"/>
    <w:rsid w:val="00A93764"/>
    <w:rsid w:val="00AC2611"/>
    <w:rsid w:val="00AD662C"/>
    <w:rsid w:val="00AD7EE4"/>
    <w:rsid w:val="00AE02AF"/>
    <w:rsid w:val="00AE50D6"/>
    <w:rsid w:val="00AF029F"/>
    <w:rsid w:val="00B350B1"/>
    <w:rsid w:val="00B405F5"/>
    <w:rsid w:val="00B60A86"/>
    <w:rsid w:val="00B67203"/>
    <w:rsid w:val="00B70326"/>
    <w:rsid w:val="00B90C3B"/>
    <w:rsid w:val="00BA3FFF"/>
    <w:rsid w:val="00BB17D5"/>
    <w:rsid w:val="00BB6788"/>
    <w:rsid w:val="00BB7084"/>
    <w:rsid w:val="00BC0E5E"/>
    <w:rsid w:val="00BC22B2"/>
    <w:rsid w:val="00BD7228"/>
    <w:rsid w:val="00BE0912"/>
    <w:rsid w:val="00BE7724"/>
    <w:rsid w:val="00C03238"/>
    <w:rsid w:val="00C132F4"/>
    <w:rsid w:val="00C26030"/>
    <w:rsid w:val="00C26B51"/>
    <w:rsid w:val="00C36EDD"/>
    <w:rsid w:val="00C4087C"/>
    <w:rsid w:val="00C71498"/>
    <w:rsid w:val="00C750A7"/>
    <w:rsid w:val="00C83937"/>
    <w:rsid w:val="00C86305"/>
    <w:rsid w:val="00CA255D"/>
    <w:rsid w:val="00CA32B7"/>
    <w:rsid w:val="00CA3FB1"/>
    <w:rsid w:val="00CB10D6"/>
    <w:rsid w:val="00CB35DC"/>
    <w:rsid w:val="00CB60D9"/>
    <w:rsid w:val="00CD0289"/>
    <w:rsid w:val="00D2061B"/>
    <w:rsid w:val="00D320A1"/>
    <w:rsid w:val="00D37079"/>
    <w:rsid w:val="00D45C7D"/>
    <w:rsid w:val="00D5218F"/>
    <w:rsid w:val="00D56718"/>
    <w:rsid w:val="00D62F71"/>
    <w:rsid w:val="00D902B7"/>
    <w:rsid w:val="00DA037D"/>
    <w:rsid w:val="00DA7704"/>
    <w:rsid w:val="00DB0008"/>
    <w:rsid w:val="00DB1008"/>
    <w:rsid w:val="00DB365F"/>
    <w:rsid w:val="00DC1B1F"/>
    <w:rsid w:val="00DC52F9"/>
    <w:rsid w:val="00DC5ACF"/>
    <w:rsid w:val="00DD2E3A"/>
    <w:rsid w:val="00DF3138"/>
    <w:rsid w:val="00E10801"/>
    <w:rsid w:val="00E121E1"/>
    <w:rsid w:val="00E369A3"/>
    <w:rsid w:val="00E70DC1"/>
    <w:rsid w:val="00E9408B"/>
    <w:rsid w:val="00EA2668"/>
    <w:rsid w:val="00EB35CF"/>
    <w:rsid w:val="00EB4DC1"/>
    <w:rsid w:val="00EC1202"/>
    <w:rsid w:val="00ED6F21"/>
    <w:rsid w:val="00EE7137"/>
    <w:rsid w:val="00EF31F8"/>
    <w:rsid w:val="00EF3338"/>
    <w:rsid w:val="00F07EE0"/>
    <w:rsid w:val="00F1160C"/>
    <w:rsid w:val="00F15B58"/>
    <w:rsid w:val="00F203EC"/>
    <w:rsid w:val="00F32B97"/>
    <w:rsid w:val="00F71228"/>
    <w:rsid w:val="00F72FE1"/>
    <w:rsid w:val="00F77CAE"/>
    <w:rsid w:val="00F83552"/>
    <w:rsid w:val="00F839B0"/>
    <w:rsid w:val="00F85917"/>
    <w:rsid w:val="00F86193"/>
    <w:rsid w:val="00F91C44"/>
    <w:rsid w:val="00F94EB3"/>
    <w:rsid w:val="00FA1EDA"/>
    <w:rsid w:val="00FB10EA"/>
    <w:rsid w:val="00FC17FA"/>
    <w:rsid w:val="00FC5BB7"/>
    <w:rsid w:val="00FC72D6"/>
    <w:rsid w:val="00FD051C"/>
    <w:rsid w:val="00FD0629"/>
    <w:rsid w:val="00FD37F0"/>
    <w:rsid w:val="00FE1FC9"/>
    <w:rsid w:val="00FE31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69DFFD"/>
  <w15:docId w15:val="{F42769E5-7874-224A-86C8-E780F51D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193"/>
    <w:pPr>
      <w:spacing w:after="0" w:line="240" w:lineRule="auto"/>
      <w:jc w:val="both"/>
    </w:pPr>
    <w:rPr>
      <w:rFonts w:ascii="Arial" w:eastAsia="Times New Roman" w:hAnsi="Arial" w:cs="Times New Roman"/>
      <w:sz w:val="24"/>
      <w:szCs w:val="20"/>
      <w:lang w:val="es-ES" w:eastAsia="es-ES"/>
    </w:rPr>
  </w:style>
  <w:style w:type="paragraph" w:styleId="Ttulo1">
    <w:name w:val="heading 1"/>
    <w:basedOn w:val="Normal"/>
    <w:next w:val="Normal"/>
    <w:link w:val="Ttulo1Car"/>
    <w:uiPriority w:val="9"/>
    <w:qFormat/>
    <w:rsid w:val="00C863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3C0A02"/>
    <w:pPr>
      <w:widowControl w:val="0"/>
      <w:numPr>
        <w:ilvl w:val="1"/>
        <w:numId w:val="1"/>
      </w:numPr>
      <w:ind w:left="378"/>
      <w:outlineLvl w:val="1"/>
    </w:pPr>
    <w:rPr>
      <w:b/>
      <w:bCs/>
    </w:rPr>
  </w:style>
  <w:style w:type="paragraph" w:styleId="Ttulo3">
    <w:name w:val="heading 3"/>
    <w:basedOn w:val="Normal"/>
    <w:next w:val="Normal"/>
    <w:link w:val="Ttulo3Car"/>
    <w:unhideWhenUsed/>
    <w:qFormat/>
    <w:rsid w:val="00F86193"/>
    <w:pPr>
      <w:keepNext/>
      <w:keepLines/>
      <w:numPr>
        <w:ilvl w:val="2"/>
        <w:numId w:val="1"/>
      </w:numPr>
      <w:spacing w:before="200"/>
      <w:outlineLvl w:val="2"/>
    </w:pPr>
    <w:rPr>
      <w:rFonts w:eastAsiaTheme="majorEastAsia" w:cstheme="majorBidi"/>
      <w:b/>
      <w:bCs/>
    </w:rPr>
  </w:style>
  <w:style w:type="paragraph" w:styleId="Ttulo4">
    <w:name w:val="heading 4"/>
    <w:basedOn w:val="Normal"/>
    <w:next w:val="Normal"/>
    <w:link w:val="Ttulo4Car"/>
    <w:unhideWhenUsed/>
    <w:qFormat/>
    <w:rsid w:val="00F86193"/>
    <w:pPr>
      <w:keepNext/>
      <w:keepLines/>
      <w:numPr>
        <w:ilvl w:val="3"/>
        <w:numId w:val="1"/>
      </w:numPr>
      <w:outlineLvl w:val="3"/>
    </w:pPr>
    <w:rPr>
      <w:rFonts w:eastAsiaTheme="majorEastAsia" w:cstheme="majorBidi"/>
      <w:bCs/>
      <w:iCs/>
    </w:rPr>
  </w:style>
  <w:style w:type="paragraph" w:styleId="Ttulo5">
    <w:name w:val="heading 5"/>
    <w:basedOn w:val="Normal"/>
    <w:next w:val="Normal"/>
    <w:link w:val="Ttulo5Car"/>
    <w:semiHidden/>
    <w:unhideWhenUsed/>
    <w:qFormat/>
    <w:rsid w:val="00F8619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86193"/>
    <w:rPr>
      <w:rFonts w:ascii="Tahoma" w:hAnsi="Tahoma" w:cs="Tahoma"/>
      <w:sz w:val="16"/>
      <w:szCs w:val="16"/>
    </w:rPr>
  </w:style>
  <w:style w:type="character" w:customStyle="1" w:styleId="TextodegloboCar">
    <w:name w:val="Texto de globo Car"/>
    <w:basedOn w:val="Fuentedeprrafopredeter"/>
    <w:link w:val="Textodeglobo"/>
    <w:uiPriority w:val="99"/>
    <w:semiHidden/>
    <w:rsid w:val="00F86193"/>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F86193"/>
    <w:pPr>
      <w:tabs>
        <w:tab w:val="center" w:pos="4419"/>
        <w:tab w:val="right" w:pos="8838"/>
      </w:tabs>
    </w:pPr>
  </w:style>
  <w:style w:type="character" w:customStyle="1" w:styleId="EncabezadoCar">
    <w:name w:val="Encabezado Car"/>
    <w:basedOn w:val="Fuentedeprrafopredeter"/>
    <w:link w:val="Encabezado"/>
    <w:uiPriority w:val="99"/>
    <w:rsid w:val="00F86193"/>
    <w:rPr>
      <w:rFonts w:ascii="Arial" w:eastAsia="Times New Roman" w:hAnsi="Arial" w:cs="Times New Roman"/>
      <w:sz w:val="24"/>
      <w:szCs w:val="20"/>
      <w:lang w:val="es-ES" w:eastAsia="es-ES"/>
    </w:rPr>
  </w:style>
  <w:style w:type="paragraph" w:styleId="Piedepgina">
    <w:name w:val="footer"/>
    <w:basedOn w:val="Normal"/>
    <w:link w:val="PiedepginaCar"/>
    <w:uiPriority w:val="99"/>
    <w:unhideWhenUsed/>
    <w:rsid w:val="00F86193"/>
    <w:pPr>
      <w:tabs>
        <w:tab w:val="center" w:pos="4419"/>
        <w:tab w:val="right" w:pos="8838"/>
      </w:tabs>
    </w:pPr>
  </w:style>
  <w:style w:type="character" w:customStyle="1" w:styleId="PiedepginaCar">
    <w:name w:val="Pie de página Car"/>
    <w:basedOn w:val="Fuentedeprrafopredeter"/>
    <w:link w:val="Piedepgina"/>
    <w:uiPriority w:val="99"/>
    <w:rsid w:val="00F86193"/>
    <w:rPr>
      <w:rFonts w:ascii="Arial" w:eastAsia="Times New Roman" w:hAnsi="Arial" w:cs="Times New Roman"/>
      <w:sz w:val="24"/>
      <w:szCs w:val="20"/>
      <w:lang w:val="es-ES" w:eastAsia="es-ES"/>
    </w:rPr>
  </w:style>
  <w:style w:type="character" w:styleId="Nmerodepgina">
    <w:name w:val="page number"/>
    <w:basedOn w:val="Fuentedeprrafopredeter"/>
    <w:uiPriority w:val="99"/>
    <w:rsid w:val="00F86193"/>
  </w:style>
  <w:style w:type="paragraph" w:styleId="Textoindependiente3">
    <w:name w:val="Body Text 3"/>
    <w:basedOn w:val="Normal"/>
    <w:link w:val="Textoindependiente3Car"/>
    <w:rsid w:val="00F86193"/>
    <w:pPr>
      <w:spacing w:after="120"/>
    </w:pPr>
    <w:rPr>
      <w:sz w:val="16"/>
      <w:szCs w:val="16"/>
    </w:rPr>
  </w:style>
  <w:style w:type="character" w:customStyle="1" w:styleId="Textoindependiente3Car">
    <w:name w:val="Texto independiente 3 Car"/>
    <w:basedOn w:val="Fuentedeprrafopredeter"/>
    <w:link w:val="Textoindependiente3"/>
    <w:rsid w:val="00F86193"/>
    <w:rPr>
      <w:rFonts w:ascii="Arial" w:eastAsia="Times New Roman" w:hAnsi="Arial" w:cs="Times New Roman"/>
      <w:sz w:val="16"/>
      <w:szCs w:val="16"/>
      <w:lang w:val="es-ES" w:eastAsia="es-ES"/>
    </w:rPr>
  </w:style>
  <w:style w:type="character" w:customStyle="1" w:styleId="Ttulo2Car">
    <w:name w:val="Título 2 Car"/>
    <w:basedOn w:val="Fuentedeprrafopredeter"/>
    <w:link w:val="Ttulo2"/>
    <w:rsid w:val="003C0A02"/>
    <w:rPr>
      <w:rFonts w:ascii="Arial" w:eastAsia="Times New Roman" w:hAnsi="Arial" w:cs="Times New Roman"/>
      <w:b/>
      <w:bCs/>
      <w:sz w:val="24"/>
      <w:szCs w:val="20"/>
      <w:lang w:val="es-ES" w:eastAsia="es-ES"/>
    </w:rPr>
  </w:style>
  <w:style w:type="character" w:customStyle="1" w:styleId="Ttulo3Car">
    <w:name w:val="Título 3 Car"/>
    <w:basedOn w:val="Fuentedeprrafopredeter"/>
    <w:link w:val="Ttulo3"/>
    <w:rsid w:val="00F86193"/>
    <w:rPr>
      <w:rFonts w:ascii="Arial" w:eastAsiaTheme="majorEastAsia" w:hAnsi="Arial" w:cstheme="majorBidi"/>
      <w:b/>
      <w:bCs/>
      <w:sz w:val="24"/>
      <w:szCs w:val="20"/>
      <w:lang w:val="es-ES" w:eastAsia="es-ES"/>
    </w:rPr>
  </w:style>
  <w:style w:type="character" w:customStyle="1" w:styleId="Ttulo4Car">
    <w:name w:val="Título 4 Car"/>
    <w:basedOn w:val="Fuentedeprrafopredeter"/>
    <w:link w:val="Ttulo4"/>
    <w:rsid w:val="00F86193"/>
    <w:rPr>
      <w:rFonts w:ascii="Arial" w:eastAsiaTheme="majorEastAsia" w:hAnsi="Arial" w:cstheme="majorBidi"/>
      <w:bCs/>
      <w:iCs/>
      <w:sz w:val="24"/>
      <w:szCs w:val="20"/>
      <w:lang w:val="es-ES" w:eastAsia="es-ES"/>
    </w:rPr>
  </w:style>
  <w:style w:type="character" w:customStyle="1" w:styleId="Ttulo5Car">
    <w:name w:val="Título 5 Car"/>
    <w:basedOn w:val="Fuentedeprrafopredeter"/>
    <w:link w:val="Ttulo5"/>
    <w:semiHidden/>
    <w:rsid w:val="00F86193"/>
    <w:rPr>
      <w:rFonts w:asciiTheme="majorHAnsi" w:eastAsiaTheme="majorEastAsia" w:hAnsiTheme="majorHAnsi" w:cstheme="majorBidi"/>
      <w:color w:val="243F60" w:themeColor="accent1" w:themeShade="7F"/>
      <w:sz w:val="24"/>
      <w:szCs w:val="20"/>
      <w:lang w:val="es-ES" w:eastAsia="es-ES"/>
    </w:rPr>
  </w:style>
  <w:style w:type="paragraph" w:styleId="Prrafodelista">
    <w:name w:val="List Paragraph"/>
    <w:basedOn w:val="Normal"/>
    <w:uiPriority w:val="34"/>
    <w:qFormat/>
    <w:rsid w:val="00F86193"/>
    <w:pPr>
      <w:ind w:left="708"/>
    </w:pPr>
  </w:style>
  <w:style w:type="paragraph" w:styleId="Ttulo">
    <w:name w:val="Title"/>
    <w:basedOn w:val="Normal"/>
    <w:link w:val="TtuloCar"/>
    <w:qFormat/>
    <w:rsid w:val="00C86305"/>
    <w:pPr>
      <w:keepNext/>
      <w:keepLines/>
      <w:numPr>
        <w:numId w:val="1"/>
      </w:numPr>
    </w:pPr>
    <w:rPr>
      <w:b/>
      <w:bCs/>
    </w:rPr>
  </w:style>
  <w:style w:type="character" w:customStyle="1" w:styleId="TtuloCar">
    <w:name w:val="Título Car"/>
    <w:basedOn w:val="Fuentedeprrafopredeter"/>
    <w:link w:val="Ttulo"/>
    <w:rsid w:val="00C86305"/>
    <w:rPr>
      <w:rFonts w:ascii="Arial" w:eastAsia="Times New Roman" w:hAnsi="Arial" w:cs="Times New Roman"/>
      <w:b/>
      <w:bCs/>
      <w:sz w:val="24"/>
      <w:szCs w:val="20"/>
      <w:lang w:val="es-ES" w:eastAsia="es-ES"/>
    </w:rPr>
  </w:style>
  <w:style w:type="paragraph" w:styleId="TDC2">
    <w:name w:val="toc 2"/>
    <w:basedOn w:val="Normal"/>
    <w:next w:val="Normal"/>
    <w:autoRedefine/>
    <w:uiPriority w:val="39"/>
    <w:unhideWhenUsed/>
    <w:qFormat/>
    <w:rsid w:val="00C86305"/>
    <w:pPr>
      <w:spacing w:after="100"/>
      <w:ind w:left="240"/>
    </w:pPr>
  </w:style>
  <w:style w:type="paragraph" w:styleId="TDC1">
    <w:name w:val="toc 1"/>
    <w:basedOn w:val="Normal"/>
    <w:next w:val="Normal"/>
    <w:autoRedefine/>
    <w:uiPriority w:val="39"/>
    <w:semiHidden/>
    <w:unhideWhenUsed/>
    <w:qFormat/>
    <w:rsid w:val="00C86305"/>
    <w:pPr>
      <w:spacing w:after="100"/>
    </w:pPr>
  </w:style>
  <w:style w:type="character" w:styleId="Hipervnculo">
    <w:name w:val="Hyperlink"/>
    <w:basedOn w:val="Fuentedeprrafopredeter"/>
    <w:uiPriority w:val="99"/>
    <w:unhideWhenUsed/>
    <w:rsid w:val="00C86305"/>
    <w:rPr>
      <w:color w:val="0000FF" w:themeColor="hyperlink"/>
      <w:u w:val="single"/>
    </w:rPr>
  </w:style>
  <w:style w:type="character" w:customStyle="1" w:styleId="Ttulo1Car">
    <w:name w:val="Título 1 Car"/>
    <w:basedOn w:val="Fuentedeprrafopredeter"/>
    <w:link w:val="Ttulo1"/>
    <w:uiPriority w:val="9"/>
    <w:rsid w:val="00C86305"/>
    <w:rPr>
      <w:rFonts w:asciiTheme="majorHAnsi" w:eastAsiaTheme="majorEastAsia" w:hAnsiTheme="majorHAnsi" w:cstheme="majorBidi"/>
      <w:b/>
      <w:bCs/>
      <w:color w:val="365F91" w:themeColor="accent1" w:themeShade="BF"/>
      <w:sz w:val="28"/>
      <w:szCs w:val="28"/>
      <w:lang w:val="es-ES" w:eastAsia="es-ES"/>
    </w:rPr>
  </w:style>
  <w:style w:type="paragraph" w:styleId="TtuloTDC">
    <w:name w:val="TOC Heading"/>
    <w:basedOn w:val="Ttulo1"/>
    <w:next w:val="Normal"/>
    <w:uiPriority w:val="39"/>
    <w:unhideWhenUsed/>
    <w:qFormat/>
    <w:rsid w:val="00C86305"/>
    <w:pPr>
      <w:spacing w:line="276" w:lineRule="auto"/>
      <w:jc w:val="left"/>
      <w:outlineLvl w:val="9"/>
    </w:pPr>
    <w:rPr>
      <w:lang w:val="es-CO" w:eastAsia="es-CO"/>
    </w:rPr>
  </w:style>
  <w:style w:type="paragraph" w:styleId="TDC3">
    <w:name w:val="toc 3"/>
    <w:basedOn w:val="Normal"/>
    <w:next w:val="Normal"/>
    <w:autoRedefine/>
    <w:uiPriority w:val="39"/>
    <w:semiHidden/>
    <w:unhideWhenUsed/>
    <w:qFormat/>
    <w:rsid w:val="00C86305"/>
    <w:pPr>
      <w:spacing w:after="100" w:line="276" w:lineRule="auto"/>
      <w:ind w:left="440"/>
      <w:jc w:val="left"/>
    </w:pPr>
    <w:rPr>
      <w:rFonts w:asciiTheme="minorHAnsi" w:eastAsiaTheme="minorEastAsia" w:hAnsiTheme="minorHAnsi" w:cstheme="minorBidi"/>
      <w:sz w:val="22"/>
      <w:szCs w:val="22"/>
      <w:lang w:val="es-CO" w:eastAsia="es-CO"/>
    </w:rPr>
  </w:style>
  <w:style w:type="paragraph" w:styleId="Textonotapie">
    <w:name w:val="footnote text"/>
    <w:basedOn w:val="Normal"/>
    <w:link w:val="TextonotapieCar"/>
    <w:uiPriority w:val="99"/>
    <w:unhideWhenUsed/>
    <w:rsid w:val="0075080A"/>
    <w:rPr>
      <w:sz w:val="20"/>
    </w:rPr>
  </w:style>
  <w:style w:type="character" w:customStyle="1" w:styleId="TextonotapieCar">
    <w:name w:val="Texto nota pie Car"/>
    <w:basedOn w:val="Fuentedeprrafopredeter"/>
    <w:link w:val="Textonotapie"/>
    <w:uiPriority w:val="99"/>
    <w:rsid w:val="0075080A"/>
    <w:rPr>
      <w:rFonts w:ascii="Arial" w:eastAsia="Times New Roman" w:hAnsi="Arial" w:cs="Times New Roman"/>
      <w:sz w:val="20"/>
      <w:szCs w:val="20"/>
      <w:lang w:val="es-ES" w:eastAsia="es-ES"/>
    </w:rPr>
  </w:style>
  <w:style w:type="character" w:styleId="Refdenotaalpie">
    <w:name w:val="footnote reference"/>
    <w:basedOn w:val="Fuentedeprrafopredeter"/>
    <w:uiPriority w:val="99"/>
    <w:unhideWhenUsed/>
    <w:rsid w:val="0075080A"/>
    <w:rPr>
      <w:vertAlign w:val="superscript"/>
    </w:rPr>
  </w:style>
  <w:style w:type="character" w:styleId="Refdecomentario">
    <w:name w:val="annotation reference"/>
    <w:basedOn w:val="Fuentedeprrafopredeter"/>
    <w:uiPriority w:val="99"/>
    <w:semiHidden/>
    <w:unhideWhenUsed/>
    <w:rsid w:val="00171110"/>
    <w:rPr>
      <w:sz w:val="16"/>
      <w:szCs w:val="16"/>
    </w:rPr>
  </w:style>
  <w:style w:type="paragraph" w:styleId="Textocomentario">
    <w:name w:val="annotation text"/>
    <w:basedOn w:val="Normal"/>
    <w:link w:val="TextocomentarioCar"/>
    <w:uiPriority w:val="99"/>
    <w:semiHidden/>
    <w:unhideWhenUsed/>
    <w:rsid w:val="00171110"/>
    <w:rPr>
      <w:sz w:val="20"/>
    </w:rPr>
  </w:style>
  <w:style w:type="character" w:customStyle="1" w:styleId="TextocomentarioCar">
    <w:name w:val="Texto comentario Car"/>
    <w:basedOn w:val="Fuentedeprrafopredeter"/>
    <w:link w:val="Textocomentario"/>
    <w:uiPriority w:val="99"/>
    <w:semiHidden/>
    <w:rsid w:val="00171110"/>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71110"/>
    <w:rPr>
      <w:b/>
      <w:bCs/>
    </w:rPr>
  </w:style>
  <w:style w:type="character" w:customStyle="1" w:styleId="AsuntodelcomentarioCar">
    <w:name w:val="Asunto del comentario Car"/>
    <w:basedOn w:val="TextocomentarioCar"/>
    <w:link w:val="Asuntodelcomentario"/>
    <w:uiPriority w:val="99"/>
    <w:semiHidden/>
    <w:rsid w:val="00171110"/>
    <w:rPr>
      <w:rFonts w:ascii="Arial" w:eastAsia="Times New Roman" w:hAnsi="Arial" w:cs="Times New Roman"/>
      <w:b/>
      <w:bCs/>
      <w:sz w:val="20"/>
      <w:szCs w:val="20"/>
      <w:lang w:val="es-ES" w:eastAsia="es-ES"/>
    </w:rPr>
  </w:style>
  <w:style w:type="paragraph" w:customStyle="1" w:styleId="pa5">
    <w:name w:val="pa5"/>
    <w:basedOn w:val="Normal"/>
    <w:rsid w:val="00822B62"/>
    <w:pPr>
      <w:spacing w:before="100" w:beforeAutospacing="1" w:after="100" w:afterAutospacing="1"/>
      <w:jc w:val="left"/>
    </w:pPr>
    <w:rPr>
      <w:rFonts w:ascii="Times New Roman" w:hAnsi="Times New Roman"/>
      <w:szCs w:val="24"/>
      <w:lang w:val="es-CO" w:eastAsia="es-CO"/>
    </w:rPr>
  </w:style>
  <w:style w:type="character" w:customStyle="1" w:styleId="a0">
    <w:name w:val="a0"/>
    <w:basedOn w:val="Fuentedeprrafopredeter"/>
    <w:rsid w:val="00822B62"/>
  </w:style>
  <w:style w:type="paragraph" w:customStyle="1" w:styleId="default">
    <w:name w:val="default"/>
    <w:basedOn w:val="Normal"/>
    <w:rsid w:val="00634C80"/>
    <w:pPr>
      <w:spacing w:before="100" w:beforeAutospacing="1" w:after="100" w:afterAutospacing="1"/>
      <w:jc w:val="left"/>
    </w:pPr>
    <w:rPr>
      <w:rFonts w:ascii="Times New Roman" w:hAnsi="Times New Roman"/>
      <w:szCs w:val="24"/>
      <w:lang w:val="es-CO" w:eastAsia="es-CO"/>
    </w:rPr>
  </w:style>
  <w:style w:type="character" w:styleId="Hipervnculovisitado">
    <w:name w:val="FollowedHyperlink"/>
    <w:basedOn w:val="Fuentedeprrafopredeter"/>
    <w:uiPriority w:val="99"/>
    <w:semiHidden/>
    <w:unhideWhenUsed/>
    <w:rsid w:val="00F15B58"/>
    <w:rPr>
      <w:color w:val="800080" w:themeColor="followedHyperlink"/>
      <w:u w:val="single"/>
    </w:rPr>
  </w:style>
  <w:style w:type="paragraph" w:customStyle="1" w:styleId="Default0">
    <w:name w:val="Default"/>
    <w:rsid w:val="00140736"/>
    <w:pPr>
      <w:autoSpaceDE w:val="0"/>
      <w:autoSpaceDN w:val="0"/>
      <w:adjustRightInd w:val="0"/>
      <w:spacing w:after="0" w:line="240" w:lineRule="auto"/>
    </w:pPr>
    <w:rPr>
      <w:rFonts w:ascii="Arial" w:hAnsi="Arial" w:cs="Arial"/>
      <w:color w:val="000000"/>
      <w:sz w:val="24"/>
      <w:szCs w:val="24"/>
      <w:lang w:val="es-CO"/>
    </w:rPr>
  </w:style>
  <w:style w:type="table" w:styleId="Tablaconcuadrcula">
    <w:name w:val="Table Grid"/>
    <w:basedOn w:val="Tablanormal"/>
    <w:rsid w:val="00093DA0"/>
    <w:pPr>
      <w:spacing w:after="0" w:line="240" w:lineRule="auto"/>
    </w:pPr>
    <w:rPr>
      <w:rFonts w:ascii="Times New Roman" w:eastAsia="Times New Roman" w:hAnsi="Times New Roman" w:cs="Times New Roman"/>
      <w:sz w:val="20"/>
      <w:szCs w:val="20"/>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2016A"/>
    <w:rPr>
      <w:color w:val="605E5C"/>
      <w:shd w:val="clear" w:color="auto" w:fill="E1DFDD"/>
    </w:rPr>
  </w:style>
  <w:style w:type="character" w:customStyle="1" w:styleId="markedcontent">
    <w:name w:val="markedcontent"/>
    <w:basedOn w:val="Fuentedeprrafopredeter"/>
    <w:rsid w:val="0047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10139">
      <w:bodyDiv w:val="1"/>
      <w:marLeft w:val="0"/>
      <w:marRight w:val="0"/>
      <w:marTop w:val="0"/>
      <w:marBottom w:val="0"/>
      <w:divBdr>
        <w:top w:val="none" w:sz="0" w:space="0" w:color="auto"/>
        <w:left w:val="none" w:sz="0" w:space="0" w:color="auto"/>
        <w:bottom w:val="none" w:sz="0" w:space="0" w:color="auto"/>
        <w:right w:val="none" w:sz="0" w:space="0" w:color="auto"/>
      </w:divBdr>
    </w:div>
    <w:div w:id="258564058">
      <w:bodyDiv w:val="1"/>
      <w:marLeft w:val="0"/>
      <w:marRight w:val="0"/>
      <w:marTop w:val="0"/>
      <w:marBottom w:val="0"/>
      <w:divBdr>
        <w:top w:val="none" w:sz="0" w:space="0" w:color="auto"/>
        <w:left w:val="none" w:sz="0" w:space="0" w:color="auto"/>
        <w:bottom w:val="none" w:sz="0" w:space="0" w:color="auto"/>
        <w:right w:val="none" w:sz="0" w:space="0" w:color="auto"/>
      </w:divBdr>
    </w:div>
    <w:div w:id="369304611">
      <w:bodyDiv w:val="1"/>
      <w:marLeft w:val="0"/>
      <w:marRight w:val="0"/>
      <w:marTop w:val="0"/>
      <w:marBottom w:val="0"/>
      <w:divBdr>
        <w:top w:val="none" w:sz="0" w:space="0" w:color="auto"/>
        <w:left w:val="none" w:sz="0" w:space="0" w:color="auto"/>
        <w:bottom w:val="none" w:sz="0" w:space="0" w:color="auto"/>
        <w:right w:val="none" w:sz="0" w:space="0" w:color="auto"/>
      </w:divBdr>
    </w:div>
    <w:div w:id="436828103">
      <w:bodyDiv w:val="1"/>
      <w:marLeft w:val="0"/>
      <w:marRight w:val="0"/>
      <w:marTop w:val="0"/>
      <w:marBottom w:val="0"/>
      <w:divBdr>
        <w:top w:val="none" w:sz="0" w:space="0" w:color="auto"/>
        <w:left w:val="none" w:sz="0" w:space="0" w:color="auto"/>
        <w:bottom w:val="none" w:sz="0" w:space="0" w:color="auto"/>
        <w:right w:val="none" w:sz="0" w:space="0" w:color="auto"/>
      </w:divBdr>
    </w:div>
    <w:div w:id="466048223">
      <w:bodyDiv w:val="1"/>
      <w:marLeft w:val="0"/>
      <w:marRight w:val="0"/>
      <w:marTop w:val="0"/>
      <w:marBottom w:val="0"/>
      <w:divBdr>
        <w:top w:val="none" w:sz="0" w:space="0" w:color="auto"/>
        <w:left w:val="none" w:sz="0" w:space="0" w:color="auto"/>
        <w:bottom w:val="none" w:sz="0" w:space="0" w:color="auto"/>
        <w:right w:val="none" w:sz="0" w:space="0" w:color="auto"/>
      </w:divBdr>
    </w:div>
    <w:div w:id="733626790">
      <w:bodyDiv w:val="1"/>
      <w:marLeft w:val="0"/>
      <w:marRight w:val="0"/>
      <w:marTop w:val="0"/>
      <w:marBottom w:val="0"/>
      <w:divBdr>
        <w:top w:val="none" w:sz="0" w:space="0" w:color="auto"/>
        <w:left w:val="none" w:sz="0" w:space="0" w:color="auto"/>
        <w:bottom w:val="none" w:sz="0" w:space="0" w:color="auto"/>
        <w:right w:val="none" w:sz="0" w:space="0" w:color="auto"/>
      </w:divBdr>
      <w:divsChild>
        <w:div w:id="1282762600">
          <w:marLeft w:val="547"/>
          <w:marRight w:val="0"/>
          <w:marTop w:val="0"/>
          <w:marBottom w:val="0"/>
          <w:divBdr>
            <w:top w:val="none" w:sz="0" w:space="0" w:color="auto"/>
            <w:left w:val="none" w:sz="0" w:space="0" w:color="auto"/>
            <w:bottom w:val="none" w:sz="0" w:space="0" w:color="auto"/>
            <w:right w:val="none" w:sz="0" w:space="0" w:color="auto"/>
          </w:divBdr>
        </w:div>
      </w:divsChild>
    </w:div>
    <w:div w:id="986201504">
      <w:bodyDiv w:val="1"/>
      <w:marLeft w:val="0"/>
      <w:marRight w:val="0"/>
      <w:marTop w:val="0"/>
      <w:marBottom w:val="0"/>
      <w:divBdr>
        <w:top w:val="none" w:sz="0" w:space="0" w:color="auto"/>
        <w:left w:val="none" w:sz="0" w:space="0" w:color="auto"/>
        <w:bottom w:val="none" w:sz="0" w:space="0" w:color="auto"/>
        <w:right w:val="none" w:sz="0" w:space="0" w:color="auto"/>
      </w:divBdr>
    </w:div>
    <w:div w:id="1078404325">
      <w:bodyDiv w:val="1"/>
      <w:marLeft w:val="0"/>
      <w:marRight w:val="0"/>
      <w:marTop w:val="0"/>
      <w:marBottom w:val="0"/>
      <w:divBdr>
        <w:top w:val="none" w:sz="0" w:space="0" w:color="auto"/>
        <w:left w:val="none" w:sz="0" w:space="0" w:color="auto"/>
        <w:bottom w:val="none" w:sz="0" w:space="0" w:color="auto"/>
        <w:right w:val="none" w:sz="0" w:space="0" w:color="auto"/>
      </w:divBdr>
      <w:divsChild>
        <w:div w:id="1879925999">
          <w:marLeft w:val="547"/>
          <w:marRight w:val="0"/>
          <w:marTop w:val="0"/>
          <w:marBottom w:val="0"/>
          <w:divBdr>
            <w:top w:val="none" w:sz="0" w:space="0" w:color="auto"/>
            <w:left w:val="none" w:sz="0" w:space="0" w:color="auto"/>
            <w:bottom w:val="none" w:sz="0" w:space="0" w:color="auto"/>
            <w:right w:val="none" w:sz="0" w:space="0" w:color="auto"/>
          </w:divBdr>
        </w:div>
      </w:divsChild>
    </w:div>
    <w:div w:id="1532108135">
      <w:bodyDiv w:val="1"/>
      <w:marLeft w:val="0"/>
      <w:marRight w:val="0"/>
      <w:marTop w:val="0"/>
      <w:marBottom w:val="0"/>
      <w:divBdr>
        <w:top w:val="none" w:sz="0" w:space="0" w:color="auto"/>
        <w:left w:val="none" w:sz="0" w:space="0" w:color="auto"/>
        <w:bottom w:val="none" w:sz="0" w:space="0" w:color="auto"/>
        <w:right w:val="none" w:sz="0" w:space="0" w:color="auto"/>
      </w:divBdr>
    </w:div>
    <w:div w:id="1623268354">
      <w:bodyDiv w:val="1"/>
      <w:marLeft w:val="0"/>
      <w:marRight w:val="0"/>
      <w:marTop w:val="0"/>
      <w:marBottom w:val="0"/>
      <w:divBdr>
        <w:top w:val="none" w:sz="0" w:space="0" w:color="auto"/>
        <w:left w:val="none" w:sz="0" w:space="0" w:color="auto"/>
        <w:bottom w:val="none" w:sz="0" w:space="0" w:color="auto"/>
        <w:right w:val="none" w:sz="0" w:space="0" w:color="auto"/>
      </w:divBdr>
    </w:div>
    <w:div w:id="1623996912">
      <w:bodyDiv w:val="1"/>
      <w:marLeft w:val="0"/>
      <w:marRight w:val="0"/>
      <w:marTop w:val="0"/>
      <w:marBottom w:val="0"/>
      <w:divBdr>
        <w:top w:val="none" w:sz="0" w:space="0" w:color="auto"/>
        <w:left w:val="none" w:sz="0" w:space="0" w:color="auto"/>
        <w:bottom w:val="none" w:sz="0" w:space="0" w:color="auto"/>
        <w:right w:val="none" w:sz="0" w:space="0" w:color="auto"/>
      </w:divBdr>
    </w:div>
    <w:div w:id="1741517544">
      <w:bodyDiv w:val="1"/>
      <w:marLeft w:val="0"/>
      <w:marRight w:val="0"/>
      <w:marTop w:val="0"/>
      <w:marBottom w:val="0"/>
      <w:divBdr>
        <w:top w:val="none" w:sz="0" w:space="0" w:color="auto"/>
        <w:left w:val="none" w:sz="0" w:space="0" w:color="auto"/>
        <w:bottom w:val="none" w:sz="0" w:space="0" w:color="auto"/>
        <w:right w:val="none" w:sz="0" w:space="0" w:color="auto"/>
      </w:divBdr>
    </w:div>
    <w:div w:id="1804232795">
      <w:bodyDiv w:val="1"/>
      <w:marLeft w:val="0"/>
      <w:marRight w:val="0"/>
      <w:marTop w:val="0"/>
      <w:marBottom w:val="0"/>
      <w:divBdr>
        <w:top w:val="none" w:sz="0" w:space="0" w:color="auto"/>
        <w:left w:val="none" w:sz="0" w:space="0" w:color="auto"/>
        <w:bottom w:val="none" w:sz="0" w:space="0" w:color="auto"/>
        <w:right w:val="none" w:sz="0" w:space="0" w:color="auto"/>
      </w:divBdr>
    </w:div>
    <w:div w:id="206964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dccf9648-cc51-4dea-be24-7533619d683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old2022.supersociedades.gov.co/delegatura_aec/Paginas/Curso-virtual-sobre-Soborno-Transnacional.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old2022.supersociedades.gov.co/delegatura_aec/Paginas/Denuncia-Soborno-Transnacional.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ld2022.supersociedades.gov.co/Noticias/Publicaciones/Revistas/2019/GUIA-REVISORIA-FISCAL-ST-Y-LAF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A2CAD4F763EE0A4DAD4AC931F58C70CF" ma:contentTypeVersion="0" ma:contentTypeDescription="Crear nuevo documento." ma:contentTypeScope="" ma:versionID="9c1bb3da1fe9de37a9a9196afc33ecfa">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4446E2-FDC3-460E-8D66-4677BB0A04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EE2910-2BD5-498B-8C05-07FA63927C79}">
  <ds:schemaRefs>
    <ds:schemaRef ds:uri="http://schemas.openxmlformats.org/officeDocument/2006/bibliography"/>
  </ds:schemaRefs>
</ds:datastoreItem>
</file>

<file path=customXml/itemProps3.xml><?xml version="1.0" encoding="utf-8"?>
<ds:datastoreItem xmlns:ds="http://schemas.openxmlformats.org/officeDocument/2006/customXml" ds:itemID="{BF399A4D-564B-4774-A3DB-20D85103D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F437BF8-EBF6-47EF-B1AD-FF5E94A196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4750</Words>
  <Characters>26128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IA-G-001 Guía práctica para entender la lucha contra el soborno transnacional en Colombia</dc:title>
  <dc:creator>Esteban Rubio Echeverri</dc:creator>
  <cp:lastModifiedBy>Ruben Dario Moreno Posada</cp:lastModifiedBy>
  <cp:revision>11</cp:revision>
  <cp:lastPrinted>2018-07-26T22:48:00Z</cp:lastPrinted>
  <dcterms:created xsi:type="dcterms:W3CDTF">2021-07-27T22:57:00Z</dcterms:created>
  <dcterms:modified xsi:type="dcterms:W3CDTF">2025-01-14T19:41:00Z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0x010100A2CAD4F763EE0A4DAD4AC931F58C70CF</vt:lpwstr>
  </property>
  <property fmtid="{D5CDD505-2E9C-101B-9397-08002B2CF9AE}" pid="3" name="_dlc_DocIdItemGuid">
    <vt:lpwstr>bb3303b7-6b51-46d1-83e0-e5dc1c741c65</vt:lpwstr>
  </property>
</Properties>
</file>